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《XX公司绿色出行激励及燃油费管理细则》​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（倡导低碳出行与弹性福利）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leftChars="0" w:right="0" w:rightChars="0" w:firstLine="0" w:firstLineChars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  <w:t>第一章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CFCFC"/>
          <w:vertAlign w:val="baseline"/>
        </w:rPr>
        <w:t>核心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理念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第一条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4"/>
          <w:szCs w:val="24"/>
          <w:shd w:val="clear" w:fill="FCFCFC"/>
          <w:vertAlign w:val="baseline"/>
        </w:rPr>
        <w:t xml:space="preserve"> 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贯彻"双碳"战略目标，推动无纸化办公与共享经济应用。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第二条 设立"绿色出行积分"体系，将节能行为转化为可兑换福利。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第二章 创新管理机制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第三条 多模式出行选择：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高铁/动车出行：享受150元/天的市内交通补贴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网约车拼车：凭合乘订单享受80%报销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0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共享单车：单程≤5公里可申请5元骑行补贴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第四条 智能加油优惠：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加入"中国石化"企业会员计划，享95折优惠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0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参与"低碳打卡"活动，月度加油量环比下降10%可获200元便利店券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第三章 灵活报销政策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第五条 里程计算创新：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自驾车辆：按导航软件实际行驶里程×0.8系数计算耗油量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0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租赁车辆：凭租赁公司提供的《车辆能耗报告》核销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第六条 特殊情形处理：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紧急任务：可事后24小时内补交加急说明，经直属领导签字确认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0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跨省出差：实行"油费包干制"，按目的地城市间高速里程×1.2元/公里计发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第四章 文化激励措施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第七条 设立"节能标兵"评选：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年度燃油费节约排名前10%的员工，授予"绿色先锋"称号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0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节约金额超过5000元者，可申请带薪休假1天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第八条 弹性福利池：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未使用的燃油补贴可累积至下年度，用于兑换体检套餐、培训课程等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0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部门整体油耗达标后，可申请团队建设经费奖励</w:t>
      </w:r>
    </w:p>
    <w:p>
      <w:pPr>
        <w:keepNext w:val="0"/>
        <w:keepLines w:val="0"/>
        <w:widowControl/>
        <w:suppressLineNumbers w:val="0"/>
        <w:pBdr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制度设计亮点对比表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2685"/>
        <w:gridCol w:w="2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维度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制度一（合规管控版）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制度二（人性化管理版）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核心目标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风险防控、成本优化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员工激励、可持续发展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技术应用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GPS追踪、区块链存证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大数据分析、积分商城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审批流程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三级联审、纸质档案管理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自动核销、移动端一键审批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激励机制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严格处罚、黑名单制度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积分兑换、荣誉体系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数据应用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燃油效率分析报告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碳足迹可视化看板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特殊场景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法律风险预案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灵活应急通道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4"/>
          <w:szCs w:val="24"/>
          <w:shd w:val="clear" w:fill="FCFCFC"/>
          <w:vertAlign w:val="baseline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实施建议：</w:t>
      </w:r>
      <w:r>
        <w:rPr>
          <w:rFonts w:hint="eastAsia" w:ascii="Segoe UI" w:hAnsi="Segoe UI" w:eastAsia="宋体" w:cs="Segoe UI"/>
          <w:i w:val="0"/>
          <w:iCs w:val="0"/>
          <w:caps w:val="0"/>
          <w:color w:val="FFFFFF" w:themeColor="background1"/>
          <w:spacing w:val="0"/>
          <w:sz w:val="24"/>
          <w:szCs w:val="24"/>
          <w:shd w:val="clear" w:fill="FCFCFC"/>
          <w:vertAlign w:val="baseline"/>
          <w:lang w:val="en-US" w:eastAsia="zh-CN"/>
          <w14:textFill>
            <w14:solidFill>
              <w14:schemeClr w14:val="bg1"/>
            </w14:solidFill>
          </w14:textFill>
        </w:rPr>
        <w:t>深圳开加油费发票\/：KP00096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试点阶段可选择制度二的弹性福利模块，搭配制度一的智能监控系统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建议引入第</w:t>
      </w:r>
      <w:bookmarkStart w:id="0" w:name="_GoBack"/>
      <w:bookmarkEnd w:id="0"/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三方审计机构进行年度合规审查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开发专门的业财融合系统，实现加油数据与财务系统的实时对接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0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定期举办"节能驾驶技巧"培训，提升员工参与度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after="0" w:afterAutospacing="0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以上制度均符合国家税务总局2023年最新税收征管要求，可根据企业实际情况调整具体参数。建议配套出台《差旅费管理数字化操作手册》《新能源车辆使用指引》等配套文件，形成完整的管理体系。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var(--yb-font-body-medium)">
    <w:altName w:val="X-妞妞手迹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X-妞妞手迹">
    <w:panose1 w:val="02000500000000000000"/>
    <w:charset w:val="80"/>
    <w:family w:val="auto"/>
    <w:pitch w:val="default"/>
    <w:sig w:usb0="800002BF" w:usb1="184F6CFA" w:usb2="00000012" w:usb3="00000000" w:csb0="0002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25BD7B"/>
    <w:multiLevelType w:val="multilevel"/>
    <w:tmpl w:val="A125BD7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B912536B"/>
    <w:multiLevelType w:val="multilevel"/>
    <w:tmpl w:val="B912536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BEBD91FB"/>
    <w:multiLevelType w:val="multilevel"/>
    <w:tmpl w:val="BEBD91F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0F3B7819"/>
    <w:multiLevelType w:val="multilevel"/>
    <w:tmpl w:val="0F3B781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2591FAB5"/>
    <w:multiLevelType w:val="multilevel"/>
    <w:tmpl w:val="2591FAB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37F7D530"/>
    <w:multiLevelType w:val="multilevel"/>
    <w:tmpl w:val="37F7D53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6">
    <w:nsid w:val="7A5DCF81"/>
    <w:multiLevelType w:val="multilevel"/>
    <w:tmpl w:val="7A5DCF8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hMTE4OTA1MzFkZjQ1MWYzY2UxNTI2YWMwNjAyZWQifQ=="/>
  </w:docVars>
  <w:rsids>
    <w:rsidRoot w:val="519A1CA0"/>
    <w:rsid w:val="519A1CA0"/>
    <w:rsid w:val="51C32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2025-03-13T15:59:00Z</dcterms:created>
  <dc:creator>123456</dc:creator>
  <cp:lastModifiedBy>123456</cp:lastModifiedBy>
  <dcterms:modified xsi:type="dcterms:W3CDTF">2025-03-14T14:01:00Z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425878CEC7BA4086B4C10BCA7D5D284D_11</vt:lpwstr>
  </property>
</Properties>
</file>