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38987549"/>
      <w:bookmarkStart w:id="2" w:name="_Toc453597319"/>
      <w:bookmarkStart w:id="3" w:name="_Toc481801204"/>
      <w:bookmarkStart w:id="4" w:name="OLE_LINK15"/>
      <w:bookmarkStart w:id="5" w:name="_Toc415818939"/>
      <w:bookmarkStart w:id="6" w:name="OLE_LINK13"/>
      <w:bookmarkStart w:id="7" w:name="_Toc418070112"/>
      <w:bookmarkStart w:id="8" w:name="_Toc415143481"/>
      <w:bookmarkStart w:id="9" w:name="_Toc415142861"/>
      <w:bookmarkStart w:id="10" w:name="OLE_LINK40"/>
      <w:bookmarkStart w:id="11" w:name="OLE_LINK39"/>
      <w:bookmarkStart w:id="12" w:name="OLE_LINK24"/>
      <w:r>
        <w:rPr>
          <w:lang w:eastAsia="zh-CN"/>
        </w:rPr>
        <w:t>电动汽车悬架系统</w:t>
      </w:r>
      <w:r>
        <w:rPr>
          <w:rFonts w:hint="eastAsia"/>
          <w:lang w:eastAsia="zh-CN"/>
        </w:rPr>
        <w:t>全球市场总体规模</w:t>
      </w:r>
    </w:p>
    <w:p>
      <w:pPr>
        <w:pStyle w:val="145"/>
        <w:rPr>
          <w:lang w:eastAsia="zh-CN"/>
        </w:rPr>
      </w:pPr>
      <w:r>
        <w:rPr>
          <w:rFonts w:hint="eastAsia"/>
          <w:lang w:eastAsia="zh-CN"/>
        </w:rPr>
        <w:t>电动汽车 (EV) 悬架系统是确保平稳舒适驾驶、同时提供稳定性和控制性的重要组成部分。</w:t>
      </w:r>
    </w:p>
    <w:p>
      <w:pPr>
        <w:pStyle w:val="145"/>
        <w:rPr>
          <w:lang w:eastAsia="zh-CN"/>
        </w:rPr>
      </w:pPr>
      <w:r>
        <w:drawing>
          <wp:inline distT="0" distB="0" distL="0" distR="0">
            <wp:extent cx="4166870" cy="2337435"/>
            <wp:effectExtent l="0" t="0" r="5080" b="5715"/>
            <wp:docPr id="2099322609" name="图片 1" descr="Pas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322609" name="图片 1" descr="Pas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70881" cy="2339648"/>
                    </a:xfrm>
                    <a:prstGeom prst="rect">
                      <a:avLst/>
                    </a:prstGeom>
                    <a:noFill/>
                    <a:ln>
                      <a:noFill/>
                    </a:ln>
                  </pic:spPr>
                </pic:pic>
              </a:graphicData>
            </a:graphic>
          </wp:inline>
        </w:drawing>
      </w:r>
    </w:p>
    <w:p>
      <w:pPr>
        <w:pStyle w:val="145"/>
        <w:rPr>
          <w:lang w:eastAsia="zh-CN"/>
        </w:rPr>
      </w:pPr>
      <w:r>
        <w:rPr>
          <w:rFonts w:hint="eastAsia"/>
          <w:lang w:eastAsia="zh-CN"/>
        </w:rPr>
        <w:t>据QYResearch调研团队最新报告“全球电动汽车悬架系统市场报告2023-2029”显示，预计2029年全球电动汽车悬架系统市场规模将达到323.4亿美元，未来几年年复合增长率CAGR为11.6%。</w:t>
      </w:r>
    </w:p>
    <w:p>
      <w:pPr>
        <w:pStyle w:val="148"/>
        <w:rPr>
          <w:lang w:eastAsia="zh-CN"/>
        </w:rPr>
      </w:pPr>
      <w:r>
        <w:rPr>
          <w:lang w:eastAsia="zh-CN"/>
        </w:rPr>
        <w:t>电动汽车悬架系统</w:t>
      </w:r>
      <w:r>
        <w:rPr>
          <w:rFonts w:hint="eastAsia"/>
          <w:lang w:eastAsia="zh-CN"/>
        </w:rPr>
        <w:t>，全球市场总体规模</w:t>
      </w:r>
    </w:p>
    <w:p>
      <w:pPr>
        <w:pStyle w:val="145"/>
      </w:pPr>
      <w:r>
        <w:drawing>
          <wp:inline distT="0" distB="0" distL="0" distR="0">
            <wp:extent cx="6188710" cy="2950210"/>
            <wp:effectExtent l="0" t="0" r="2540" b="2540"/>
            <wp:docPr id="43226983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电动汽车悬架系统</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1.政府支持和激励措施：世界各地许多政府正在提供各种激励措施和补贴，以促进电动汽车的采用。 这包括税收优惠、回扣和补助，这些都推动了对电动汽车的需求，进而推动了对先进悬架系统的需求。</w:t>
      </w:r>
    </w:p>
    <w:p>
      <w:pPr>
        <w:pStyle w:val="145"/>
        <w:rPr>
          <w:lang w:eastAsia="zh-CN"/>
        </w:rPr>
      </w:pPr>
      <w:r>
        <w:rPr>
          <w:rFonts w:hint="eastAsia"/>
          <w:lang w:eastAsia="zh-CN"/>
        </w:rPr>
        <w:t>2.环境问题和法规：人们对气候变化的认识不断增强，以及减少温室气体排放的需要，导致对车辆排放的法规更加严格。 电动汽车具有零排放能力，被视为减轻环境影响的解决方案。 这创造了电动汽车不断增长的市场，从而催生了对高效悬架系统的需求。</w:t>
      </w:r>
    </w:p>
    <w:p>
      <w:pPr>
        <w:pStyle w:val="145"/>
        <w:rPr>
          <w:lang w:eastAsia="zh-CN"/>
        </w:rPr>
      </w:pPr>
      <w:r>
        <w:rPr>
          <w:rFonts w:hint="eastAsia"/>
          <w:lang w:eastAsia="zh-CN"/>
        </w:rPr>
        <w:t>3.技术进步：电动汽车技术的不断进步正在推动对改进悬架系统的需求。 与传统内燃机汽车相比，电动汽车具有独特的特点和要求。 悬架系统的设计需要适应重量分布、电池放置和电动机的即时扭矩传递。</w:t>
      </w:r>
    </w:p>
    <w:p>
      <w:pPr>
        <w:pStyle w:val="145"/>
        <w:rPr>
          <w:lang w:eastAsia="zh-CN"/>
        </w:rPr>
      </w:pPr>
      <w:r>
        <w:rPr>
          <w:rFonts w:hint="eastAsia"/>
          <w:lang w:eastAsia="zh-CN"/>
        </w:rPr>
        <w:t>4.增强驾驶体验：电动汽车以其运行平稳、安静而著称。 为了确保舒适、愉快的驾驶体验，悬架系统需要提供出色的乘坐质量、噪音和振动隔离以及操控能力。 这正在推动电动汽车先进而复杂的悬架系统的发展。</w:t>
      </w:r>
    </w:p>
    <w:p>
      <w:pPr>
        <w:pStyle w:val="145"/>
        <w:rPr>
          <w:lang w:eastAsia="zh-CN"/>
        </w:rPr>
      </w:pPr>
      <w:r>
        <w:rPr>
          <w:rFonts w:hint="eastAsia"/>
          <w:lang w:eastAsia="zh-CN"/>
        </w:rPr>
        <w:t>5.消费者需求不断增长：消费者对电动汽车的兴趣和需求不断增长，也推动了对高效悬架系统的需求。 消费者越来越意识到电动汽车的好处，例如降低运营成本、减少对化石燃料的依赖以及改善空气质量。 因此，他们越来越多地选择电动汽车，这反过来又推动了对先进悬架系统的需求。</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1.成本高：电动汽车悬架系统通常需要专门的组件和技术来满足电动汽车的独特要求。 与内燃机车辆中使用的传统悬架系统相比，这些部件可能更昂贵。 电动汽车悬架系统的高成本可能会成为一种限制，特别是对于价格敏感的消费者和制造商而言。</w:t>
      </w:r>
    </w:p>
    <w:p>
      <w:pPr>
        <w:pStyle w:val="145"/>
        <w:rPr>
          <w:lang w:eastAsia="zh-CN"/>
        </w:rPr>
      </w:pPr>
      <w:r>
        <w:rPr>
          <w:rFonts w:hint="eastAsia"/>
          <w:lang w:eastAsia="zh-CN"/>
        </w:rPr>
        <w:t>2. 基础设施有限：虽然电动汽车的需求不断增长，但许多地区支持电动汽车的基础设施（例如充电站）仍在发展中。 有限的基础设施可能会限制电动汽车的采用，进而影响对电动汽车悬架系统的需求。 如果没有强大的充电基础设施，电动汽车的增长可能会受到阻碍，从而影响悬架系统等相关组件的市场。</w:t>
      </w:r>
    </w:p>
    <w:p>
      <w:pPr>
        <w:pStyle w:val="145"/>
        <w:rPr>
          <w:lang w:eastAsia="zh-CN"/>
        </w:rPr>
      </w:pPr>
      <w:r>
        <w:rPr>
          <w:rFonts w:hint="eastAsia"/>
          <w:lang w:eastAsia="zh-CN"/>
        </w:rPr>
        <w:t>3.里程焦虑：与传统汽车相比，电动汽车的行驶里程通常有限，这可能会导致消费者产生里程焦虑。 这种焦虑源于对电池电量耗尽和充电站是否可用的担忧。 里程焦虑可能会影响对电动汽车的需求，从而间接影响对电动汽车悬架系统的需求。</w:t>
      </w:r>
    </w:p>
    <w:p>
      <w:pPr>
        <w:pStyle w:val="145"/>
        <w:rPr>
          <w:lang w:eastAsia="zh-CN"/>
        </w:rPr>
      </w:pPr>
      <w:r>
        <w:rPr>
          <w:rFonts w:hint="eastAsia"/>
          <w:lang w:eastAsia="zh-CN"/>
        </w:rPr>
        <w:t>4. 电池重量和放置：电动汽车电池通常很重，这会影响车辆的重量分布。 电池组的放置也会给悬架系统的设计和优化带来挑战。 这些因素会增加电动汽车悬架系统开发的复杂性和成本，从而限制其采用。</w:t>
      </w:r>
    </w:p>
    <w:p>
      <w:pPr>
        <w:pStyle w:val="145"/>
        <w:rPr>
          <w:lang w:eastAsia="zh-CN"/>
        </w:rPr>
      </w:pPr>
      <w:r>
        <w:rPr>
          <w:rFonts w:hint="eastAsia"/>
          <w:lang w:eastAsia="zh-CN"/>
        </w:rPr>
        <w:t>5.车型选择有限：与传统汽车相比，不同车型和车身类型的电动汽车的可用性仍然相对有限。 电动汽车型号的有限种类可能会限制电动汽车悬架系统的潜在市场，因为不同的车型可能需要特定的悬架系统配置。</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1.不断增长的电动汽车市场：在政府激励措施、环境法规以及消费者对可持续交通选择日益增长的需求等因素的推动下，全球电动汽车市场正在经历显着增长。 这种增长为电动汽车悬架系统市场创造了巨大的机会，因为每辆电动汽车都需要悬架系统。</w:t>
      </w:r>
    </w:p>
    <w:p>
      <w:pPr>
        <w:pStyle w:val="145"/>
        <w:rPr>
          <w:lang w:eastAsia="zh-CN"/>
        </w:rPr>
      </w:pPr>
      <w:r>
        <w:rPr>
          <w:rFonts w:hint="eastAsia"/>
          <w:lang w:eastAsia="zh-CN"/>
        </w:rPr>
        <w:t>2.技术进步：随着电动汽车技术的不断发展，有机会开发专门为电动汽车设计的创新悬架系统。 这包括轻质材料、自适应悬架技术和智能控制系统的进步。 开发和实施这些技术可以提高电动汽车悬架系统的性能、舒适性和效率，从而提供市场竞争优势。</w:t>
      </w:r>
    </w:p>
    <w:p>
      <w:pPr>
        <w:pStyle w:val="145"/>
        <w:rPr>
          <w:lang w:eastAsia="zh-CN"/>
        </w:rPr>
      </w:pPr>
      <w:r>
        <w:rPr>
          <w:rFonts w:hint="eastAsia"/>
          <w:lang w:eastAsia="zh-CN"/>
        </w:rPr>
        <w:t>3.定制化和差异化：与传统内燃机汽车相比，电动汽车具有独特的特点和要求。 这为悬架系统制造商提供了开发满足电动汽车特定需求的专业解决方案的机会。 优化重量分布、适应电池放置并提高乘坐舒适度的定制悬架系统可以使产品脱颖而出并吸引电动汽车制造商。</w:t>
      </w:r>
    </w:p>
    <w:p>
      <w:pPr>
        <w:pStyle w:val="145"/>
        <w:rPr>
          <w:lang w:eastAsia="zh-CN"/>
        </w:rPr>
      </w:pPr>
      <w:r>
        <w:rPr>
          <w:rFonts w:hint="eastAsia"/>
          <w:lang w:eastAsia="zh-CN"/>
        </w:rPr>
        <w:t>4.与电动汽车制造商的合作：悬架系统制造商与电动汽车制造商之间的合作可以创造互利的机会。 通过与电动汽车制造商密切合作，悬架系统供应商可以深入了解电动汽车的具体要求和设计考虑因素。 这种合作可以促进与电动汽车平台无缝集成的定制悬架系统的开发。</w:t>
      </w:r>
    </w:p>
    <w:p>
      <w:pPr>
        <w:pStyle w:val="145"/>
        <w:rPr>
          <w:lang w:eastAsia="zh-CN"/>
        </w:rPr>
      </w:pPr>
      <w:r>
        <w:rPr>
          <w:rFonts w:hint="eastAsia"/>
          <w:lang w:eastAsia="zh-CN"/>
        </w:rPr>
        <w:t>5.售后市场需求：随着电动汽车市场的扩大，对售后服务和零部件（包括悬架系统）的需求将会不断增长。 电动汽车车主可能会寻求升级或更换其悬架系统，以提高性能、舒适性或适应性。 这种售后市场需求为悬架系统制造商提供了一个机会，可以为电动汽车车主提供专门的产品和服务。</w:t>
      </w:r>
    </w:p>
    <w:p>
      <w:pPr>
        <w:pStyle w:val="148"/>
        <w:rPr>
          <w:lang w:eastAsia="zh-CN"/>
        </w:rPr>
      </w:pPr>
      <w:r>
        <w:rPr>
          <w:rFonts w:hint="eastAsia"/>
          <w:lang w:eastAsia="zh-CN"/>
        </w:rPr>
        <w:t>全球</w:t>
      </w:r>
      <w:r>
        <w:rPr>
          <w:lang w:eastAsia="zh-CN"/>
        </w:rPr>
        <w:t>电动汽车悬架系统</w:t>
      </w:r>
      <w:r>
        <w:rPr>
          <w:rFonts w:hint="eastAsia"/>
          <w:lang w:eastAsia="zh-CN"/>
        </w:rPr>
        <w:t>市场前</w:t>
      </w:r>
      <w:r>
        <w:rPr>
          <w:lang w:eastAsia="zh-CN"/>
        </w:rPr>
        <w:t>14</w:t>
      </w:r>
      <w:r>
        <w:rPr>
          <w:rFonts w:hint="eastAsia"/>
          <w:lang w:eastAsia="zh-CN"/>
        </w:rPr>
        <w:t>强生产商排名及市场占有率（持续更新）</w:t>
      </w:r>
    </w:p>
    <w:p>
      <w:pPr>
        <w:widowControl/>
        <w:topLinePunct w:val="0"/>
        <w:spacing w:after="0"/>
        <w:jc w:val="center"/>
        <w:rPr>
          <w:rFonts w:ascii="宋体" w:hAnsi="宋体" w:cs="宋体"/>
          <w:kern w:val="0"/>
          <w:sz w:val="24"/>
          <w:szCs w:val="24"/>
        </w:rPr>
      </w:pPr>
      <w:r>
        <w:drawing>
          <wp:inline distT="0" distB="0" distL="0" distR="0">
            <wp:extent cx="4568825" cy="4399915"/>
            <wp:effectExtent l="0" t="0" r="3175" b="635"/>
            <wp:docPr id="184142037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电动汽车悬架系统</w:t>
      </w:r>
      <w:r>
        <w:rPr>
          <w:rFonts w:hint="eastAsia"/>
          <w:lang w:eastAsia="zh-CN"/>
        </w:rPr>
        <w:t>市场研究报告2023-2029</w:t>
      </w:r>
      <w:r>
        <w:rPr>
          <w:lang w:eastAsia="zh-CN"/>
        </w:rPr>
        <w:t>.</w:t>
      </w:r>
    </w:p>
    <w:p>
      <w:pPr>
        <w:widowControl/>
        <w:topLinePunct w:val="0"/>
        <w:spacing w:after="0"/>
        <w:rPr>
          <w:rFonts w:ascii="宋体" w:hAnsi="宋体" w:cs="宋体"/>
          <w:kern w:val="0"/>
          <w:sz w:val="22"/>
          <w:szCs w:val="22"/>
        </w:rPr>
      </w:pPr>
      <w:r>
        <w:rPr>
          <w:rFonts w:hint="eastAsia"/>
        </w:rPr>
        <w:t>根据QYResearch头部企业研究中心调研，全球范围内</w:t>
      </w:r>
      <w:r>
        <w:rPr>
          <w:rFonts w:hint="eastAsia" w:ascii="宋体" w:hAnsi="宋体" w:cs="宋体"/>
          <w:kern w:val="0"/>
          <w:sz w:val="22"/>
          <w:szCs w:val="22"/>
        </w:rPr>
        <w:t>电动汽车悬架系统</w:t>
      </w:r>
      <w:r>
        <w:rPr>
          <w:rFonts w:hint="eastAsia"/>
        </w:rPr>
        <w:t>生产商主要包括ZF Aftermarket、Continental AG、KH Automotive Technologies、Vibracoustic、Baolong、Tenneco、Tianrun、Tuopu、Bilstein Group、HL Mando等。2022年，全球前五大厂商占有大约28.0%的市场份额。</w:t>
      </w: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就产品类型而言，目前主动悬挂是最主要的细分产品，占据大约85.0%的份额。</w:t>
      </w:r>
    </w:p>
    <w:p>
      <w:pPr>
        <w:pStyle w:val="145"/>
        <w:rPr>
          <w:lang w:eastAsia="zh-CN"/>
        </w:rPr>
      </w:pPr>
      <w:r>
        <w:rPr>
          <w:lang w:eastAsia="zh-CN"/>
        </w:rPr>
        <w:drawing>
          <wp:inline distT="0" distB="0" distL="0" distR="0">
            <wp:extent cx="6694170" cy="3054350"/>
            <wp:effectExtent l="0" t="0" r="0" b="0"/>
            <wp:docPr id="3302238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23803"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694170" cy="3054350"/>
                    </a:xfrm>
                    <a:prstGeom prst="rect">
                      <a:avLst/>
                    </a:prstGeom>
                    <a:noFill/>
                  </pic:spPr>
                </pic:pic>
              </a:graphicData>
            </a:graphic>
          </wp:inline>
        </w:drawing>
      </w:r>
    </w:p>
    <w:p>
      <w:pPr>
        <w:pStyle w:val="145"/>
        <w:rPr>
          <w:lang w:eastAsia="zh-CN"/>
        </w:rPr>
      </w:pPr>
      <w:r>
        <w:drawing>
          <wp:inline distT="0" distB="0" distL="0" distR="0">
            <wp:extent cx="6188710" cy="2887345"/>
            <wp:effectExtent l="0" t="0" r="2540" b="8255"/>
            <wp:docPr id="65667328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电动汽车悬架系统</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就产品类型而言，目前主动悬挂是最主要的细分产品，占据大约85.0%的份额。</w:t>
      </w: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就产品应用而言，目前纯电动汽车 (BEV)是最主要的需求来源，占据大约60.6%的份额。</w:t>
      </w:r>
    </w:p>
    <w:p>
      <w:pPr>
        <w:pStyle w:val="145"/>
        <w:rPr>
          <w:lang w:eastAsia="zh-CN"/>
        </w:rPr>
      </w:pPr>
      <w: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677660" cy="3055620"/>
                <wp:effectExtent l="0" t="0" r="0" b="0"/>
                <wp:wrapNone/>
                <wp:docPr id="12" name="组合 11"/>
                <wp:cNvGraphicFramePr/>
                <a:graphic xmlns:a="http://schemas.openxmlformats.org/drawingml/2006/main">
                  <a:graphicData uri="http://schemas.microsoft.com/office/word/2010/wordprocessingGroup">
                    <wpg:wgp>
                      <wpg:cNvGrpSpPr/>
                      <wpg:grpSpPr>
                        <a:xfrm>
                          <a:off x="0" y="0"/>
                          <a:ext cx="6677371" cy="3055925"/>
                          <a:chOff x="0" y="0"/>
                          <a:chExt cx="6089688" cy="3407916"/>
                        </a:xfrm>
                      </wpg:grpSpPr>
                      <wpg:graphicFrame>
                        <wpg:cNvPr id="1974976508" name="图表 1974976508"/>
                        <wpg:cNvFrPr/>
                        <wpg:xfrm>
                          <a:off x="3249706" y="0"/>
                          <a:ext cx="2839982" cy="3385504"/>
                        </wpg:xfrm>
                        <a:graphic>
                          <a:graphicData uri="http://schemas.openxmlformats.org/drawingml/2006/chart">
                            <c:chart xmlns:c="http://schemas.openxmlformats.org/drawingml/2006/chart" xmlns:r="http://schemas.openxmlformats.org/officeDocument/2006/relationships" r:id="rId14"/>
                          </a:graphicData>
                        </a:graphic>
                      </wpg:graphicFrame>
                      <wpg:graphicFrame>
                        <wpg:cNvPr id="542239738" name="图表 542239738"/>
                        <wpg:cNvFrPr/>
                        <wpg:xfrm>
                          <a:off x="0" y="22412"/>
                          <a:ext cx="2839982" cy="3385504"/>
                        </wpg:xfrm>
                        <a:graphic>
                          <a:graphicData uri="http://schemas.openxmlformats.org/drawingml/2006/chart">
                            <c:chart xmlns:c="http://schemas.openxmlformats.org/drawingml/2006/chart" xmlns:r="http://schemas.openxmlformats.org/officeDocument/2006/relationships" r:id="rId15"/>
                          </a:graphicData>
                        </a:graphic>
                      </wpg:graphicFrame>
                      <wps:wsp>
                        <wps:cNvPr id="508891155" name="文本框 14"/>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11.6%, 2023-2029</w:t>
                              </w:r>
                            </w:p>
                          </w:txbxContent>
                        </wps:txbx>
                        <wps:bodyPr wrap="square" rtlCol="0" anchor="ctr"/>
                      </wps:wsp>
                    </wpg:wgp>
                  </a:graphicData>
                </a:graphic>
              </wp:anchor>
            </w:drawing>
          </mc:Choice>
          <mc:Fallback>
            <w:pict>
              <v:group id="组合 11" o:spid="_x0000_s1026" o:spt="203" style="position:absolute;left:0pt;margin-left:0pt;margin-top:0pt;height:240.6pt;width:525.8pt;z-index:251659264;mso-width-relative:page;mso-height-relative:page;" coordsize="6089688,3407916" o:gfxdata="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">
                <o:lock v:ext="edit" aspectratio="f"/>
                <v:rect id="_x0000_s1026" o:spid="_x0000_s1026" o:spt="75" style="position:absolute;left:3249706;top:0;height:3385504;width:2839982;" coordsize="21600,21600" o:gfxdata="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bi&#10;XwzCAAAA4wAAAA8AAAAAAAAAAQAgAAAAIgAAAGRycy9kb3ducmV2LnhtbFBLAQIUABQAAAAIAIdO&#10;4kAzLwWeOwAAADkAAAAQAAAAAAAAAAEAIAAAABEBAABkcnMvc2hhcGV4bWwueG1sUEsFBgAAAAAG&#10;AAYAWwEAALsDAAAAAA==&#10;">
                  <v:imagedata r:id="rId16" o:title=""/>
                  <o:lock v:ext="edit"/>
                </v:rect>
                <v:rect id="_x0000_s1026" o:spid="_x0000_s1026" o:spt="75" style="position:absolute;left:0;top:22412;height:3385504;width:2839982;" coordsize="21600,21600" o:gfxdata="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6+Hzq/&#10;AAAA4gAAAA8AAAAAAAAAAQAgAAAAIgAAAGRycy9kb3ducmV2LnhtbFBLAQIUABQAAAAIAIdO4kAz&#10;LwWeOwAAADkAAAAQAAAAAAAAAAEAIAAAAA4BAABkcnMvc2hhcGV4bWwueG1sUEsFBgAAAAAGAAYA&#10;WwEAALgDAAAAAA==&#10;">
                  <v:imagedata r:id="rId17" o:title=""/>
                  <o:lock v:ext="edit"/>
                </v:rect>
                <v:shape id="文本框 14" o:spid="_x0000_s1026" o:spt="202" type="#_x0000_t202" style="position:absolute;left:1741039;top:208634;height:403410;width:2409263;v-text-anchor:middle;" filled="f" stroked="f" coordsize="21600,21600" o:gfxdata="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w&#10;AkHgwwAAAOIAAAAPAAAAAAAAAAEAIAAAACIAAABkcnMvZG93bnJldi54bWxQSwECFAAUAAAACACH&#10;TuJAMy8FnjsAAAA5AAAAEAAAAAAAAAABACAAAAASAQAAZHJzL3NoYXBleG1sLnhtbFBLBQYAAAAA&#10;BgAGAFsBAAC8Aw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11.6%, 2023-2029</w:t>
                        </w:r>
                      </w:p>
                    </w:txbxContent>
                  </v:textbox>
                </v:shape>
              </v:group>
            </w:pict>
          </mc:Fallback>
        </mc:AlternateContent>
      </w: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r>
        <w:drawing>
          <wp:inline distT="0" distB="0" distL="0" distR="0">
            <wp:extent cx="6188710" cy="2895600"/>
            <wp:effectExtent l="0" t="0" r="2540" b="0"/>
            <wp:docPr id="1944166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143"/>
        <w:rPr>
          <w:lang w:eastAsia="zh-CN"/>
        </w:rPr>
      </w:pPr>
      <w:r>
        <w:rPr>
          <w:rFonts w:hint="eastAsia"/>
          <w:lang w:eastAsia="zh-CN"/>
        </w:rPr>
        <w:t>如上图表/数据，摘自QYResearch最新报告“全球</w:t>
      </w:r>
      <w:r>
        <w:rPr>
          <w:lang w:eastAsia="zh-CN"/>
        </w:rPr>
        <w:t>电动汽车悬架系统</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就产品应用而言，目前纯电动汽车 (BEV)是最主要的需求来源，占据大约60.6%的份额。</w:t>
      </w: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全球</w:t>
      </w:r>
      <w:r>
        <w:rPr>
          <w:lang w:eastAsia="zh-CN"/>
        </w:rPr>
        <w:t>电动汽车悬架系统</w:t>
      </w:r>
      <w:r>
        <w:rPr>
          <w:rFonts w:hint="eastAsia"/>
          <w:lang w:eastAsia="zh-CN"/>
        </w:rPr>
        <w:t>规模，主要生产地区份额（按产值）</w:t>
      </w:r>
    </w:p>
    <w:p>
      <w:pPr>
        <w:pStyle w:val="145"/>
        <w:rPr>
          <w:lang w:val="en-US" w:eastAsia="zh-CN"/>
        </w:rPr>
      </w:pPr>
      <w:r>
        <w:drawing>
          <wp:inline distT="0" distB="0" distL="0" distR="0">
            <wp:extent cx="6188710" cy="2897505"/>
            <wp:effectExtent l="0" t="0" r="2540" b="0"/>
            <wp:docPr id="61329199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pStyle w:val="145"/>
        <w:rPr>
          <w:lang w:val="en-US" w:eastAsia="zh-CN"/>
        </w:rPr>
      </w:pPr>
      <w:r>
        <w:drawing>
          <wp:inline distT="0" distB="0" distL="0" distR="0">
            <wp:extent cx="6188710" cy="3409315"/>
            <wp:effectExtent l="0" t="0" r="2540" b="635"/>
            <wp:docPr id="946033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pPr>
        <w:pStyle w:val="143"/>
        <w:rPr>
          <w:lang w:eastAsia="zh-CN"/>
        </w:rPr>
      </w:pPr>
      <w:r>
        <w:rPr>
          <w:rFonts w:hint="eastAsia"/>
          <w:lang w:eastAsia="zh-CN"/>
        </w:rPr>
        <w:t>如上图表/数据，摘自QYResearch最新报告“全球</w:t>
      </w:r>
      <w:r>
        <w:rPr>
          <w:lang w:eastAsia="zh-CN"/>
        </w:rPr>
        <w:t>电动汽车悬架系统</w:t>
      </w:r>
      <w:r>
        <w:rPr>
          <w:rFonts w:hint="eastAsia"/>
          <w:lang w:eastAsia="zh-CN"/>
        </w:rPr>
        <w:t>市场研究报告2023-2029</w:t>
      </w:r>
      <w:r>
        <w:rPr>
          <w:lang w:eastAsia="zh-CN"/>
        </w:rPr>
        <w:t>.</w:t>
      </w:r>
    </w:p>
    <w:p>
      <w:pPr>
        <w:widowControl/>
        <w:topLinePunct w:val="0"/>
        <w:spacing w:after="0"/>
        <w:jc w:val="left"/>
        <w:rPr>
          <w:rFonts w:cs="Calibri"/>
          <w:b/>
          <w:color w:val="FF8200"/>
          <w:spacing w:val="-3"/>
          <w:kern w:val="0"/>
          <w:sz w:val="24"/>
          <w:szCs w:val="40"/>
        </w:rPr>
      </w:pPr>
      <w:r>
        <w:br w:type="page"/>
      </w: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pStyle w:val="145"/>
        <w:rPr>
          <w:rFonts w:hint="eastAsia"/>
          <w:lang w:eastAsia="zh-CN"/>
        </w:rPr>
      </w:pPr>
      <w:r>
        <w:rPr>
          <w:rFonts w:hint="eastAsia"/>
          <w:lang w:eastAsia="zh-CN"/>
        </w:rPr>
        <w:t>洪季迟 – 本文主要分析师</w:t>
      </w:r>
    </w:p>
    <w:p>
      <w:pPr>
        <w:pStyle w:val="145"/>
        <w:rPr>
          <w:rFonts w:hint="eastAsia"/>
          <w:lang w:eastAsia="zh-CN"/>
        </w:rPr>
      </w:pPr>
      <w:bookmarkStart w:id="19" w:name="_GoBack"/>
      <w:bookmarkEnd w:id="19"/>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7"/>
    <w:bookmarkStart w:id="14" w:name="_Hlk149300689"/>
    <w:bookmarkStart w:id="15" w:name="_Hlk149300688"/>
    <w:bookmarkStart w:id="16" w:name="_Hlk149300691"/>
    <w:bookmarkStart w:id="17" w:name="_Hlk149300692"/>
    <w:bookmarkStart w:id="18" w:name="_Hlk149300690"/>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9B4"/>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62"/>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10E"/>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5E1"/>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91D"/>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65C"/>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521"/>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38"/>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0B69"/>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C14"/>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47F"/>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92A5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chart" Target="charts/chart8.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image" Target="media/image4.png"/><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8.xml"/><Relationship Id="rId3" Type="http://schemas.microsoft.com/office/2011/relationships/chartStyle" Target="style8.xml"/><Relationship Id="rId2" Type="http://schemas.openxmlformats.org/officeDocument/2006/relationships/chartUserShapes" Target="../drawings/drawing1.xml"/><Relationship Id="rId1" Type="http://schemas.openxmlformats.org/officeDocument/2006/relationships/oleObject" Target="file:///C:\Users\10380\Desktop\&#35266;&#28857;%20&#26368;&#26032;\&#35266;&#28857;&#25968;&#25454;&#22270;&#34920;&#27169;&#26495;-&#27169;&#26495;%2020231106.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10380\Desktop\&#35266;&#28857;%20&#26368;&#26032;\&#35266;&#28857;&#25968;&#25454;&#22270;&#34920;&#27169;&#26495;-&#27169;&#26495;%2020231106.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10380\Desktop\&#35266;&#28857;%20&#26368;&#26032;\&#35266;&#28857;&#25968;&#25454;&#22270;&#34920;&#27169;&#26495;-&#27169;&#26495;%2020231106.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0380\Desktop\&#35266;&#28857;%20&#26368;&#26032;\&#35266;&#28857;&#25968;&#25454;&#22270;&#34920;&#27169;&#26495;-&#27169;&#26495;%2020231106.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0380\Desktop\&#35266;&#28857;%20&#26368;&#26032;\&#35266;&#28857;&#25968;&#25454;&#22270;&#34920;&#27169;&#26495;-&#27169;&#26495;%2020231106.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0380\Desktop\&#35266;&#28857;%20&#26368;&#26032;\&#35266;&#28857;&#25968;&#25454;&#22270;&#34920;&#27169;&#26495;-&#27169;&#26495;%2020231106.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10380\Desktop\&#35266;&#28857;%20&#26368;&#26032;\&#35266;&#28857;&#25968;&#25454;&#22270;&#34920;&#27169;&#26495;-&#27169;&#26495;%2020231106.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10380\Desktop\&#35266;&#28857;%20&#26368;&#26032;\&#35266;&#28857;&#25968;&#25454;&#22270;&#34920;&#27169;&#26495;-&#27169;&#26495;%202023110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3290.5</c:v>
                </c:pt>
                <c:pt idx="1">
                  <c:v>12904.1</c:v>
                </c:pt>
                <c:pt idx="2">
                  <c:v>32343.8</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Lbls>
            <c:delete val="1"/>
          </c:dLbls>
          <c:cat>
            <c:strRef>
              <c:f>企业排序!$F$2:$F$25</c:f>
              <c:strCache>
                <c:ptCount val="14"/>
                <c:pt idx="0">
                  <c:v>ZF Aftermarket</c:v>
                </c:pt>
                <c:pt idx="1">
                  <c:v>Continental AG</c:v>
                </c:pt>
                <c:pt idx="2">
                  <c:v>KH Automotive Technologies</c:v>
                </c:pt>
                <c:pt idx="3">
                  <c:v>Vibracoustic</c:v>
                </c:pt>
                <c:pt idx="4">
                  <c:v>Baolong</c:v>
                </c:pt>
                <c:pt idx="5">
                  <c:v>Tenneco</c:v>
                </c:pt>
                <c:pt idx="6">
                  <c:v>Tianrun</c:v>
                </c:pt>
                <c:pt idx="7">
                  <c:v>Tuopu</c:v>
                </c:pt>
                <c:pt idx="8">
                  <c:v>Bilstein Group</c:v>
                </c:pt>
                <c:pt idx="9">
                  <c:v>HL Mando</c:v>
                </c:pt>
                <c:pt idx="10">
                  <c:v>KYB Group</c:v>
                </c:pt>
                <c:pt idx="11">
                  <c:v>Delphi Technologies（BorgWarner Inc.）</c:v>
                </c:pt>
                <c:pt idx="12">
                  <c:v>Zhongding Group</c:v>
                </c:pt>
                <c:pt idx="13">
                  <c:v>BWI Group (Shougang Group)</c:v>
                </c:pt>
              </c:strCache>
            </c:strRef>
          </c:cat>
          <c:val>
            <c:numRef>
              <c:f>企业排序!$G$2:$G$25</c:f>
              <c:numCache>
                <c:formatCode>#,##0.00_ </c:formatCode>
                <c:ptCount val="14"/>
                <c:pt idx="0">
                  <c:v>1357</c:v>
                </c:pt>
                <c:pt idx="1">
                  <c:v>679.7</c:v>
                </c:pt>
                <c:pt idx="2">
                  <c:v>673.5</c:v>
                </c:pt>
                <c:pt idx="3">
                  <c:v>538.8</c:v>
                </c:pt>
                <c:pt idx="4">
                  <c:v>385.1</c:v>
                </c:pt>
                <c:pt idx="5">
                  <c:v>347.7</c:v>
                </c:pt>
                <c:pt idx="6">
                  <c:v>295.2</c:v>
                </c:pt>
                <c:pt idx="7">
                  <c:v>263</c:v>
                </c:pt>
                <c:pt idx="8">
                  <c:v>245.2</c:v>
                </c:pt>
                <c:pt idx="9">
                  <c:v>236.3</c:v>
                </c:pt>
                <c:pt idx="10">
                  <c:v>232.2</c:v>
                </c:pt>
                <c:pt idx="11">
                  <c:v>219.9</c:v>
                </c:pt>
                <c:pt idx="12">
                  <c:v>191.5</c:v>
                </c:pt>
                <c:pt idx="13">
                  <c:v>175.4</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主动悬挂</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2784.2</c:v>
                </c:pt>
                <c:pt idx="1">
                  <c:v>2924.5</c:v>
                </c:pt>
                <c:pt idx="2">
                  <c:v>4246</c:v>
                </c:pt>
                <c:pt idx="3">
                  <c:v>8584.5</c:v>
                </c:pt>
                <c:pt idx="4">
                  <c:v>10964.1</c:v>
                </c:pt>
                <c:pt idx="5">
                  <c:v>14296.6</c:v>
                </c:pt>
                <c:pt idx="6">
                  <c:v>16982.9</c:v>
                </c:pt>
                <c:pt idx="7">
                  <c:v>19233.8</c:v>
                </c:pt>
                <c:pt idx="8">
                  <c:v>21283.3</c:v>
                </c:pt>
                <c:pt idx="9">
                  <c:v>23419.3</c:v>
                </c:pt>
                <c:pt idx="10">
                  <c:v>25810.8</c:v>
                </c:pt>
                <c:pt idx="11">
                  <c:v>28658.7</c:v>
                </c:pt>
              </c:numCache>
            </c:numRef>
          </c:val>
        </c:ser>
        <c:ser>
          <c:idx val="1"/>
          <c:order val="1"/>
          <c:tx>
            <c:strRef>
              <c:f>分类!$A$3</c:f>
              <c:strCache>
                <c:ptCount val="1"/>
                <c:pt idx="0">
                  <c:v>半主动悬架</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432.6</c:v>
                </c:pt>
                <c:pt idx="1">
                  <c:v>444.8</c:v>
                </c:pt>
                <c:pt idx="2">
                  <c:v>640.7</c:v>
                </c:pt>
                <c:pt idx="3">
                  <c:v>1320.2</c:v>
                </c:pt>
                <c:pt idx="4">
                  <c:v>1717.3</c:v>
                </c:pt>
                <c:pt idx="5">
                  <c:v>2167.8</c:v>
                </c:pt>
                <c:pt idx="6">
                  <c:v>2324.3</c:v>
                </c:pt>
                <c:pt idx="7">
                  <c:v>2475.4</c:v>
                </c:pt>
                <c:pt idx="8">
                  <c:v>2651</c:v>
                </c:pt>
                <c:pt idx="9">
                  <c:v>2820.1</c:v>
                </c:pt>
                <c:pt idx="10">
                  <c:v>3030.7</c:v>
                </c:pt>
                <c:pt idx="11">
                  <c:v>3284.1</c:v>
                </c:pt>
              </c:numCache>
            </c:numRef>
          </c:val>
        </c:ser>
        <c:ser>
          <c:idx val="2"/>
          <c:order val="2"/>
          <c:tx>
            <c:strRef>
              <c:f>分类!$A$4</c:f>
              <c:strCache>
                <c:ptCount val="1"/>
                <c:pt idx="0">
                  <c:v>被动悬架</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Cache>
                <c:formatCode>#,##0_);[Red]\(#,##0\)</c:formatCode>
                <c:ptCount val="12"/>
                <c:pt idx="0">
                  <c:v>73.7</c:v>
                </c:pt>
                <c:pt idx="1">
                  <c:v>72.8</c:v>
                </c:pt>
                <c:pt idx="2">
                  <c:v>98</c:v>
                </c:pt>
                <c:pt idx="3">
                  <c:v>191.1</c:v>
                </c:pt>
                <c:pt idx="4">
                  <c:v>222.7</c:v>
                </c:pt>
                <c:pt idx="5">
                  <c:v>268.7</c:v>
                </c:pt>
                <c:pt idx="6">
                  <c:v>288.4</c:v>
                </c:pt>
                <c:pt idx="7">
                  <c:v>308.7</c:v>
                </c:pt>
                <c:pt idx="8">
                  <c:v>328.6</c:v>
                </c:pt>
                <c:pt idx="9">
                  <c:v>351.3</c:v>
                </c:pt>
                <c:pt idx="10">
                  <c:v>373.6</c:v>
                </c:pt>
                <c:pt idx="11">
                  <c:v>401</c:v>
                </c:pt>
              </c:numCache>
            </c:numRef>
          </c:val>
        </c:ser>
        <c:ser>
          <c:idx val="3"/>
          <c:order val="3"/>
          <c:tx>
            <c:strRef>
              <c:f>分类!$A$5</c:f>
              <c:strCache>
                <c:ptCount val="1"/>
                <c:pt idx="0">
                  <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Ref>
          </c:val>
        </c:ser>
        <c:ser>
          <c:idx val="4"/>
          <c:order val="4"/>
          <c:tx>
            <c:strRef>
              <c:f>分类!$A$6</c:f>
              <c:strCache>
                <c:ptCount val="1"/>
                <c:pt idx="0">
                  <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Ref>
          </c:val>
        </c:ser>
        <c:ser>
          <c:idx val="5"/>
          <c:order val="5"/>
          <c:tx>
            <c:strRef>
              <c:f>分类!$A$7</c:f>
              <c:strCache>
                <c:ptCount val="1"/>
                <c:pt idx="0">
                  <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3290.5</c:v>
                </c:pt>
                <c:pt idx="1">
                  <c:v>3442.1</c:v>
                </c:pt>
                <c:pt idx="2">
                  <c:v>4984.7</c:v>
                </c:pt>
                <c:pt idx="3">
                  <c:v>10095.8</c:v>
                </c:pt>
                <c:pt idx="4">
                  <c:v>12904.1</c:v>
                </c:pt>
                <c:pt idx="5">
                  <c:v>16733.1</c:v>
                </c:pt>
                <c:pt idx="6">
                  <c:v>19595.6</c:v>
                </c:pt>
                <c:pt idx="7">
                  <c:v>22017.9</c:v>
                </c:pt>
                <c:pt idx="8">
                  <c:v>24262.9</c:v>
                </c:pt>
                <c:pt idx="9">
                  <c:v>26590.7</c:v>
                </c:pt>
                <c:pt idx="10">
                  <c:v>29215.1</c:v>
                </c:pt>
                <c:pt idx="11">
                  <c:v>32343.8</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452196382"/>
          <c:y val="0.385748300259616"/>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应用!$R$2:$R$10</c:f>
              <c:strCache>
                <c:ptCount val="3"/>
                <c:pt idx="0">
                  <c:v>纯电动汽车 (BEV)</c:v>
                </c:pt>
                <c:pt idx="1">
                  <c:v>插电式混合动力汽车 (PHEV)</c:v>
                </c:pt>
                <c:pt idx="2">
                  <c:v>混合动力电动汽车 (HEV)</c:v>
                </c:pt>
              </c:strCache>
            </c:strRef>
          </c:cat>
          <c:val>
            <c:numRef>
              <c:f>应用!$AG$2:$AG$10</c:f>
              <c:numCache>
                <c:formatCode>0.0%</c:formatCode>
                <c:ptCount val="3"/>
                <c:pt idx="0">
                  <c:v>0.679184264062973</c:v>
                </c:pt>
                <c:pt idx="1">
                  <c:v>0.27681812279324</c:v>
                </c:pt>
                <c:pt idx="2">
                  <c:v>0.0439976131437865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5833333333333"/>
          <c:y val="0.389926102248908"/>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应用!$R$2:$R$10</c:f>
              <c:strCache>
                <c:ptCount val="3"/>
                <c:pt idx="0">
                  <c:v>纯电动汽车 (BEV)</c:v>
                </c:pt>
                <c:pt idx="1">
                  <c:v>插电式混合动力汽车 (PHEV)</c:v>
                </c:pt>
                <c:pt idx="2">
                  <c:v>混合动力电动汽车 (HEV)</c:v>
                </c:pt>
              </c:strCache>
            </c:strRef>
          </c:cat>
          <c:val>
            <c:numRef>
              <c:f>应用!$AF$2:$AF$10</c:f>
              <c:numCache>
                <c:formatCode>0.0%</c:formatCode>
                <c:ptCount val="3"/>
                <c:pt idx="0">
                  <c:v>0.606369293480367</c:v>
                </c:pt>
                <c:pt idx="1">
                  <c:v>0.339392131183112</c:v>
                </c:pt>
                <c:pt idx="2">
                  <c:v>0.054238575336521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纯电动汽车 (BEV)</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2111.35</c:v>
                </c:pt>
                <c:pt idx="1">
                  <c:v>2197.55</c:v>
                </c:pt>
                <c:pt idx="2">
                  <c:v>3156.05</c:v>
                </c:pt>
                <c:pt idx="3">
                  <c:v>6194.6</c:v>
                </c:pt>
                <c:pt idx="4">
                  <c:v>7824.65</c:v>
                </c:pt>
                <c:pt idx="5">
                  <c:v>10132.5</c:v>
                </c:pt>
                <c:pt idx="6">
                  <c:v>12461.6</c:v>
                </c:pt>
                <c:pt idx="7">
                  <c:v>14375.4</c:v>
                </c:pt>
                <c:pt idx="8">
                  <c:v>16002.4</c:v>
                </c:pt>
                <c:pt idx="9">
                  <c:v>17671.55</c:v>
                </c:pt>
                <c:pt idx="10">
                  <c:v>19630.85</c:v>
                </c:pt>
                <c:pt idx="11">
                  <c:v>21967.4</c:v>
                </c:pt>
              </c:numCache>
            </c:numRef>
          </c:val>
        </c:ser>
        <c:ser>
          <c:idx val="1"/>
          <c:order val="1"/>
          <c:tx>
            <c:strRef>
              <c:f>应用!$A$3</c:f>
              <c:strCache>
                <c:ptCount val="1"/>
                <c:pt idx="0">
                  <c:v>插电式混合动力汽车 (PHEV)</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1018.95</c:v>
                </c:pt>
                <c:pt idx="1">
                  <c:v>1075.2</c:v>
                </c:pt>
                <c:pt idx="2">
                  <c:v>1579.05</c:v>
                </c:pt>
                <c:pt idx="3">
                  <c:v>3365.55</c:v>
                </c:pt>
                <c:pt idx="4">
                  <c:v>4379.55</c:v>
                </c:pt>
                <c:pt idx="5">
                  <c:v>5677.95</c:v>
                </c:pt>
                <c:pt idx="6">
                  <c:v>6133.95</c:v>
                </c:pt>
                <c:pt idx="7">
                  <c:v>6570.75</c:v>
                </c:pt>
                <c:pt idx="8">
                  <c:v>7110.9</c:v>
                </c:pt>
                <c:pt idx="9">
                  <c:v>7686.9</c:v>
                </c:pt>
                <c:pt idx="10">
                  <c:v>8262.6</c:v>
                </c:pt>
                <c:pt idx="11">
                  <c:v>8953.35</c:v>
                </c:pt>
              </c:numCache>
            </c:numRef>
          </c:val>
        </c:ser>
        <c:ser>
          <c:idx val="2"/>
          <c:order val="2"/>
          <c:tx>
            <c:strRef>
              <c:f>应用!$A$4</c:f>
              <c:strCache>
                <c:ptCount val="1"/>
                <c:pt idx="0">
                  <c:v>混合动力电动汽车 (HEV)</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Cache>
                <c:formatCode>#,##0_);[Red]\(#,##0\)</c:formatCode>
                <c:ptCount val="12"/>
                <c:pt idx="0">
                  <c:v>160.2</c:v>
                </c:pt>
                <c:pt idx="1">
                  <c:v>169.35</c:v>
                </c:pt>
                <c:pt idx="2">
                  <c:v>249.6</c:v>
                </c:pt>
                <c:pt idx="3">
                  <c:v>535.65</c:v>
                </c:pt>
                <c:pt idx="4">
                  <c:v>699.9</c:v>
                </c:pt>
                <c:pt idx="5">
                  <c:v>922.65</c:v>
                </c:pt>
                <c:pt idx="6">
                  <c:v>1000.05</c:v>
                </c:pt>
                <c:pt idx="7">
                  <c:v>1071.75</c:v>
                </c:pt>
                <c:pt idx="8">
                  <c:v>1149.6</c:v>
                </c:pt>
                <c:pt idx="9">
                  <c:v>1232.25</c:v>
                </c:pt>
                <c:pt idx="10">
                  <c:v>1321.65</c:v>
                </c:pt>
                <c:pt idx="11">
                  <c:v>1423.05</c:v>
                </c:pt>
              </c:numCache>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3290.5</c:v>
                </c:pt>
                <c:pt idx="1">
                  <c:v>3442.1</c:v>
                </c:pt>
                <c:pt idx="2">
                  <c:v>4984.7</c:v>
                </c:pt>
                <c:pt idx="3">
                  <c:v>10095.8</c:v>
                </c:pt>
                <c:pt idx="4">
                  <c:v>12904.1</c:v>
                </c:pt>
                <c:pt idx="5">
                  <c:v>16733.1</c:v>
                </c:pt>
                <c:pt idx="6">
                  <c:v>19595.6</c:v>
                </c:pt>
                <c:pt idx="7">
                  <c:v>22017.9</c:v>
                </c:pt>
                <c:pt idx="8">
                  <c:v>24262.9</c:v>
                </c:pt>
                <c:pt idx="9">
                  <c:v>26590.7</c:v>
                </c:pt>
                <c:pt idx="10">
                  <c:v>29215.1</c:v>
                </c:pt>
                <c:pt idx="11">
                  <c:v>32343.8</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655.2</c:v>
                </c:pt>
                <c:pt idx="1">
                  <c:v>568.9</c:v>
                </c:pt>
                <c:pt idx="2">
                  <c:v>563.7</c:v>
                </c:pt>
                <c:pt idx="3">
                  <c:v>1019.7</c:v>
                </c:pt>
                <c:pt idx="4">
                  <c:v>1582.7</c:v>
                </c:pt>
                <c:pt idx="5">
                  <c:v>2053.6</c:v>
                </c:pt>
                <c:pt idx="6">
                  <c:v>2594.3</c:v>
                </c:pt>
                <c:pt idx="7">
                  <c:v>3071.6</c:v>
                </c:pt>
                <c:pt idx="8">
                  <c:v>3384.2</c:v>
                </c:pt>
                <c:pt idx="9">
                  <c:v>3665</c:v>
                </c:pt>
                <c:pt idx="10">
                  <c:v>4036.4</c:v>
                </c:pt>
                <c:pt idx="11">
                  <c:v>4449.5</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704.9</c:v>
                </c:pt>
                <c:pt idx="1">
                  <c:v>991.5</c:v>
                </c:pt>
                <c:pt idx="2">
                  <c:v>2406.4</c:v>
                </c:pt>
                <c:pt idx="3">
                  <c:v>4371.8</c:v>
                </c:pt>
                <c:pt idx="4">
                  <c:v>4932.7</c:v>
                </c:pt>
                <c:pt idx="5">
                  <c:v>6437</c:v>
                </c:pt>
                <c:pt idx="6">
                  <c:v>7729.5</c:v>
                </c:pt>
                <c:pt idx="7">
                  <c:v>8927.6</c:v>
                </c:pt>
                <c:pt idx="8">
                  <c:v>10102.1</c:v>
                </c:pt>
                <c:pt idx="9">
                  <c:v>11345.9</c:v>
                </c:pt>
                <c:pt idx="10">
                  <c:v>12869.3</c:v>
                </c:pt>
                <c:pt idx="11">
                  <c:v>14887</c:v>
                </c:pt>
              </c:numCache>
            </c:numRef>
          </c:val>
        </c:ser>
        <c:ser>
          <c:idx val="2"/>
          <c:order val="2"/>
          <c:tx>
            <c:strRef>
              <c:f>'地区-生产'!$A$4</c:f>
              <c:strCache>
                <c:ptCount val="1"/>
                <c:pt idx="0">
                  <c:v>亚太</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1930.4</c:v>
                </c:pt>
                <c:pt idx="1">
                  <c:v>1881.7</c:v>
                </c:pt>
                <c:pt idx="2">
                  <c:v>1995.2</c:v>
                </c:pt>
                <c:pt idx="3">
                  <c:v>4684.3</c:v>
                </c:pt>
                <c:pt idx="4">
                  <c:v>6356.5</c:v>
                </c:pt>
                <c:pt idx="5">
                  <c:v>8197.1</c:v>
                </c:pt>
                <c:pt idx="6">
                  <c:v>9222.3</c:v>
                </c:pt>
                <c:pt idx="7">
                  <c:v>9965</c:v>
                </c:pt>
                <c:pt idx="8">
                  <c:v>10718.8</c:v>
                </c:pt>
                <c:pt idx="9">
                  <c:v>11517</c:v>
                </c:pt>
                <c:pt idx="10">
                  <c:v>12241</c:v>
                </c:pt>
                <c:pt idx="11">
                  <c:v>12933.3</c:v>
                </c:pt>
              </c:numCache>
            </c:numRef>
          </c:val>
        </c:ser>
        <c:ser>
          <c:idx val="3"/>
          <c:order val="3"/>
          <c:tx>
            <c:strRef>
              <c:f>'地区-生产'!$A$5</c:f>
              <c:strCache>
                <c:ptCount val="1"/>
                <c:pt idx="0">
                  <c:v>拉美</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0</c:v>
                </c:pt>
                <c:pt idx="1">
                  <c:v>0</c:v>
                </c:pt>
                <c:pt idx="2">
                  <c:v>19.4</c:v>
                </c:pt>
                <c:pt idx="3">
                  <c:v>20</c:v>
                </c:pt>
                <c:pt idx="4">
                  <c:v>29.9</c:v>
                </c:pt>
                <c:pt idx="5">
                  <c:v>40.6</c:v>
                </c:pt>
                <c:pt idx="6">
                  <c:v>44.4</c:v>
                </c:pt>
                <c:pt idx="7">
                  <c:v>48.3</c:v>
                </c:pt>
                <c:pt idx="8">
                  <c:v>52.1</c:v>
                </c:pt>
                <c:pt idx="9">
                  <c:v>56.6</c:v>
                </c:pt>
                <c:pt idx="10">
                  <c:v>61.8</c:v>
                </c:pt>
                <c:pt idx="11">
                  <c:v>67.1</c:v>
                </c:pt>
              </c:numCache>
            </c:numRef>
          </c:val>
        </c:ser>
        <c:ser>
          <c:idx val="4"/>
          <c:order val="4"/>
          <c:tx>
            <c:strRef>
              <c:f>'地区-生产'!$A$6</c:f>
              <c:strCache>
                <c:ptCount val="1"/>
                <c:pt idx="0">
                  <c:v>中东和非洲</c:v>
                </c:pt>
              </c:strCache>
            </c:strRef>
          </c:tx>
          <c:spPr>
            <a:solidFill>
              <a:schemeClr val="tx1">
                <a:lumMod val="65000"/>
                <a:lumOff val="3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0</c:v>
                </c:pt>
                <c:pt idx="1">
                  <c:v>0</c:v>
                </c:pt>
                <c:pt idx="2">
                  <c:v>0</c:v>
                </c:pt>
                <c:pt idx="3">
                  <c:v>0</c:v>
                </c:pt>
                <c:pt idx="4">
                  <c:v>2.29999999999927</c:v>
                </c:pt>
                <c:pt idx="5">
                  <c:v>4.79999999999927</c:v>
                </c:pt>
                <c:pt idx="6">
                  <c:v>5.1</c:v>
                </c:pt>
                <c:pt idx="7">
                  <c:v>5.4</c:v>
                </c:pt>
                <c:pt idx="8">
                  <c:v>5.7</c:v>
                </c:pt>
                <c:pt idx="9">
                  <c:v>6.2</c:v>
                </c:pt>
                <c:pt idx="10">
                  <c:v>6.6</c:v>
                </c:pt>
                <c:pt idx="11">
                  <c:v>6.9</c:v>
                </c:pt>
              </c:numCache>
            </c:numRef>
          </c:val>
        </c:ser>
        <c:ser>
          <c:idx val="5"/>
          <c:order val="5"/>
          <c:tx>
            <c:strRef>
              <c:f>'地区-生产'!$A$7</c:f>
              <c:strCache>
                <c:ptCount val="1"/>
                <c:pt idx="0">
                  <c:v/>
                </c:pt>
              </c:strCache>
            </c:strRef>
          </c:tx>
          <c:spPr>
            <a:solidFill>
              <a:srgbClr val="C00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'地区-生产'!$B$7:$M$7</c:f>
            </c:numRef>
          </c:val>
        </c:ser>
        <c:ser>
          <c:idx val="6"/>
          <c:order val="6"/>
          <c:tx>
            <c:strRef>
              <c:f>'地区-生产'!$A$8</c:f>
              <c:strCache>
                <c:ptCount val="1"/>
                <c:pt idx="0">
                  <c:v/>
                </c:pt>
              </c:strCache>
            </c:strRef>
          </c:tx>
          <c:spPr>
            <a:solidFill>
              <a:srgbClr val="7030A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'地区-生产'!$B$8:$M$8</c:f>
            </c:numRef>
          </c:val>
        </c:ser>
        <c:ser>
          <c:idx val="7"/>
          <c:order val="7"/>
          <c:tx>
            <c:strRef>
              <c:f>'地区-生产'!$A$9</c:f>
              <c:strCache>
                <c:ptCount val="1"/>
                <c:pt idx="0">
                  <c:v/>
                </c:pt>
              </c:strCache>
            </c:strRef>
          </c:tx>
          <c:spPr>
            <a:solidFill>
              <a:schemeClr val="tx2">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'地区-生产'!$B$9:$M$9</c:f>
            </c:numRef>
          </c:val>
        </c:ser>
        <c:ser>
          <c:idx val="8"/>
          <c:order val="8"/>
          <c:tx>
            <c:strRef>
              <c:f>'地区-生产'!$A$10</c:f>
              <c:strCache>
                <c:ptCount val="1"/>
                <c:pt idx="0">
                  <c:v/>
                </c:pt>
              </c:strCache>
            </c:strRef>
          </c:tx>
          <c:spPr>
            <a:solidFill>
              <a:schemeClr val="accent6">
                <a:lumMod val="7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62686728395062"/>
          <c:y val="0.0400506535947712"/>
          <c:w val="0.949926234567901"/>
          <c:h val="0.755441666666667"/>
        </c:manualLayout>
      </c:layout>
      <c:barChart>
        <c:barDir val="col"/>
        <c:grouping val="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655.2</c:v>
                </c:pt>
                <c:pt idx="1">
                  <c:v>568.9</c:v>
                </c:pt>
                <c:pt idx="2">
                  <c:v>563.7</c:v>
                </c:pt>
                <c:pt idx="3">
                  <c:v>1019.7</c:v>
                </c:pt>
                <c:pt idx="4">
                  <c:v>1582.7</c:v>
                </c:pt>
                <c:pt idx="5">
                  <c:v>2053.6</c:v>
                </c:pt>
                <c:pt idx="6">
                  <c:v>2594.3</c:v>
                </c:pt>
                <c:pt idx="7">
                  <c:v>3071.6</c:v>
                </c:pt>
                <c:pt idx="8">
                  <c:v>3384.2</c:v>
                </c:pt>
                <c:pt idx="9">
                  <c:v>3665</c:v>
                </c:pt>
                <c:pt idx="10">
                  <c:v>4036.4</c:v>
                </c:pt>
                <c:pt idx="11">
                  <c:v>4449.5</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704.9</c:v>
                </c:pt>
                <c:pt idx="1">
                  <c:v>991.5</c:v>
                </c:pt>
                <c:pt idx="2">
                  <c:v>2406.4</c:v>
                </c:pt>
                <c:pt idx="3">
                  <c:v>4371.8</c:v>
                </c:pt>
                <c:pt idx="4">
                  <c:v>4932.7</c:v>
                </c:pt>
                <c:pt idx="5">
                  <c:v>6437</c:v>
                </c:pt>
                <c:pt idx="6">
                  <c:v>7729.5</c:v>
                </c:pt>
                <c:pt idx="7">
                  <c:v>8927.6</c:v>
                </c:pt>
                <c:pt idx="8">
                  <c:v>10102.1</c:v>
                </c:pt>
                <c:pt idx="9">
                  <c:v>11345.9</c:v>
                </c:pt>
                <c:pt idx="10">
                  <c:v>12869.3</c:v>
                </c:pt>
                <c:pt idx="11">
                  <c:v>14887</c:v>
                </c:pt>
              </c:numCache>
            </c:numRef>
          </c:val>
        </c:ser>
        <c:ser>
          <c:idx val="2"/>
          <c:order val="2"/>
          <c:tx>
            <c:strRef>
              <c:f>'地区-生产'!$A$4</c:f>
              <c:strCache>
                <c:ptCount val="1"/>
                <c:pt idx="0">
                  <c:v>亚太</c:v>
                </c:pt>
              </c:strCache>
            </c:strRef>
          </c:tx>
          <c:spPr>
            <a:solidFill>
              <a:schemeClr val="accent6">
                <a:lumMod val="7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1930.4</c:v>
                </c:pt>
                <c:pt idx="1">
                  <c:v>1881.7</c:v>
                </c:pt>
                <c:pt idx="2">
                  <c:v>1995.2</c:v>
                </c:pt>
                <c:pt idx="3">
                  <c:v>4684.3</c:v>
                </c:pt>
                <c:pt idx="4">
                  <c:v>6356.5</c:v>
                </c:pt>
                <c:pt idx="5">
                  <c:v>8197.1</c:v>
                </c:pt>
                <c:pt idx="6">
                  <c:v>9222.3</c:v>
                </c:pt>
                <c:pt idx="7">
                  <c:v>9965</c:v>
                </c:pt>
                <c:pt idx="8">
                  <c:v>10718.8</c:v>
                </c:pt>
                <c:pt idx="9">
                  <c:v>11517</c:v>
                </c:pt>
                <c:pt idx="10">
                  <c:v>12241</c:v>
                </c:pt>
                <c:pt idx="11">
                  <c:v>12933.3</c:v>
                </c:pt>
              </c:numCache>
            </c:numRef>
          </c:val>
        </c:ser>
        <c:ser>
          <c:idx val="3"/>
          <c:order val="3"/>
          <c:tx>
            <c:strRef>
              <c:f>'地区-生产'!$A$5</c:f>
              <c:strCache>
                <c:ptCount val="1"/>
                <c:pt idx="0">
                  <c:v>拉美</c:v>
                </c:pt>
              </c:strCache>
            </c:strRef>
          </c:tx>
          <c:spPr>
            <a:solidFill>
              <a:schemeClr val="tx2">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0</c:v>
                </c:pt>
                <c:pt idx="1">
                  <c:v>0</c:v>
                </c:pt>
                <c:pt idx="2">
                  <c:v>19.4</c:v>
                </c:pt>
                <c:pt idx="3">
                  <c:v>20</c:v>
                </c:pt>
                <c:pt idx="4">
                  <c:v>29.9</c:v>
                </c:pt>
                <c:pt idx="5">
                  <c:v>40.6</c:v>
                </c:pt>
                <c:pt idx="6">
                  <c:v>44.4</c:v>
                </c:pt>
                <c:pt idx="7">
                  <c:v>48.3</c:v>
                </c:pt>
                <c:pt idx="8">
                  <c:v>52.1</c:v>
                </c:pt>
                <c:pt idx="9">
                  <c:v>56.6</c:v>
                </c:pt>
                <c:pt idx="10">
                  <c:v>61.8</c:v>
                </c:pt>
                <c:pt idx="11">
                  <c:v>67.1</c:v>
                </c:pt>
              </c:numCache>
            </c:numRef>
          </c:val>
        </c:ser>
        <c:ser>
          <c:idx val="4"/>
          <c:order val="4"/>
          <c:tx>
            <c:strRef>
              <c:f>'地区-生产'!$A$6</c:f>
              <c:strCache>
                <c:ptCount val="1"/>
                <c:pt idx="0">
                  <c:v>中东和非洲</c:v>
                </c:pt>
              </c:strCache>
            </c:strRef>
          </c:tx>
          <c:spPr>
            <a:solidFill>
              <a:schemeClr val="accent1">
                <a:lumMod val="7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0</c:v>
                </c:pt>
                <c:pt idx="1">
                  <c:v>0</c:v>
                </c:pt>
                <c:pt idx="2">
                  <c:v>0</c:v>
                </c:pt>
                <c:pt idx="3">
                  <c:v>0</c:v>
                </c:pt>
                <c:pt idx="4">
                  <c:v>2.29999999999927</c:v>
                </c:pt>
                <c:pt idx="5">
                  <c:v>4.79999999999927</c:v>
                </c:pt>
                <c:pt idx="6">
                  <c:v>5.1</c:v>
                </c:pt>
                <c:pt idx="7">
                  <c:v>5.4</c:v>
                </c:pt>
                <c:pt idx="8">
                  <c:v>5.7</c:v>
                </c:pt>
                <c:pt idx="9">
                  <c:v>6.2</c:v>
                </c:pt>
                <c:pt idx="10">
                  <c:v>6.6</c:v>
                </c:pt>
                <c:pt idx="11">
                  <c:v>6.9</c:v>
                </c:pt>
              </c:numCache>
            </c:numRef>
          </c:val>
        </c:ser>
        <c:ser>
          <c:idx val="5"/>
          <c:order val="5"/>
          <c:tx>
            <c:strRef>
              <c:f>'地区-生产'!$A$7</c:f>
              <c:strCache>
                <c:ptCount val="1"/>
                <c:pt idx="0">
                  <c:v/>
                </c:pt>
              </c:strCache>
            </c:strRef>
          </c:tx>
          <c:spPr>
            <a:solidFill>
              <a:schemeClr val="accent4">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'地区-生产'!$B$7:$M$7</c:f>
            </c:numRef>
          </c:val>
        </c:ser>
        <c:ser>
          <c:idx val="6"/>
          <c:order val="6"/>
          <c:tx>
            <c:strRef>
              <c:f>'地区-生产'!$A$8</c:f>
              <c:strCache>
                <c:ptCount val="1"/>
                <c:pt idx="0">
                  <c:v/>
                </c:pt>
              </c:strCache>
            </c:strRef>
          </c:tx>
          <c:spPr>
            <a:solidFill>
              <a:schemeClr val="accent2">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'地区-生产'!$B$8:$M$8</c:f>
            </c:numRef>
          </c:val>
        </c:ser>
        <c:ser>
          <c:idx val="7"/>
          <c:order val="7"/>
          <c:tx>
            <c:strRef>
              <c:f>'地区-生产'!$A$9</c:f>
              <c:strCache>
                <c:ptCount val="1"/>
                <c:pt idx="0">
                  <c:v/>
                </c:pt>
              </c:strCache>
            </c:strRef>
          </c:tx>
          <c:spPr>
            <a:solidFill>
              <a:schemeClr val="bg2">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'地区-生产'!$B$9:$M$9</c:f>
            </c:numRef>
          </c:val>
        </c:ser>
        <c:ser>
          <c:idx val="8"/>
          <c:order val="8"/>
          <c:tx>
            <c:strRef>
              <c:f>'地区-生产'!$A$10</c:f>
              <c:strCache>
                <c:ptCount val="1"/>
                <c:pt idx="0">
                  <c:v/>
                </c:pt>
              </c:strCache>
            </c:strRef>
          </c:tx>
          <c:spPr>
            <a:solidFill>
              <a:schemeClr val="accent5">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'地区-生产'!$A$11</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'地区-生产'!$B$11:$M$11</c:f>
              <c:numCache>
                <c:formatCode>#,##0_);[Red]\(#,##0\)</c:formatCode>
                <c:ptCount val="12"/>
                <c:pt idx="0">
                  <c:v>3290.5</c:v>
                </c:pt>
                <c:pt idx="1">
                  <c:v>3442.1</c:v>
                </c:pt>
                <c:pt idx="2">
                  <c:v>4984.7</c:v>
                </c:pt>
                <c:pt idx="3">
                  <c:v>10095.8</c:v>
                </c:pt>
                <c:pt idx="4">
                  <c:v>12904.1</c:v>
                </c:pt>
                <c:pt idx="5">
                  <c:v>16733.1</c:v>
                </c:pt>
                <c:pt idx="6">
                  <c:v>19595.6</c:v>
                </c:pt>
                <c:pt idx="7">
                  <c:v>22017.9</c:v>
                </c:pt>
                <c:pt idx="8">
                  <c:v>24262.9</c:v>
                </c:pt>
                <c:pt idx="9">
                  <c:v>26590.7</c:v>
                </c:pt>
                <c:pt idx="10">
                  <c:v>29215.1</c:v>
                </c:pt>
                <c:pt idx="11">
                  <c:v>32343.8</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323108024691358"/>
          <c:y val="0.865502222222222"/>
          <c:w val="0.898140586419753"/>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0.55078</cdr:x>
      <cdr:y>0.17175</cdr:y>
    </cdr:from>
    <cdr:to>
      <cdr:x>0.73063</cdr:x>
      <cdr:y>0.51232</cdr:y>
    </cdr:to>
    <cdr:grpSp>
      <cdr:nvGrpSpPr>
        <cdr:cNvPr id="2" name="组合 1"/>
        <cdr:cNvGrpSpPr/>
      </cdr:nvGrpSpPr>
      <cdr:grpSpPr xmlns:a="http://schemas.openxmlformats.org/drawingml/2006/main">
        <a:xfrm rot="439955">
          <a:off x="3408618" y="506699"/>
          <a:ext cx="1113039" cy="1004753"/>
          <a:chOff x="2859058" y="1061399"/>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885602" y="1427757"/>
            <a:ext cx="619687" cy="185800"/>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11.6%</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0.23328</cdr:x>
      <cdr:y>0.47975</cdr:y>
    </cdr:from>
    <cdr:to>
      <cdr:x>0.43042</cdr:x>
      <cdr:y>0.743</cdr:y>
    </cdr:to>
    <cdr:grpSp>
      <cdr:nvGrpSpPr>
        <cdr:cNvPr id="5" name="组合 4"/>
        <cdr:cNvGrpSpPr/>
      </cdr:nvGrpSpPr>
      <cdr:grpSpPr xmlns:a="http://schemas.openxmlformats.org/drawingml/2006/main">
        <a:xfrm rot="1783323">
          <a:off x="1443702" y="1415363"/>
          <a:ext cx="1220042" cy="776643"/>
          <a:chOff x="3065378" y="1615187"/>
          <a:chExt cx="1010935" cy="814928"/>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35135" y="1935053"/>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40.7%</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479</Words>
  <Characters>2731</Characters>
  <Lines>22</Lines>
  <Paragraphs>6</Paragraphs>
  <TotalTime>12</TotalTime>
  <ScaleCrop>false</ScaleCrop>
  <LinksUpToDate>false</LinksUpToDate>
  <CharactersWithSpaces>3204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2023-11-20T02:08:00Z</dcterms:created>
  <dc:creator>yangj</dc:creator>
  <cp:lastModifiedBy>*星*空夜@话</cp:lastModifiedBy>
  <dcterms:modified xsi:type="dcterms:W3CDTF">2023-12-05T01:38:20Z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F035345CB1704784B3793CFA9EC824E3_12</vt:lpwstr>
  </property>
</Properties>
</file>