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colors4.xml" ContentType="application/vnd.ms-office.chartcolorstyle+xml"/>
  <Override PartName="/word/charts/colors5.xml" ContentType="application/vnd.ms-office.chartcolorstyle+xml"/>
  <Override PartName="/word/charts/colors6.xml" ContentType="application/vnd.ms-office.chartcolorstyle+xml"/>
  <Override PartName="/word/charts/colors7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charts/style4.xml" ContentType="application/vnd.ms-office.chartstyle+xml"/>
  <Override PartName="/word/charts/style5.xml" ContentType="application/vnd.ms-office.chartstyle+xml"/>
  <Override PartName="/word/charts/style6.xml" ContentType="application/vnd.ms-office.chartstyle+xml"/>
  <Override PartName="/word/charts/style7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6" w:type="first"/>
          <w:headerReference r:id="rId4" w:type="default"/>
          <w:headerReference r:id="rId5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5" w:name="_GoBack"/>
      <w:bookmarkEnd w:id="15"/>
      <w:bookmarkStart w:id="0" w:name="OLE_LINK24"/>
      <w:bookmarkStart w:id="1" w:name="_Toc453597319"/>
      <w:bookmarkStart w:id="2" w:name="_Toc481801204"/>
      <w:bookmarkStart w:id="3" w:name="OLE_LINK39"/>
      <w:bookmarkStart w:id="4" w:name="_Toc438987549"/>
      <w:bookmarkStart w:id="5" w:name="OLE_LINK40"/>
      <w:bookmarkStart w:id="6" w:name="_Toc415818939"/>
      <w:bookmarkStart w:id="7" w:name="_Toc418070112"/>
      <w:bookmarkStart w:id="8" w:name="_Hlk23501351"/>
      <w:bookmarkStart w:id="9" w:name="OLE_LINK15"/>
      <w:bookmarkStart w:id="10" w:name="OLE_LINK13"/>
      <w:bookmarkStart w:id="11" w:name="_Toc415142861"/>
      <w:bookmarkStart w:id="12" w:name="_Toc415143481"/>
      <w:bookmarkStart w:id="13" w:name="_Toc517262917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-172720</wp:posOffset>
                </wp:positionH>
                <wp:positionV relativeFrom="paragraph">
                  <wp:posOffset>1377950</wp:posOffset>
                </wp:positionV>
                <wp:extent cx="6352540" cy="1981200"/>
                <wp:effectExtent l="0" t="0" r="10160" b="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6352540" cy="1981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PLC分路器芯片行业形势分析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3.6pt;margin-top:108.5pt;height:156pt;width:500.2pt;z-index:251661312;mso-width-relative:page;mso-height-relative:page;" fillcolor="#FFFFFF [3201]" filled="t" stroked="f" coordsize="21600,21600" o:gfxdata="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jQ5lc&#10;1gAAAAsBAAAPAAAAAAAAAAEAIAAAACIAAABkcnMvZG93bnJldi54bWxQSwECFAAUAAAACACHTuJA&#10;F6EMYFwCAACeBAAADgAAAAAAAAABACAAAAAlAQAAZHJzL2Uyb0RvYy54bWxQSwUGAAAAAAYABgBZ&#10;AQAA8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PLC分路器芯片行业形势分析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PLC平面光路，用于制造集成光电子器件的一种技术平台，能够应用于不同的衬底材料，PLC分路器芯片是指将PLC分路器晶圆经切割成巴条、抛光后切割成的单个芯片。</w:t>
      </w:r>
    </w:p>
    <w:p>
      <w:pPr>
        <w:pStyle w:val="145"/>
        <w:jc w:val="center"/>
        <w:rPr>
          <w:lang w:eastAsia="zh-CN"/>
        </w:rPr>
      </w:pPr>
      <w:r>
        <w:drawing>
          <wp:inline distT="0" distB="0" distL="0" distR="0">
            <wp:extent cx="3857625" cy="2565400"/>
            <wp:effectExtent l="0" t="0" r="9525" b="6350"/>
            <wp:docPr id="58" name="图片 58" descr="http://www.toptical.cn/Up/day_190903/2019090312572822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http://www.toptical.cn/Up/day_190903/20190903125728228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75715" cy="257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根据最新调研报告显示，预计2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年全球</w:t>
      </w:r>
      <w:r>
        <w:rPr>
          <w:lang w:eastAsia="zh-CN"/>
        </w:rPr>
        <w:t>PLC分路器芯片</w:t>
      </w:r>
      <w:r>
        <w:rPr>
          <w:rFonts w:hint="eastAsia"/>
          <w:lang w:eastAsia="zh-CN"/>
        </w:rPr>
        <w:t>市场规模将达到</w:t>
      </w:r>
      <w:r>
        <w:rPr>
          <w:lang w:eastAsia="zh-CN"/>
        </w:rPr>
        <w:t>138</w:t>
      </w:r>
      <w:r>
        <w:rPr>
          <w:rFonts w:hint="eastAsia"/>
          <w:lang w:eastAsia="zh-CN"/>
        </w:rPr>
        <w:t>百万元，未来几年年复合增长率CAGR为</w:t>
      </w:r>
      <w:r>
        <w:rPr>
          <w:lang w:eastAsia="zh-CN"/>
        </w:rPr>
        <w:t>0.8</w:t>
      </w:r>
      <w:r>
        <w:rPr>
          <w:rFonts w:hint="eastAsia"/>
          <w:lang w:eastAsia="zh-CN"/>
        </w:rPr>
        <w:t>%。</w:t>
      </w:r>
    </w:p>
    <w:p>
      <w:pPr>
        <w:pStyle w:val="148"/>
        <w:rPr>
          <w:lang w:eastAsia="zh-CN"/>
        </w:rPr>
      </w:pPr>
      <w:r>
        <w:rPr>
          <w:lang w:eastAsia="zh-CN"/>
        </w:rPr>
        <w:t>PLC分路器芯片</w:t>
      </w:r>
      <w:r>
        <w:rPr>
          <w:rFonts w:hint="eastAsia"/>
          <w:lang w:eastAsia="zh-CN"/>
        </w:rPr>
        <w:t>，全球市场总体规模，预计2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年达到</w:t>
      </w:r>
      <w:r>
        <w:rPr>
          <w:lang w:eastAsia="zh-CN"/>
        </w:rPr>
        <w:t>138</w:t>
      </w:r>
      <w:r>
        <w:rPr>
          <w:rFonts w:hint="eastAsia"/>
          <w:lang w:eastAsia="zh-CN"/>
        </w:rPr>
        <w:t>百万元</w:t>
      </w:r>
    </w:p>
    <w:p>
      <w:pPr>
        <w:pStyle w:val="145"/>
      </w:pPr>
      <w:r>
        <w:drawing>
          <wp:inline distT="0" distB="0" distL="0" distR="0">
            <wp:extent cx="6188710" cy="2922270"/>
            <wp:effectExtent l="0" t="0" r="2540" b="11430"/>
            <wp:docPr id="705519327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PLC分路器芯片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主要驱动因素</w:t>
      </w:r>
      <w:r>
        <w:rPr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1</w:t>
      </w:r>
      <w:r>
        <w:rPr>
          <w:lang w:eastAsia="zh-CN"/>
        </w:rPr>
        <w:t xml:space="preserve">. </w:t>
      </w:r>
      <w:r>
        <w:rPr>
          <w:rFonts w:hint="eastAsia"/>
          <w:lang w:eastAsia="zh-CN"/>
        </w:rPr>
        <w:t>国家政策支持。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2</w:t>
      </w:r>
      <w:r>
        <w:rPr>
          <w:lang w:eastAsia="zh-CN"/>
        </w:rPr>
        <w:t>.</w:t>
      </w:r>
      <w:r>
        <w:rPr>
          <w:rFonts w:hint="eastAsia"/>
          <w:lang w:eastAsia="zh-CN"/>
        </w:rPr>
        <w:t xml:space="preserve"> 随着国内“东数西算”布局，运营商在千兆光纤接入网、5G 建设、骨干网/城域网扩容方面将持续加大投入；云厂商方面，受到在线应用的持续推进，视频、直播等在线业务的发展将进一步推动更多的数据中心建设，高速光芯片和器件的需求将不断增长。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主要阻碍因素</w:t>
      </w:r>
      <w:r>
        <w:rPr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1. 技术：技术标准不统一。不同厂家的分路器芯片可能采用不同的接口和协议，在兼容性上出现差异，用户端使用成本和风险增加。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2. 成本：芯片是整个分路器的核心器件。目前分路器在国内已经得到了广泛使用，控制分路器成本是关键，分路器芯片过高，直接影响了在市场上的竞争力。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行业发展趋势</w:t>
      </w:r>
      <w:r>
        <w:rPr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高技术要求：终端信息需求的增大，要求PLC分路器芯片需求朝着更高功率、高快速率等发展趋势，同时下游新产品、新应用的涌现，对芯片的制造、封装等工艺提出更高的技术要求。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高可靠性、安全性：下游应用场景复杂，为应对恶劣的工业环境和长时间运行的要求，芯片设计在可靠性以及安全性设计方面要求凸显，保证设备的稳定运行和保障工业控制系统的安全运行。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PLC分路器芯片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13</w:t>
      </w:r>
      <w:r>
        <w:rPr>
          <w:rFonts w:hint="eastAsia"/>
          <w:lang w:eastAsia="zh-CN"/>
        </w:rPr>
        <w:t>强生产商排名及市场占有率（持续更新）</w:t>
      </w:r>
    </w:p>
    <w:p>
      <w:pPr>
        <w:widowControl/>
        <w:topLinePunct w:val="0"/>
        <w:spacing w:after="0"/>
        <w:jc w:val="center"/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6191250" cy="4019550"/>
            <wp:effectExtent l="0" t="0" r="0" b="0"/>
            <wp:docPr id="233452686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PLC分路器芯片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全球范围内，</w:t>
      </w:r>
      <w:r>
        <w:rPr>
          <w:lang w:eastAsia="zh-CN"/>
        </w:rPr>
        <w:t>PLC分路器芯片</w:t>
      </w:r>
      <w:r>
        <w:rPr>
          <w:rFonts w:hint="eastAsia"/>
          <w:lang w:eastAsia="zh-CN"/>
        </w:rPr>
        <w:t>主要生产商包括深圳市砺芯科技有限公司、河南仕佳光子科技、鸿辉光通、</w:t>
      </w:r>
      <w:r>
        <w:rPr>
          <w:lang w:eastAsia="zh-CN"/>
        </w:rPr>
        <w:t>Wooriro</w:t>
      </w:r>
      <w:r>
        <w:rPr>
          <w:rFonts w:hint="eastAsia"/>
          <w:lang w:eastAsia="zh-CN"/>
        </w:rPr>
        <w:t>、</w:t>
      </w:r>
      <w:r>
        <w:rPr>
          <w:lang w:eastAsia="zh-CN"/>
        </w:rPr>
        <w:t>AL Tech Inc</w:t>
      </w:r>
      <w:r>
        <w:rPr>
          <w:rFonts w:hint="eastAsia"/>
          <w:lang w:eastAsia="zh-CN"/>
        </w:rPr>
        <w:t>、株式会社大道光通信、中兴新地、</w:t>
      </w:r>
      <w:r>
        <w:rPr>
          <w:lang w:eastAsia="zh-CN"/>
        </w:rPr>
        <w:t>PPI Inc</w:t>
      </w:r>
      <w:r>
        <w:rPr>
          <w:rFonts w:hint="eastAsia"/>
          <w:lang w:eastAsia="zh-CN"/>
        </w:rPr>
        <w:t>、中禾飞阳科技、太辰光、</w:t>
      </w:r>
      <w:r>
        <w:rPr>
          <w:lang w:eastAsia="zh-CN"/>
        </w:rPr>
        <w:t>LinkStar Microtronics</w:t>
      </w:r>
      <w:r>
        <w:rPr>
          <w:rFonts w:hint="eastAsia"/>
          <w:lang w:eastAsia="zh-CN"/>
        </w:rPr>
        <w:t>和无锡爱沃富光电科技等，其中前五大厂商占有大约</w:t>
      </w:r>
      <w:r>
        <w:rPr>
          <w:lang w:eastAsia="zh-CN"/>
        </w:rPr>
        <w:t>79%</w:t>
      </w:r>
      <w:r>
        <w:rPr>
          <w:rFonts w:hint="eastAsia"/>
          <w:lang w:eastAsia="zh-CN"/>
        </w:rPr>
        <w:t>的市场份额。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目前，全球核心厂商主要分布在中国和韩国，其中中国占据了将近8</w:t>
      </w:r>
      <w:r>
        <w:rPr>
          <w:lang w:eastAsia="zh-CN"/>
        </w:rPr>
        <w:t>9%</w:t>
      </w:r>
      <w:r>
        <w:rPr>
          <w:rFonts w:hint="eastAsia"/>
          <w:lang w:eastAsia="zh-CN"/>
        </w:rPr>
        <w:t>的市场份额。</w:t>
      </w:r>
    </w:p>
    <w:p>
      <w:pPr>
        <w:pStyle w:val="148"/>
        <w:rPr>
          <w:lang w:eastAsia="zh-CN"/>
        </w:rPr>
      </w:pPr>
      <w:r>
        <w:rPr>
          <w:lang w:eastAsia="zh-CN"/>
        </w:rPr>
        <w:t>PLC分路器芯片</w:t>
      </w:r>
      <w:r>
        <w:rPr>
          <w:rFonts w:hint="eastAsia"/>
          <w:lang w:eastAsia="zh-CN"/>
        </w:rPr>
        <w:t>，全球市场规模，按产品类型细分，</w:t>
      </w:r>
      <w:r>
        <w:rPr>
          <w:lang w:eastAsia="zh-CN"/>
        </w:rPr>
        <w:t>1</w:t>
      </w:r>
      <w:r>
        <w:rPr>
          <w:rFonts w:hint="eastAsia"/>
          <w:lang w:eastAsia="zh-CN"/>
        </w:rPr>
        <w:t>xN处于主导地位</w:t>
      </w:r>
    </w:p>
    <w:p>
      <w:pPr>
        <w:pStyle w:val="145"/>
        <w:rPr>
          <w:lang w:val="en-US" w:eastAsia="zh-CN"/>
        </w:rPr>
      </w:pPr>
      <w:r>
        <w:drawing>
          <wp:inline distT="0" distB="0" distL="0" distR="0">
            <wp:extent cx="6162675" cy="3200400"/>
            <wp:effectExtent l="0" t="0" r="9525" b="0"/>
            <wp:docPr id="941501858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PLC分路器芯片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</w:t>
      </w:r>
      <w:r>
        <w:rPr>
          <w:lang w:eastAsia="zh-CN"/>
        </w:rPr>
        <w:t>1</w:t>
      </w:r>
      <w:r>
        <w:rPr>
          <w:rFonts w:hint="eastAsia"/>
          <w:lang w:eastAsia="zh-CN"/>
        </w:rPr>
        <w:t>分系列分路器芯片（1x</w:t>
      </w:r>
      <w:r>
        <w:rPr>
          <w:lang w:eastAsia="zh-CN"/>
        </w:rPr>
        <w:t>N</w:t>
      </w:r>
      <w:r>
        <w:rPr>
          <w:rFonts w:hint="eastAsia"/>
          <w:lang w:eastAsia="zh-CN"/>
        </w:rPr>
        <w:t>）是最主要的细分产品，占据大约</w:t>
      </w:r>
      <w:r>
        <w:rPr>
          <w:lang w:eastAsia="zh-CN"/>
        </w:rPr>
        <w:t>61%</w:t>
      </w:r>
      <w:r>
        <w:rPr>
          <w:rFonts w:hint="eastAsia"/>
          <w:lang w:eastAsia="zh-CN"/>
        </w:rPr>
        <w:t>的份额。1分系列主要包含有1x2、1x4、1x5、1x6、1x8、1x9、1x12、1x16、1x32、1x64、1x128，其中主流是1x4、1x8和1x10等。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PLC分路器芯片</w:t>
      </w:r>
      <w:r>
        <w:rPr>
          <w:rFonts w:hint="eastAsia"/>
          <w:lang w:eastAsia="zh-CN"/>
        </w:rPr>
        <w:t>，全球市场规模，按应用细分，</w:t>
      </w:r>
      <w:bookmarkStart w:id="14" w:name="_Hlk151971708"/>
      <w:r>
        <w:rPr>
          <w:lang w:eastAsia="zh-CN"/>
        </w:rPr>
        <w:t>FTTX</w:t>
      </w:r>
      <w:r>
        <w:rPr>
          <w:rFonts w:hint="eastAsia"/>
          <w:lang w:eastAsia="zh-CN"/>
        </w:rPr>
        <w:t>和P</w:t>
      </w:r>
      <w:r>
        <w:rPr>
          <w:lang w:eastAsia="zh-CN"/>
        </w:rPr>
        <w:t>ON</w:t>
      </w:r>
      <w:r>
        <w:rPr>
          <w:rFonts w:hint="eastAsia"/>
          <w:lang w:eastAsia="zh-CN"/>
        </w:rPr>
        <w:t>系统</w:t>
      </w:r>
      <w:bookmarkEnd w:id="14"/>
      <w:r>
        <w:rPr>
          <w:rFonts w:hint="eastAsia"/>
          <w:lang w:eastAsia="zh-CN"/>
        </w:rPr>
        <w:t>是最大的下游市场，占有</w:t>
      </w:r>
      <w:r>
        <w:rPr>
          <w:lang w:eastAsia="zh-CN"/>
        </w:rPr>
        <w:t>90%</w:t>
      </w:r>
      <w:r>
        <w:rPr>
          <w:rFonts w:hint="eastAsia"/>
          <w:lang w:eastAsia="zh-CN"/>
        </w:rPr>
        <w:t>份额。</w:t>
      </w:r>
    </w:p>
    <w:p>
      <w:pPr>
        <w:pStyle w:val="145"/>
      </w:pPr>
      <w:r>
        <w:drawing>
          <wp:inline distT="0" distB="0" distL="0" distR="0">
            <wp:extent cx="6188710" cy="2922270"/>
            <wp:effectExtent l="0" t="0" r="2540" b="11430"/>
            <wp:docPr id="1264767647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>
      <w:pPr>
        <w:pStyle w:val="145"/>
      </w:pPr>
      <w:r>
        <w:drawing>
          <wp:inline distT="0" distB="0" distL="0" distR="0">
            <wp:extent cx="6188710" cy="2922270"/>
            <wp:effectExtent l="0" t="0" r="2540" b="11430"/>
            <wp:docPr id="538735689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PLC分路器芯片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就产品类型而言，目前FTTX和PON系统是最主要的需求来源，占据大约</w:t>
      </w:r>
      <w:r>
        <w:rPr>
          <w:lang w:eastAsia="zh-CN"/>
        </w:rPr>
        <w:t>90%</w:t>
      </w:r>
      <w:r>
        <w:rPr>
          <w:rFonts w:hint="eastAsia"/>
          <w:lang w:eastAsia="zh-CN"/>
        </w:rPr>
        <w:t>的份额。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全球主要市场</w:t>
      </w:r>
      <w:r>
        <w:rPr>
          <w:lang w:eastAsia="zh-CN"/>
        </w:rPr>
        <w:t>PLC分路器芯片</w:t>
      </w:r>
      <w:r>
        <w:rPr>
          <w:rFonts w:hint="eastAsia"/>
          <w:lang w:eastAsia="zh-CN"/>
        </w:rPr>
        <w:t>规模</w:t>
      </w:r>
    </w:p>
    <w:p>
      <w:pPr>
        <w:pStyle w:val="145"/>
        <w:rPr>
          <w:lang w:val="en-US" w:eastAsia="zh-CN"/>
        </w:rPr>
      </w:pPr>
      <w:r>
        <w:drawing>
          <wp:inline distT="0" distB="0" distL="0" distR="0">
            <wp:extent cx="6188710" cy="2922270"/>
            <wp:effectExtent l="0" t="0" r="2540" b="11430"/>
            <wp:docPr id="1723370414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>
      <w:pPr>
        <w:pStyle w:val="145"/>
        <w:rPr>
          <w:lang w:val="en-US" w:eastAsia="zh-CN"/>
        </w:rPr>
      </w:pPr>
      <w:r>
        <w:drawing>
          <wp:inline distT="0" distB="0" distL="0" distR="0">
            <wp:extent cx="6188710" cy="2922270"/>
            <wp:effectExtent l="0" t="0" r="2540" b="11430"/>
            <wp:docPr id="777548168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PLC分路器芯片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3"/>
        <w:rPr>
          <w:lang w:eastAsia="zh-CN"/>
        </w:rPr>
      </w:pPr>
    </w:p>
    <w:p>
      <w:pPr>
        <w:widowControl/>
        <w:topLinePunct w:val="0"/>
        <w:spacing w:after="0"/>
        <w:jc w:val="left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CF1907"/>
    <w:rsid w:val="02017B58"/>
    <w:rsid w:val="02A50666"/>
    <w:rsid w:val="02C31E14"/>
    <w:rsid w:val="02E3014B"/>
    <w:rsid w:val="02E76B51"/>
    <w:rsid w:val="03107D15"/>
    <w:rsid w:val="03447D4D"/>
    <w:rsid w:val="039F62FF"/>
    <w:rsid w:val="03EA7678"/>
    <w:rsid w:val="042F016D"/>
    <w:rsid w:val="05405A2B"/>
    <w:rsid w:val="055C1AD8"/>
    <w:rsid w:val="05847419"/>
    <w:rsid w:val="068560C3"/>
    <w:rsid w:val="070A2A99"/>
    <w:rsid w:val="07287ACA"/>
    <w:rsid w:val="07531178"/>
    <w:rsid w:val="07B77739"/>
    <w:rsid w:val="07CE3ADB"/>
    <w:rsid w:val="07E72487"/>
    <w:rsid w:val="086D0162"/>
    <w:rsid w:val="09523C57"/>
    <w:rsid w:val="09B40479"/>
    <w:rsid w:val="0A126294"/>
    <w:rsid w:val="0A413560"/>
    <w:rsid w:val="0A9D03F6"/>
    <w:rsid w:val="0AFE7196"/>
    <w:rsid w:val="0B676BC5"/>
    <w:rsid w:val="0BE3650F"/>
    <w:rsid w:val="0CE12BAF"/>
    <w:rsid w:val="0D126C01"/>
    <w:rsid w:val="0D223618"/>
    <w:rsid w:val="0F231E64"/>
    <w:rsid w:val="0F5116AE"/>
    <w:rsid w:val="0F601CC9"/>
    <w:rsid w:val="105A40DF"/>
    <w:rsid w:val="1087172B"/>
    <w:rsid w:val="10A04854"/>
    <w:rsid w:val="10A122D5"/>
    <w:rsid w:val="113605CA"/>
    <w:rsid w:val="118A2253"/>
    <w:rsid w:val="121421B7"/>
    <w:rsid w:val="12145A3A"/>
    <w:rsid w:val="12B442BF"/>
    <w:rsid w:val="130030B9"/>
    <w:rsid w:val="132135EE"/>
    <w:rsid w:val="140C22F2"/>
    <w:rsid w:val="147677A3"/>
    <w:rsid w:val="14DF00CB"/>
    <w:rsid w:val="15391A5F"/>
    <w:rsid w:val="161C3356"/>
    <w:rsid w:val="161D5555"/>
    <w:rsid w:val="166C0B57"/>
    <w:rsid w:val="16722A60"/>
    <w:rsid w:val="16A61C36"/>
    <w:rsid w:val="170809D5"/>
    <w:rsid w:val="171325EA"/>
    <w:rsid w:val="17263809"/>
    <w:rsid w:val="175355D1"/>
    <w:rsid w:val="18147C0E"/>
    <w:rsid w:val="182A5635"/>
    <w:rsid w:val="184461DF"/>
    <w:rsid w:val="184738E0"/>
    <w:rsid w:val="18B9619D"/>
    <w:rsid w:val="191861B7"/>
    <w:rsid w:val="19D133E7"/>
    <w:rsid w:val="19E67B09"/>
    <w:rsid w:val="1A3A7593"/>
    <w:rsid w:val="1A6900E2"/>
    <w:rsid w:val="1B073464"/>
    <w:rsid w:val="1B2C5C22"/>
    <w:rsid w:val="1B415BC7"/>
    <w:rsid w:val="1B6E410D"/>
    <w:rsid w:val="1C0A7327"/>
    <w:rsid w:val="1C27133D"/>
    <w:rsid w:val="1C492B76"/>
    <w:rsid w:val="1C8D7DE8"/>
    <w:rsid w:val="1CEB48FE"/>
    <w:rsid w:val="1D517B25"/>
    <w:rsid w:val="1DB37BCA"/>
    <w:rsid w:val="1DD1717A"/>
    <w:rsid w:val="1DE17414"/>
    <w:rsid w:val="1E0C0259"/>
    <w:rsid w:val="1E264686"/>
    <w:rsid w:val="1E29560A"/>
    <w:rsid w:val="1EA374D2"/>
    <w:rsid w:val="1EDA542E"/>
    <w:rsid w:val="1F0D1100"/>
    <w:rsid w:val="1F466CDC"/>
    <w:rsid w:val="1F990CE4"/>
    <w:rsid w:val="1FD06C40"/>
    <w:rsid w:val="20404975"/>
    <w:rsid w:val="20664BB5"/>
    <w:rsid w:val="20D506EC"/>
    <w:rsid w:val="20ED3B94"/>
    <w:rsid w:val="214210A0"/>
    <w:rsid w:val="218E591C"/>
    <w:rsid w:val="21C42573"/>
    <w:rsid w:val="22257114"/>
    <w:rsid w:val="226136F6"/>
    <w:rsid w:val="229F5759"/>
    <w:rsid w:val="22D20532"/>
    <w:rsid w:val="236D70AB"/>
    <w:rsid w:val="24187544"/>
    <w:rsid w:val="24356AF4"/>
    <w:rsid w:val="243B67FF"/>
    <w:rsid w:val="24816F73"/>
    <w:rsid w:val="248633FB"/>
    <w:rsid w:val="250F7ADC"/>
    <w:rsid w:val="25644FE8"/>
    <w:rsid w:val="256A6EF1"/>
    <w:rsid w:val="256E2074"/>
    <w:rsid w:val="2598673B"/>
    <w:rsid w:val="25B22B68"/>
    <w:rsid w:val="26126405"/>
    <w:rsid w:val="27054714"/>
    <w:rsid w:val="27372964"/>
    <w:rsid w:val="27CC2E58"/>
    <w:rsid w:val="28696559"/>
    <w:rsid w:val="28E41726"/>
    <w:rsid w:val="299E43D8"/>
    <w:rsid w:val="29DC643B"/>
    <w:rsid w:val="29FD43F1"/>
    <w:rsid w:val="2A113092"/>
    <w:rsid w:val="2A5218FD"/>
    <w:rsid w:val="2A8A1A57"/>
    <w:rsid w:val="2A976B6E"/>
    <w:rsid w:val="2B5449A3"/>
    <w:rsid w:val="2C06004A"/>
    <w:rsid w:val="2C0C4151"/>
    <w:rsid w:val="2C856399"/>
    <w:rsid w:val="2C971B37"/>
    <w:rsid w:val="2CE72BBB"/>
    <w:rsid w:val="2D090B71"/>
    <w:rsid w:val="2D9716DA"/>
    <w:rsid w:val="2D9A265E"/>
    <w:rsid w:val="2E9460F9"/>
    <w:rsid w:val="2ED33660"/>
    <w:rsid w:val="2EF9001C"/>
    <w:rsid w:val="2EFD44A4"/>
    <w:rsid w:val="2F107C41"/>
    <w:rsid w:val="2F5603B6"/>
    <w:rsid w:val="2F964A23"/>
    <w:rsid w:val="2FBF4562"/>
    <w:rsid w:val="30711E07"/>
    <w:rsid w:val="30A844DF"/>
    <w:rsid w:val="314F5F72"/>
    <w:rsid w:val="31BC43A8"/>
    <w:rsid w:val="31C02DAE"/>
    <w:rsid w:val="31C10830"/>
    <w:rsid w:val="31CE7B45"/>
    <w:rsid w:val="31EF007A"/>
    <w:rsid w:val="32915685"/>
    <w:rsid w:val="32925305"/>
    <w:rsid w:val="33301D0B"/>
    <w:rsid w:val="333A261A"/>
    <w:rsid w:val="33995EB7"/>
    <w:rsid w:val="33CF4D0C"/>
    <w:rsid w:val="33EE55C1"/>
    <w:rsid w:val="34196405"/>
    <w:rsid w:val="343B7C3F"/>
    <w:rsid w:val="34563CEC"/>
    <w:rsid w:val="34945D4F"/>
    <w:rsid w:val="34ED1C61"/>
    <w:rsid w:val="354016EB"/>
    <w:rsid w:val="354E0A01"/>
    <w:rsid w:val="35650626"/>
    <w:rsid w:val="35684E2E"/>
    <w:rsid w:val="357A05CB"/>
    <w:rsid w:val="36840A7D"/>
    <w:rsid w:val="37CC6816"/>
    <w:rsid w:val="38232AA8"/>
    <w:rsid w:val="38356245"/>
    <w:rsid w:val="389030DC"/>
    <w:rsid w:val="38F85F83"/>
    <w:rsid w:val="38FB278B"/>
    <w:rsid w:val="390E5F29"/>
    <w:rsid w:val="398D7AFC"/>
    <w:rsid w:val="399248BD"/>
    <w:rsid w:val="39984266"/>
    <w:rsid w:val="39CE0565"/>
    <w:rsid w:val="39F13F9D"/>
    <w:rsid w:val="3A1B4DE1"/>
    <w:rsid w:val="3A2A1B78"/>
    <w:rsid w:val="3A522D3D"/>
    <w:rsid w:val="3A864490"/>
    <w:rsid w:val="3AC37B79"/>
    <w:rsid w:val="3BAF51F7"/>
    <w:rsid w:val="3CCE564F"/>
    <w:rsid w:val="3CF93F15"/>
    <w:rsid w:val="3D666AC7"/>
    <w:rsid w:val="3D6F51D8"/>
    <w:rsid w:val="3D947997"/>
    <w:rsid w:val="3E2171FA"/>
    <w:rsid w:val="3E9704BE"/>
    <w:rsid w:val="3F2D1CB6"/>
    <w:rsid w:val="3F721126"/>
    <w:rsid w:val="3F9F0CF0"/>
    <w:rsid w:val="40277950"/>
    <w:rsid w:val="406F7D44"/>
    <w:rsid w:val="40F634A0"/>
    <w:rsid w:val="41E356A7"/>
    <w:rsid w:val="425311DE"/>
    <w:rsid w:val="42677E7F"/>
    <w:rsid w:val="43212B30"/>
    <w:rsid w:val="43453FEA"/>
    <w:rsid w:val="44757F5F"/>
    <w:rsid w:val="44E0180C"/>
    <w:rsid w:val="45433AAF"/>
    <w:rsid w:val="45921630"/>
    <w:rsid w:val="45AA4758"/>
    <w:rsid w:val="45D27E9B"/>
    <w:rsid w:val="460A7FF5"/>
    <w:rsid w:val="46136706"/>
    <w:rsid w:val="4622569C"/>
    <w:rsid w:val="462369A1"/>
    <w:rsid w:val="46845740"/>
    <w:rsid w:val="46F91E7C"/>
    <w:rsid w:val="477F6C5D"/>
    <w:rsid w:val="4794337F"/>
    <w:rsid w:val="47F830A4"/>
    <w:rsid w:val="48847404"/>
    <w:rsid w:val="48DB3696"/>
    <w:rsid w:val="48F07DB8"/>
    <w:rsid w:val="494552C4"/>
    <w:rsid w:val="494574C2"/>
    <w:rsid w:val="499C3754"/>
    <w:rsid w:val="4A4A12EF"/>
    <w:rsid w:val="4A4D7CF5"/>
    <w:rsid w:val="4A826ECA"/>
    <w:rsid w:val="4AE56F6F"/>
    <w:rsid w:val="4B427308"/>
    <w:rsid w:val="4B621DBB"/>
    <w:rsid w:val="4B812670"/>
    <w:rsid w:val="4C537145"/>
    <w:rsid w:val="4CB074DF"/>
    <w:rsid w:val="4CE0002E"/>
    <w:rsid w:val="4DA457ED"/>
    <w:rsid w:val="4E06200F"/>
    <w:rsid w:val="508942AC"/>
    <w:rsid w:val="508A77AF"/>
    <w:rsid w:val="508F1A38"/>
    <w:rsid w:val="50F1625A"/>
    <w:rsid w:val="50F25EDA"/>
    <w:rsid w:val="511C03A3"/>
    <w:rsid w:val="51656219"/>
    <w:rsid w:val="51804844"/>
    <w:rsid w:val="51ED73F6"/>
    <w:rsid w:val="52133DB3"/>
    <w:rsid w:val="522762D7"/>
    <w:rsid w:val="52817C6A"/>
    <w:rsid w:val="52D41C73"/>
    <w:rsid w:val="52E80913"/>
    <w:rsid w:val="53121757"/>
    <w:rsid w:val="53362C11"/>
    <w:rsid w:val="533F1322"/>
    <w:rsid w:val="53832D10"/>
    <w:rsid w:val="53AB3ED4"/>
    <w:rsid w:val="53EA39B9"/>
    <w:rsid w:val="546A778A"/>
    <w:rsid w:val="54E33BD1"/>
    <w:rsid w:val="5510379B"/>
    <w:rsid w:val="551769A9"/>
    <w:rsid w:val="55671C2C"/>
    <w:rsid w:val="56925E96"/>
    <w:rsid w:val="56B70654"/>
    <w:rsid w:val="56F10111"/>
    <w:rsid w:val="57391B27"/>
    <w:rsid w:val="57404D35"/>
    <w:rsid w:val="57805B1E"/>
    <w:rsid w:val="57AD4064"/>
    <w:rsid w:val="585B2F03"/>
    <w:rsid w:val="585F1909"/>
    <w:rsid w:val="58C93537"/>
    <w:rsid w:val="590A5625"/>
    <w:rsid w:val="591D6844"/>
    <w:rsid w:val="59227449"/>
    <w:rsid w:val="597A115C"/>
    <w:rsid w:val="59C524D5"/>
    <w:rsid w:val="59EB2715"/>
    <w:rsid w:val="5AE738B1"/>
    <w:rsid w:val="5AEB44B6"/>
    <w:rsid w:val="5B7C7628"/>
    <w:rsid w:val="5BEA43D9"/>
    <w:rsid w:val="5C140AA0"/>
    <w:rsid w:val="5C2A2C44"/>
    <w:rsid w:val="5CD530DD"/>
    <w:rsid w:val="5CF4010E"/>
    <w:rsid w:val="5CF94596"/>
    <w:rsid w:val="5D0C1038"/>
    <w:rsid w:val="5D514C25"/>
    <w:rsid w:val="5E074753"/>
    <w:rsid w:val="5E363F9E"/>
    <w:rsid w:val="5E72057F"/>
    <w:rsid w:val="5E9B1744"/>
    <w:rsid w:val="5EE42E3D"/>
    <w:rsid w:val="5EEC0249"/>
    <w:rsid w:val="5F6B1E1C"/>
    <w:rsid w:val="5FDF73FB"/>
    <w:rsid w:val="608060E1"/>
    <w:rsid w:val="60B146B2"/>
    <w:rsid w:val="60C36BF4"/>
    <w:rsid w:val="615E224C"/>
    <w:rsid w:val="61965C29"/>
    <w:rsid w:val="6270558C"/>
    <w:rsid w:val="62C01E93"/>
    <w:rsid w:val="62C06610"/>
    <w:rsid w:val="62CF6C2B"/>
    <w:rsid w:val="62E123C8"/>
    <w:rsid w:val="633F4960"/>
    <w:rsid w:val="63F97611"/>
    <w:rsid w:val="640843A9"/>
    <w:rsid w:val="642B10E5"/>
    <w:rsid w:val="648B4982"/>
    <w:rsid w:val="64AF38BD"/>
    <w:rsid w:val="64E46044"/>
    <w:rsid w:val="64F81987"/>
    <w:rsid w:val="650249CE"/>
    <w:rsid w:val="650D74DA"/>
    <w:rsid w:val="65811A17"/>
    <w:rsid w:val="66BC5F1C"/>
    <w:rsid w:val="66D222BD"/>
    <w:rsid w:val="68A97CC5"/>
    <w:rsid w:val="68C22DEE"/>
    <w:rsid w:val="6967137D"/>
    <w:rsid w:val="69880C71"/>
    <w:rsid w:val="69AB2D6B"/>
    <w:rsid w:val="69CF1CA6"/>
    <w:rsid w:val="69E32EC5"/>
    <w:rsid w:val="6B026BA0"/>
    <w:rsid w:val="6B046820"/>
    <w:rsid w:val="6C4E553D"/>
    <w:rsid w:val="6C974A38"/>
    <w:rsid w:val="6CAD6BDB"/>
    <w:rsid w:val="6CE1026C"/>
    <w:rsid w:val="6D0475EA"/>
    <w:rsid w:val="6D891A42"/>
    <w:rsid w:val="6EA0288E"/>
    <w:rsid w:val="6EB3022A"/>
    <w:rsid w:val="6F1624CD"/>
    <w:rsid w:val="6F21085E"/>
    <w:rsid w:val="6F32657A"/>
    <w:rsid w:val="6F9D14AD"/>
    <w:rsid w:val="6FF96343"/>
    <w:rsid w:val="700468D2"/>
    <w:rsid w:val="70460641"/>
    <w:rsid w:val="706C4FFD"/>
    <w:rsid w:val="70EA114F"/>
    <w:rsid w:val="71062FFD"/>
    <w:rsid w:val="715352FB"/>
    <w:rsid w:val="71614610"/>
    <w:rsid w:val="71791CB7"/>
    <w:rsid w:val="71CF04C8"/>
    <w:rsid w:val="72414F83"/>
    <w:rsid w:val="72492390"/>
    <w:rsid w:val="726A4AC3"/>
    <w:rsid w:val="7271444E"/>
    <w:rsid w:val="73357A0F"/>
    <w:rsid w:val="73376795"/>
    <w:rsid w:val="735F1ED8"/>
    <w:rsid w:val="73651863"/>
    <w:rsid w:val="739E3BBB"/>
    <w:rsid w:val="73D44095"/>
    <w:rsid w:val="74B23A83"/>
    <w:rsid w:val="74BF2D99"/>
    <w:rsid w:val="74C64922"/>
    <w:rsid w:val="74DA5B41"/>
    <w:rsid w:val="74FE287D"/>
    <w:rsid w:val="75286F45"/>
    <w:rsid w:val="761B77D2"/>
    <w:rsid w:val="77035551"/>
    <w:rsid w:val="77A43A56"/>
    <w:rsid w:val="78574EC9"/>
    <w:rsid w:val="787466AD"/>
    <w:rsid w:val="78967EE6"/>
    <w:rsid w:val="78A87E00"/>
    <w:rsid w:val="79952007"/>
    <w:rsid w:val="7A2463F3"/>
    <w:rsid w:val="7A3A4D14"/>
    <w:rsid w:val="7A4024A0"/>
    <w:rsid w:val="7B540CE3"/>
    <w:rsid w:val="7B7C4426"/>
    <w:rsid w:val="7BA41D67"/>
    <w:rsid w:val="7C1977A8"/>
    <w:rsid w:val="7C99137B"/>
    <w:rsid w:val="7D2953E6"/>
    <w:rsid w:val="7D7776E4"/>
    <w:rsid w:val="7D817FF3"/>
    <w:rsid w:val="7DA911B8"/>
    <w:rsid w:val="7DF30332"/>
    <w:rsid w:val="7DFC793D"/>
    <w:rsid w:val="7E261E06"/>
    <w:rsid w:val="7F0439F3"/>
    <w:rsid w:val="7F0B7AFA"/>
    <w:rsid w:val="7F1C1099"/>
    <w:rsid w:val="7F785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2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chart" Target="charts/chart7.xml"/><Relationship Id="rId15" Type="http://schemas.openxmlformats.org/officeDocument/2006/relationships/chart" Target="charts/chart6.xml"/><Relationship Id="rId14" Type="http://schemas.openxmlformats.org/officeDocument/2006/relationships/chart" Target="charts/chart5.xml"/><Relationship Id="rId13" Type="http://schemas.openxmlformats.org/officeDocument/2006/relationships/chart" Target="charts/chart4.xml"/><Relationship Id="rId12" Type="http://schemas.openxmlformats.org/officeDocument/2006/relationships/chart" Target="charts/chart3.xml"/><Relationship Id="rId11" Type="http://schemas.openxmlformats.org/officeDocument/2006/relationships/chart" Target="charts/chart2.xml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5.xml"/><Relationship Id="rId3" Type="http://schemas.microsoft.com/office/2011/relationships/chartStyle" Target="style5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I:\&#25490;&#21517;%20&#35266;&#28857;&#20889;&#20316;\&#35266;&#28857;&#25968;&#25454;&#22270;&#34920;&#27169;&#26495;-&#20840;&#29699;20230925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6.xml"/><Relationship Id="rId2" Type="http://schemas.microsoft.com/office/2011/relationships/chartStyle" Target="style6.xml"/><Relationship Id="rId1" Type="http://schemas.openxmlformats.org/officeDocument/2006/relationships/oleObject" Target="file:///C:\Users\Administrator\Desktop\PLC&#20998;&#36335;&#22120;&#33455;&#29255;\&#35266;&#28857;&#25968;&#25454;&#22270;&#34920;&#27169;&#26495;-&#27169;&#26495;%2020231106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microsoft.com/office/2011/relationships/chartColorStyle" Target="colors4.xml"/><Relationship Id="rId2" Type="http://schemas.microsoft.com/office/2011/relationships/chartStyle" Target="style4.xml"/><Relationship Id="rId1" Type="http://schemas.openxmlformats.org/officeDocument/2006/relationships/oleObject" Target="file:///C:\Users\Administrator\Desktop\PLC&#20998;&#36335;&#22120;&#33455;&#29255;\&#35266;&#28857;&#25968;&#25454;&#22270;&#34920;&#27169;&#26495;-&#27169;&#26495;%2020231106.xlsx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microsoft.com/office/2011/relationships/chartColorStyle" Target="colors7.xml"/><Relationship Id="rId2" Type="http://schemas.microsoft.com/office/2011/relationships/chartStyle" Target="style7.xml"/><Relationship Id="rId1" Type="http://schemas.openxmlformats.org/officeDocument/2006/relationships/oleObject" Target="file:///C:\Users\Administrator\Desktop\PLC&#20998;&#36335;&#22120;&#33455;&#29255;\&#35266;&#28857;&#25968;&#25454;&#22270;&#34920;&#27169;&#26495;-&#27169;&#26495;%2020231106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Administrator\Desktop\PLC&#20998;&#36335;&#22120;&#33455;&#29255;\&#35266;&#28857;&#25968;&#25454;&#22270;&#34920;&#27169;&#26495;-&#27169;&#26495;%2020231106.xlsx" TargetMode="External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oleObject" Target="file:///C:\Users\Administrator\Desktop\PLC&#20998;&#36335;&#22120;&#33455;&#29255;\&#35266;&#28857;&#25968;&#25454;&#22270;&#34920;&#27169;&#26495;-&#27169;&#26495;%2020231106.xlsx" TargetMode="External"/></Relationships>
</file>

<file path=word/charts/_rels/chart7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C:\Users\Administrator\Desktop\PLC&#20998;&#36335;&#22120;&#33455;&#29255;\&#35266;&#28857;&#25968;&#25454;&#22270;&#34920;&#27169;&#26495;-&#27169;&#26495;%2020231106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100">
                <a:latin typeface="Book Antiqua" panose="02040602050305030304" pitchFamily="1" charset="0"/>
              </a:rPr>
              <a:t>Global Market Size ($ Mn)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254884259259259"/>
          <c:y val="0.131440849673203"/>
          <c:w val="0.937283950617284"/>
          <c:h val="0.79303039215686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45</c:v>
                </c:pt>
                <c:pt idx="1">
                  <c:v>88</c:v>
                </c:pt>
                <c:pt idx="2">
                  <c:v>166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企业排序!$K$1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Lbls>
            <c:dLbl>
              <c:idx val="0"/>
              <c:delete val="1"/>
            </c:dLbl>
            <c:dLbl>
              <c:idx val="1"/>
              <c:delete val="1"/>
            </c:dLbl>
            <c:dLbl>
              <c:idx val="2"/>
              <c:delete val="1"/>
            </c:dLbl>
            <c:dLbl>
              <c:idx val="3"/>
              <c:delete val="1"/>
            </c:dLbl>
            <c:dLbl>
              <c:idx val="4"/>
              <c:delete val="1"/>
            </c:dLbl>
            <c:dLbl>
              <c:idx val="5"/>
              <c:delete val="1"/>
            </c:dLbl>
            <c:dLbl>
              <c:idx val="6"/>
              <c:delete val="1"/>
            </c:dLbl>
            <c:dLbl>
              <c:idx val="7"/>
              <c:delete val="1"/>
            </c:dLbl>
            <c:dLbl>
              <c:idx val="8"/>
              <c:delete val="1"/>
            </c:dLbl>
            <c:dLbl>
              <c:idx val="9"/>
              <c:delete val="1"/>
            </c:dLbl>
            <c:dLbl>
              <c:idx val="10"/>
              <c:delete val="1"/>
            </c:dLbl>
            <c:dLbl>
              <c:idx val="11"/>
              <c:layout/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0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企业排序!$F$2:$F$13</c:f>
              <c:strCache>
                <c:ptCount val="12"/>
                <c:pt idx="0">
                  <c:v>LinkStar Microtronics</c:v>
                </c:pt>
                <c:pt idx="1">
                  <c:v>PPI Inc</c:v>
                </c:pt>
                <c:pt idx="2">
                  <c:v>中禾飞阳科技</c:v>
                </c:pt>
                <c:pt idx="3">
                  <c:v>无锡爱沃富光电科技</c:v>
                </c:pt>
                <c:pt idx="4">
                  <c:v>AL Tech Inc</c:v>
                </c:pt>
                <c:pt idx="5">
                  <c:v>株式会社大道光通信</c:v>
                </c:pt>
                <c:pt idx="6">
                  <c:v>Wooriro</c:v>
                </c:pt>
                <c:pt idx="7">
                  <c:v>中兴新地</c:v>
                </c:pt>
                <c:pt idx="8">
                  <c:v>太辰光</c:v>
                </c:pt>
                <c:pt idx="9">
                  <c:v>鸿辉光通</c:v>
                </c:pt>
                <c:pt idx="10">
                  <c:v>河南仕佳光子科技</c:v>
                </c:pt>
                <c:pt idx="11">
                  <c:v>深圳市砺芯科技有限公司</c:v>
                </c:pt>
              </c:strCache>
            </c:strRef>
          </c:cat>
          <c:val>
            <c:numRef>
              <c:f>企业排序!$K$2:$K$13</c:f>
              <c:numCache>
                <c:formatCode>0.0%</c:formatCode>
                <c:ptCount val="12"/>
                <c:pt idx="0">
                  <c:v>0.00939929216772172</c:v>
                </c:pt>
                <c:pt idx="1">
                  <c:v>0.013826281577987</c:v>
                </c:pt>
                <c:pt idx="2">
                  <c:v>0.014289987375845</c:v>
                </c:pt>
                <c:pt idx="3">
                  <c:v>0.0188133086891955</c:v>
                </c:pt>
                <c:pt idx="4">
                  <c:v>0.0305052592037033</c:v>
                </c:pt>
                <c:pt idx="5">
                  <c:v>0.030845538262664</c:v>
                </c:pt>
                <c:pt idx="6">
                  <c:v>0.0675851463608393</c:v>
                </c:pt>
                <c:pt idx="7">
                  <c:v>0.0539869390353283</c:v>
                </c:pt>
                <c:pt idx="8">
                  <c:v>0.0677398573017363</c:v>
                </c:pt>
                <c:pt idx="9">
                  <c:v>0.13031698424001</c:v>
                </c:pt>
                <c:pt idx="10">
                  <c:v>0.166545231349105</c:v>
                </c:pt>
                <c:pt idx="11">
                  <c:v>0.393638638826758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.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分类!$R$2</c:f>
              <c:strCache>
                <c:ptCount val="1"/>
                <c:pt idx="0">
                  <c:v>1xN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Lbl>
              <c:idx val="0"/>
              <c:delete val="1"/>
            </c:dLbl>
            <c:dLbl>
              <c:idx val="1"/>
              <c:delete val="1"/>
            </c:dLbl>
            <c:dLbl>
              <c:idx val="2"/>
              <c:delete val="1"/>
            </c:dLbl>
            <c:dLbl>
              <c:idx val="3"/>
              <c:delete val="1"/>
            </c:dLbl>
            <c:dLbl>
              <c:idx val="4"/>
              <c:layout/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5"/>
              <c:delete val="1"/>
            </c:dLbl>
            <c:dLbl>
              <c:idx val="6"/>
              <c:delete val="1"/>
            </c:dLbl>
            <c:dLbl>
              <c:idx val="7"/>
              <c:delete val="1"/>
            </c:dLbl>
            <c:dLbl>
              <c:idx val="8"/>
              <c:delete val="1"/>
            </c:dLbl>
            <c:dLbl>
              <c:idx val="9"/>
              <c:delete val="1"/>
            </c:dLbl>
            <c:dLbl>
              <c:idx val="10"/>
              <c:delete val="1"/>
            </c:dLbl>
            <c:dLbl>
              <c:idx val="11"/>
              <c:delete val="1"/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bg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ctr"/>
            <c:showLegendKey val="0"/>
            <c:showVal val="0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分类!$S$1:$AD$1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分类!$S$2:$AD$2</c:f>
              <c:numCache>
                <c:formatCode>0.0%</c:formatCode>
                <c:ptCount val="12"/>
                <c:pt idx="0">
                  <c:v>0.594541269319303</c:v>
                </c:pt>
                <c:pt idx="1">
                  <c:v>0.60973459994124</c:v>
                </c:pt>
                <c:pt idx="2">
                  <c:v>0.621506475800954</c:v>
                </c:pt>
                <c:pt idx="3">
                  <c:v>0.663744482589505</c:v>
                </c:pt>
                <c:pt idx="4">
                  <c:v>0.6143469839513</c:v>
                </c:pt>
                <c:pt idx="5">
                  <c:v>0.639918163218913</c:v>
                </c:pt>
                <c:pt idx="6">
                  <c:v>0.639927433349109</c:v>
                </c:pt>
                <c:pt idx="7">
                  <c:v>0.634602253328781</c:v>
                </c:pt>
                <c:pt idx="8">
                  <c:v>0.632431515562717</c:v>
                </c:pt>
                <c:pt idx="9">
                  <c:v>0.627170429987331</c:v>
                </c:pt>
                <c:pt idx="10">
                  <c:v>0.621653407125562</c:v>
                </c:pt>
                <c:pt idx="11">
                  <c:v>0.623204100786947</c:v>
                </c:pt>
              </c:numCache>
            </c:numRef>
          </c:val>
        </c:ser>
        <c:ser>
          <c:idx val="1"/>
          <c:order val="1"/>
          <c:tx>
            <c:strRef>
              <c:f>分类!$R$3</c:f>
              <c:strCache>
                <c:ptCount val="1"/>
                <c:pt idx="0">
                  <c:v>2xN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0"/>
              <c:delete val="1"/>
            </c:dLbl>
            <c:dLbl>
              <c:idx val="1"/>
              <c:delete val="1"/>
            </c:dLbl>
            <c:dLbl>
              <c:idx val="2"/>
              <c:delete val="1"/>
            </c:dLbl>
            <c:dLbl>
              <c:idx val="3"/>
              <c:delete val="1"/>
            </c:dLbl>
            <c:dLbl>
              <c:idx val="4"/>
              <c:delete val="1"/>
            </c:dLbl>
            <c:dLbl>
              <c:idx val="5"/>
              <c:delete val="1"/>
            </c:dLbl>
            <c:dLbl>
              <c:idx val="6"/>
              <c:delete val="1"/>
            </c:dLbl>
            <c:dLbl>
              <c:idx val="7"/>
              <c:delete val="1"/>
            </c:dLbl>
            <c:dLbl>
              <c:idx val="8"/>
              <c:delete val="1"/>
            </c:dLbl>
            <c:dLbl>
              <c:idx val="9"/>
              <c:delete val="1"/>
            </c:dLbl>
            <c:dLbl>
              <c:idx val="10"/>
              <c:delete val="1"/>
            </c:dLbl>
            <c:dLbl>
              <c:idx val="11"/>
              <c:layout/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bg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ctr"/>
            <c:showLegendKey val="0"/>
            <c:showVal val="0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分类!$S$1:$AD$1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分类!$S$3:$AD$3</c:f>
              <c:numCache>
                <c:formatCode>0.0%</c:formatCode>
                <c:ptCount val="12"/>
                <c:pt idx="0">
                  <c:v>0.405458730680697</c:v>
                </c:pt>
                <c:pt idx="1">
                  <c:v>0.39026540005876</c:v>
                </c:pt>
                <c:pt idx="2">
                  <c:v>0.378493524199046</c:v>
                </c:pt>
                <c:pt idx="3">
                  <c:v>0.336255517410495</c:v>
                </c:pt>
                <c:pt idx="4">
                  <c:v>0.3856530160487</c:v>
                </c:pt>
                <c:pt idx="5">
                  <c:v>0.360081836781087</c:v>
                </c:pt>
                <c:pt idx="6">
                  <c:v>0.360072566650891</c:v>
                </c:pt>
                <c:pt idx="7">
                  <c:v>0.365397746671219</c:v>
                </c:pt>
                <c:pt idx="8">
                  <c:v>0.367568484437283</c:v>
                </c:pt>
                <c:pt idx="9">
                  <c:v>0.372829570012669</c:v>
                </c:pt>
                <c:pt idx="10">
                  <c:v>0.378346592874438</c:v>
                </c:pt>
                <c:pt idx="11">
                  <c:v>0.376795899213053</c:v>
                </c:pt>
              </c:numCache>
            </c:numRef>
          </c:val>
        </c:ser>
        <c:ser>
          <c:idx val="2"/>
          <c:order val="2"/>
          <c:tx>
            <c:strRef>
              <c:f>分类!$R$4</c:f>
              <c:strCache>
                <c:ptCount val="1"/>
                <c:pt idx="0">
                  <c:v>Type 3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分类!$S$1:$AD$1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分类!$S$4:$AD$4</c:f>
            </c:numRef>
          </c:val>
        </c:ser>
        <c:ser>
          <c:idx val="3"/>
          <c:order val="3"/>
          <c:tx>
            <c:strRef>
              <c:f>分类!$R$5</c:f>
              <c:strCache>
                <c:ptCount val="1"/>
                <c:pt idx="0">
                  <c:v>0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分类!$S$1:$AD$1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分类!$S$5:$AD$5</c:f>
            </c:numRef>
          </c:val>
        </c:ser>
        <c:ser>
          <c:idx val="4"/>
          <c:order val="4"/>
          <c:tx>
            <c:strRef>
              <c:f>分类!$R$6</c:f>
              <c:strCache>
                <c:ptCount val="1"/>
                <c:pt idx="0">
                  <c:v>0</c:v>
                </c:pt>
              </c:strCache>
            </c:strRef>
          </c:tx>
          <c:spPr>
            <a:solidFill>
              <a:schemeClr val="tx1">
                <a:lumMod val="65000"/>
                <a:lumOff val="3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分类!$S$1:$AD$1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分类!$S$6:$AD$6</c:f>
            </c:numRef>
          </c:val>
        </c:ser>
        <c:ser>
          <c:idx val="5"/>
          <c:order val="5"/>
          <c:tx>
            <c:strRef>
              <c:f>分类!$R$7</c:f>
              <c:strCache>
                <c:ptCount val="1"/>
                <c:pt idx="0">
                  <c:v>0</c:v>
                </c:pt>
              </c:strCache>
            </c:strRef>
          </c:tx>
          <c:spPr>
            <a:solidFill>
              <a:srgbClr val="C00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分类!$S$1:$AD$1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分类!$S$7:$AD$7</c:f>
            </c:numRef>
          </c:val>
        </c:ser>
        <c:ser>
          <c:idx val="6"/>
          <c:order val="6"/>
          <c:tx>
            <c:strRef>
              <c:f>分类!$R$8</c:f>
              <c:strCache>
                <c:ptCount val="1"/>
                <c:pt idx="0">
                  <c:v>0</c:v>
                </c:pt>
              </c:strCache>
            </c:strRef>
          </c:tx>
          <c:spPr>
            <a:solidFill>
              <a:srgbClr val="7030A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分类!$S$1:$AD$1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分类!$S$8:$AD$8</c:f>
            </c:numRef>
          </c:val>
        </c:ser>
        <c:ser>
          <c:idx val="7"/>
          <c:order val="7"/>
          <c:tx>
            <c:strRef>
              <c:f>分类!$R$9</c:f>
              <c:strCache>
                <c:ptCount val="1"/>
                <c:pt idx="0">
                  <c:v>0</c:v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分类!$S$1:$AD$1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分类!$S$9:$AD$9</c:f>
            </c:numRef>
          </c:val>
        </c:ser>
        <c:ser>
          <c:idx val="8"/>
          <c:order val="8"/>
          <c:tx>
            <c:strRef>
              <c:f>分类!$R$10</c:f>
              <c:strCache>
                <c:ptCount val="1"/>
                <c:pt idx="0">
                  <c:v>0</c:v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分类!$S$1:$AD$1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分类!$S$10:$AD$10</c:f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897692240"/>
        <c:axId val="1897707216"/>
      </c:barChart>
      <c:catAx>
        <c:axId val="18976922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1897707216"/>
        <c:crosses val="autoZero"/>
        <c:auto val="1"/>
        <c:lblAlgn val="ctr"/>
        <c:lblOffset val="100"/>
        <c:noMultiLvlLbl val="0"/>
      </c:catAx>
      <c:valAx>
        <c:axId val="189770721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18976922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应用!$A$2</c:f>
              <c:strCache>
                <c:ptCount val="1"/>
                <c:pt idx="0">
                  <c:v>光纤设备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应用!$B$2:$M$2</c:f>
              <c:numCache>
                <c:formatCode>#,##0_);[Red]\(#,##0\)</c:formatCode>
                <c:ptCount val="12"/>
                <c:pt idx="0">
                  <c:v>4.09985018839903</c:v>
                </c:pt>
                <c:pt idx="1">
                  <c:v>4.72561925034631</c:v>
                </c:pt>
                <c:pt idx="2">
                  <c:v>5.28947120291916</c:v>
                </c:pt>
                <c:pt idx="3">
                  <c:v>7.85504976012679</c:v>
                </c:pt>
                <c:pt idx="4">
                  <c:v>6.68606125482472</c:v>
                </c:pt>
                <c:pt idx="5">
                  <c:v>6.16187727937336</c:v>
                </c:pt>
                <c:pt idx="6">
                  <c:v>5.6521667908236</c:v>
                </c:pt>
                <c:pt idx="7">
                  <c:v>5.31274513312979</c:v>
                </c:pt>
                <c:pt idx="8">
                  <c:v>5.37075102595579</c:v>
                </c:pt>
                <c:pt idx="9">
                  <c:v>6.16929145108476</c:v>
                </c:pt>
                <c:pt idx="10">
                  <c:v>6.67023791691284</c:v>
                </c:pt>
                <c:pt idx="11">
                  <c:v>6.43253209763504</c:v>
                </c:pt>
              </c:numCache>
            </c:numRef>
          </c:val>
        </c:ser>
        <c:ser>
          <c:idx val="1"/>
          <c:order val="1"/>
          <c:tx>
            <c:strRef>
              <c:f>应用!$A$3</c:f>
              <c:strCache>
                <c:ptCount val="1"/>
                <c:pt idx="0">
                  <c:v>CATV网络系统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应用!$B$3:$M$3</c:f>
              <c:numCache>
                <c:formatCode>#,##0_);[Red]\(#,##0\)</c:formatCode>
                <c:ptCount val="12"/>
                <c:pt idx="0">
                  <c:v>15.6987587988364</c:v>
                </c:pt>
                <c:pt idx="1">
                  <c:v>19.0627598840567</c:v>
                </c:pt>
                <c:pt idx="2">
                  <c:v>23.4304981046206</c:v>
                </c:pt>
                <c:pt idx="3">
                  <c:v>34.4461737588869</c:v>
                </c:pt>
                <c:pt idx="4">
                  <c:v>30.5552028634306</c:v>
                </c:pt>
                <c:pt idx="5">
                  <c:v>28.0750170878991</c:v>
                </c:pt>
                <c:pt idx="6">
                  <c:v>27.0502789641908</c:v>
                </c:pt>
                <c:pt idx="7">
                  <c:v>24.7388326267007</c:v>
                </c:pt>
                <c:pt idx="8">
                  <c:v>25.0528743777597</c:v>
                </c:pt>
                <c:pt idx="9">
                  <c:v>28.5163314621193</c:v>
                </c:pt>
                <c:pt idx="10">
                  <c:v>32.4652730429935</c:v>
                </c:pt>
                <c:pt idx="11">
                  <c:v>31.2839976329033</c:v>
                </c:pt>
              </c:numCache>
            </c:numRef>
          </c:val>
        </c:ser>
        <c:ser>
          <c:idx val="2"/>
          <c:order val="2"/>
          <c:tx>
            <c:strRef>
              <c:f>应用!$A$4</c:f>
              <c:strCache>
                <c:ptCount val="1"/>
                <c:pt idx="0">
                  <c:v>FTTX和PON系统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应用!$B$4:$M$4</c:f>
              <c:numCache>
                <c:formatCode>#,##0_);[Red]\(#,##0\)</c:formatCode>
                <c:ptCount val="12"/>
                <c:pt idx="0">
                  <c:v>69.2029897399192</c:v>
                </c:pt>
                <c:pt idx="1">
                  <c:v>75.7422465957357</c:v>
                </c:pt>
                <c:pt idx="2">
                  <c:v>85.2132944535824</c:v>
                </c:pt>
                <c:pt idx="3">
                  <c:v>113.488239967097</c:v>
                </c:pt>
                <c:pt idx="4">
                  <c:v>100.095515466228</c:v>
                </c:pt>
                <c:pt idx="5">
                  <c:v>90.9755329326893</c:v>
                </c:pt>
                <c:pt idx="6">
                  <c:v>87.6635686562747</c:v>
                </c:pt>
                <c:pt idx="7">
                  <c:v>81.0682877319886</c:v>
                </c:pt>
                <c:pt idx="8">
                  <c:v>81.3967020818944</c:v>
                </c:pt>
                <c:pt idx="9">
                  <c:v>92.4781807314642</c:v>
                </c:pt>
                <c:pt idx="10">
                  <c:v>98.0093931991938</c:v>
                </c:pt>
                <c:pt idx="11">
                  <c:v>93.6370595515444</c:v>
                </c:pt>
              </c:numCache>
            </c:numRef>
          </c:val>
        </c:ser>
        <c:ser>
          <c:idx val="3"/>
          <c:order val="3"/>
          <c:tx>
            <c:strRef>
              <c:f>应用!$A$5</c:f>
              <c:strCache>
                <c:ptCount val="1"/>
                <c:pt idx="0">
                  <c:v>其他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应用!$B$5:$M$5</c:f>
              <c:numCache>
                <c:formatCode>#,##0_);[Red]\(#,##0\)</c:formatCode>
                <c:ptCount val="12"/>
                <c:pt idx="0">
                  <c:v>2.22782246552524</c:v>
                </c:pt>
                <c:pt idx="1">
                  <c:v>2.58002254981962</c:v>
                </c:pt>
                <c:pt idx="2">
                  <c:v>3.42581908642484</c:v>
                </c:pt>
                <c:pt idx="3">
                  <c:v>7.33350010941646</c:v>
                </c:pt>
                <c:pt idx="4">
                  <c:v>7.21488376237201</c:v>
                </c:pt>
                <c:pt idx="5">
                  <c:v>6.75503270003826</c:v>
                </c:pt>
                <c:pt idx="6">
                  <c:v>6.40988529387832</c:v>
                </c:pt>
                <c:pt idx="7">
                  <c:v>6.03747869422921</c:v>
                </c:pt>
                <c:pt idx="8">
                  <c:v>6.0859635766125</c:v>
                </c:pt>
                <c:pt idx="9">
                  <c:v>7.03378518343976</c:v>
                </c:pt>
                <c:pt idx="10">
                  <c:v>7.40311611016935</c:v>
                </c:pt>
                <c:pt idx="11">
                  <c:v>7.15623998542097</c:v>
                </c:pt>
              </c:numCache>
            </c:numRef>
          </c:val>
        </c:ser>
        <c:ser>
          <c:idx val="4"/>
          <c:order val="4"/>
          <c:tx>
            <c:strRef>
              <c:f>应用!$A$6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tx1">
                <a:lumMod val="65000"/>
                <a:lumOff val="3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应用!$B$6:$M$6</c:f>
            </c:numRef>
          </c:val>
        </c:ser>
        <c:ser>
          <c:idx val="5"/>
          <c:order val="5"/>
          <c:tx>
            <c:strRef>
              <c:f>应用!$A$7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rgbClr val="C00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应用!$B$7:$M$7</c:f>
            </c:numRef>
          </c:val>
        </c:ser>
        <c:ser>
          <c:idx val="6"/>
          <c:order val="6"/>
          <c:tx>
            <c:strRef>
              <c:f>应用!$A$8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rgbClr val="7030A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应用!$B$8:$M$8</c:f>
            </c:numRef>
          </c:val>
        </c:ser>
        <c:ser>
          <c:idx val="7"/>
          <c:order val="7"/>
          <c:tx>
            <c:strRef>
              <c:f>应用!$A$9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应用!$B$9:$M$9</c:f>
            </c:numRef>
          </c:val>
        </c:ser>
        <c:ser>
          <c:idx val="8"/>
          <c:order val="8"/>
          <c:tx>
            <c:strRef>
              <c:f>应用!$A$10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应用!$B$10:$M$10</c:f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897692240"/>
        <c:axId val="1897707216"/>
      </c:barChart>
      <c:catAx>
        <c:axId val="18976922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1897707216"/>
        <c:crosses val="autoZero"/>
        <c:auto val="1"/>
        <c:lblAlgn val="ctr"/>
        <c:lblOffset val="100"/>
        <c:noMultiLvlLbl val="0"/>
      </c:catAx>
      <c:valAx>
        <c:axId val="189770721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18976922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691853448275862"/>
          <c:y val="0.03175"/>
          <c:w val="0.897009594053696"/>
          <c:h val="0.75544166666666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应用!$A$2</c:f>
              <c:strCache>
                <c:ptCount val="1"/>
                <c:pt idx="0">
                  <c:v>光纤设备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应用!$B$2:$M$2</c:f>
              <c:numCache>
                <c:formatCode>#,##0_);[Red]\(#,##0\)</c:formatCode>
                <c:ptCount val="12"/>
                <c:pt idx="0">
                  <c:v>4.09985018839903</c:v>
                </c:pt>
                <c:pt idx="1">
                  <c:v>4.72561925034631</c:v>
                </c:pt>
                <c:pt idx="2">
                  <c:v>5.28947120291916</c:v>
                </c:pt>
                <c:pt idx="3">
                  <c:v>7.85504976012679</c:v>
                </c:pt>
                <c:pt idx="4">
                  <c:v>6.68606125482472</c:v>
                </c:pt>
                <c:pt idx="5">
                  <c:v>6.16187727937336</c:v>
                </c:pt>
                <c:pt idx="6">
                  <c:v>5.6521667908236</c:v>
                </c:pt>
                <c:pt idx="7">
                  <c:v>5.31274513312979</c:v>
                </c:pt>
                <c:pt idx="8">
                  <c:v>5.37075102595579</c:v>
                </c:pt>
                <c:pt idx="9">
                  <c:v>6.16929145108476</c:v>
                </c:pt>
                <c:pt idx="10">
                  <c:v>6.67023791691284</c:v>
                </c:pt>
                <c:pt idx="11">
                  <c:v>6.43253209763504</c:v>
                </c:pt>
              </c:numCache>
            </c:numRef>
          </c:val>
        </c:ser>
        <c:ser>
          <c:idx val="1"/>
          <c:order val="1"/>
          <c:tx>
            <c:strRef>
              <c:f>应用!$A$3</c:f>
              <c:strCache>
                <c:ptCount val="1"/>
                <c:pt idx="0">
                  <c:v>CATV网络系统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应用!$B$3:$M$3</c:f>
              <c:numCache>
                <c:formatCode>#,##0_);[Red]\(#,##0\)</c:formatCode>
                <c:ptCount val="12"/>
                <c:pt idx="0">
                  <c:v>15.6987587988364</c:v>
                </c:pt>
                <c:pt idx="1">
                  <c:v>19.0627598840567</c:v>
                </c:pt>
                <c:pt idx="2">
                  <c:v>23.4304981046206</c:v>
                </c:pt>
                <c:pt idx="3">
                  <c:v>34.4461737588869</c:v>
                </c:pt>
                <c:pt idx="4">
                  <c:v>30.5552028634306</c:v>
                </c:pt>
                <c:pt idx="5">
                  <c:v>28.0750170878991</c:v>
                </c:pt>
                <c:pt idx="6">
                  <c:v>27.0502789641908</c:v>
                </c:pt>
                <c:pt idx="7">
                  <c:v>24.7388326267007</c:v>
                </c:pt>
                <c:pt idx="8">
                  <c:v>25.0528743777597</c:v>
                </c:pt>
                <c:pt idx="9">
                  <c:v>28.5163314621193</c:v>
                </c:pt>
                <c:pt idx="10">
                  <c:v>32.4652730429935</c:v>
                </c:pt>
                <c:pt idx="11">
                  <c:v>31.2839976329033</c:v>
                </c:pt>
              </c:numCache>
            </c:numRef>
          </c:val>
        </c:ser>
        <c:ser>
          <c:idx val="2"/>
          <c:order val="2"/>
          <c:tx>
            <c:strRef>
              <c:f>应用!$A$4</c:f>
              <c:strCache>
                <c:ptCount val="1"/>
                <c:pt idx="0">
                  <c:v>FTTX和PON系统</c:v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应用!$B$4:$M$4</c:f>
              <c:numCache>
                <c:formatCode>#,##0_);[Red]\(#,##0\)</c:formatCode>
                <c:ptCount val="12"/>
                <c:pt idx="0">
                  <c:v>69.2029897399192</c:v>
                </c:pt>
                <c:pt idx="1">
                  <c:v>75.7422465957357</c:v>
                </c:pt>
                <c:pt idx="2">
                  <c:v>85.2132944535824</c:v>
                </c:pt>
                <c:pt idx="3">
                  <c:v>113.488239967097</c:v>
                </c:pt>
                <c:pt idx="4">
                  <c:v>100.095515466228</c:v>
                </c:pt>
                <c:pt idx="5">
                  <c:v>90.9755329326893</c:v>
                </c:pt>
                <c:pt idx="6">
                  <c:v>87.6635686562747</c:v>
                </c:pt>
                <c:pt idx="7">
                  <c:v>81.0682877319886</c:v>
                </c:pt>
                <c:pt idx="8">
                  <c:v>81.3967020818944</c:v>
                </c:pt>
                <c:pt idx="9">
                  <c:v>92.4781807314642</c:v>
                </c:pt>
                <c:pt idx="10">
                  <c:v>98.0093931991938</c:v>
                </c:pt>
                <c:pt idx="11">
                  <c:v>93.6370595515444</c:v>
                </c:pt>
              </c:numCache>
            </c:numRef>
          </c:val>
        </c:ser>
        <c:ser>
          <c:idx val="3"/>
          <c:order val="3"/>
          <c:tx>
            <c:strRef>
              <c:f>应用!$A$5</c:f>
              <c:strCache>
                <c:ptCount val="1"/>
                <c:pt idx="0">
                  <c:v>其他</c:v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应用!$B$5:$M$5</c:f>
              <c:numCache>
                <c:formatCode>#,##0_);[Red]\(#,##0\)</c:formatCode>
                <c:ptCount val="12"/>
                <c:pt idx="0">
                  <c:v>2.22782246552524</c:v>
                </c:pt>
                <c:pt idx="1">
                  <c:v>2.58002254981962</c:v>
                </c:pt>
                <c:pt idx="2">
                  <c:v>3.42581908642484</c:v>
                </c:pt>
                <c:pt idx="3">
                  <c:v>7.33350010941646</c:v>
                </c:pt>
                <c:pt idx="4">
                  <c:v>7.21488376237201</c:v>
                </c:pt>
                <c:pt idx="5">
                  <c:v>6.75503270003826</c:v>
                </c:pt>
                <c:pt idx="6">
                  <c:v>6.40988529387832</c:v>
                </c:pt>
                <c:pt idx="7">
                  <c:v>6.03747869422921</c:v>
                </c:pt>
                <c:pt idx="8">
                  <c:v>6.0859635766125</c:v>
                </c:pt>
                <c:pt idx="9">
                  <c:v>7.03378518343976</c:v>
                </c:pt>
                <c:pt idx="10">
                  <c:v>7.40311611016935</c:v>
                </c:pt>
                <c:pt idx="11">
                  <c:v>7.15623998542097</c:v>
                </c:pt>
              </c:numCache>
            </c:numRef>
          </c:val>
        </c:ser>
        <c:ser>
          <c:idx val="4"/>
          <c:order val="4"/>
          <c:tx>
            <c:strRef>
              <c:f>应用!$A$6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1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应用!$B$6:$M$6</c:f>
            </c:numRef>
          </c:val>
        </c:ser>
        <c:ser>
          <c:idx val="5"/>
          <c:order val="5"/>
          <c:tx>
            <c:strRef>
              <c:f>应用!$A$7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4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应用!$B$7:$M$7</c:f>
            </c:numRef>
          </c:val>
        </c:ser>
        <c:ser>
          <c:idx val="6"/>
          <c:order val="6"/>
          <c:tx>
            <c:strRef>
              <c:f>应用!$A$8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应用!$B$8:$M$8</c:f>
            </c:numRef>
          </c:val>
        </c:ser>
        <c:ser>
          <c:idx val="7"/>
          <c:order val="7"/>
          <c:tx>
            <c:strRef>
              <c:f>应用!$A$9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bg2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应用!$B$9:$M$9</c:f>
            </c:numRef>
          </c:val>
        </c:ser>
        <c:ser>
          <c:idx val="8"/>
          <c:order val="8"/>
          <c:tx>
            <c:strRef>
              <c:f>应用!$A$10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5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应用!$B$10:$M$10</c:f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"/>
        <c:overlap val="100"/>
        <c:axId val="2101581920"/>
        <c:axId val="2101559456"/>
      </c:barChart>
      <c:lineChart>
        <c:grouping val="stacked"/>
        <c:varyColors val="0"/>
        <c:ser>
          <c:idx val="9"/>
          <c:order val="9"/>
          <c:tx>
            <c:strRef>
              <c:f>应用!$A$11</c:f>
              <c:strCache>
                <c:ptCount val="1"/>
                <c:pt idx="0">
                  <c:v>Total</c:v>
                </c:pt>
              </c:strCache>
            </c:strRef>
          </c:tx>
          <c:spPr>
            <a:ln w="28575" cap="rnd">
              <a:solidFill>
                <a:srgbClr val="002060"/>
              </a:solidFill>
              <a:round/>
            </a:ln>
            <a:effectLst/>
          </c:spPr>
          <c:marker>
            <c:symbol val="diamond"/>
            <c:size val="8"/>
            <c:spPr>
              <a:solidFill>
                <a:srgbClr val="FFC000"/>
              </a:solidFill>
              <a:ln w="9525">
                <a:solidFill>
                  <a:schemeClr val="accent4">
                    <a:lumMod val="60000"/>
                  </a:schemeClr>
                </a:solidFill>
              </a:ln>
              <a:effectLst/>
            </c:spPr>
          </c:marker>
          <c:dLbls>
            <c:dLbl>
              <c:idx val="0"/>
              <c:delete val="1"/>
            </c:dLbl>
            <c:dLbl>
              <c:idx val="1"/>
              <c:delete val="1"/>
            </c:dLbl>
            <c:dLbl>
              <c:idx val="2"/>
              <c:delete val="1"/>
            </c:dLbl>
            <c:dLbl>
              <c:idx val="3"/>
              <c:delete val="1"/>
            </c:dLbl>
            <c:dLbl>
              <c:idx val="4"/>
              <c:layout>
                <c:manualLayout>
                  <c:x val="0"/>
                  <c:y val="-0.0391134289439374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5"/>
              <c:delete val="1"/>
            </c:dLbl>
            <c:dLbl>
              <c:idx val="6"/>
              <c:delete val="1"/>
            </c:dLbl>
            <c:dLbl>
              <c:idx val="7"/>
              <c:delete val="1"/>
            </c:dLbl>
            <c:dLbl>
              <c:idx val="8"/>
              <c:delete val="1"/>
            </c:dLbl>
            <c:dLbl>
              <c:idx val="9"/>
              <c:delete val="1"/>
            </c:dLbl>
            <c:dLbl>
              <c:idx val="10"/>
              <c:delete val="1"/>
            </c:dLbl>
            <c:dLbl>
              <c:idx val="11"/>
              <c:delete val="1"/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r"/>
            <c:showLegendKey val="0"/>
            <c:showVal val="0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应用!$B$11:$M$11</c:f>
              <c:numCache>
                <c:formatCode>#,##0_);[Red]\(#,##0\)</c:formatCode>
                <c:ptCount val="12"/>
                <c:pt idx="0">
                  <c:v>91.2294211926799</c:v>
                </c:pt>
                <c:pt idx="1">
                  <c:v>102.110648279958</c:v>
                </c:pt>
                <c:pt idx="2">
                  <c:v>117.359082847547</c:v>
                </c:pt>
                <c:pt idx="3">
                  <c:v>163.122963595528</c:v>
                </c:pt>
                <c:pt idx="4">
                  <c:v>144.551663346856</c:v>
                </c:pt>
                <c:pt idx="5">
                  <c:v>131.96746</c:v>
                </c:pt>
                <c:pt idx="6">
                  <c:v>126.775899705167</c:v>
                </c:pt>
                <c:pt idx="7">
                  <c:v>117.157344186048</c:v>
                </c:pt>
                <c:pt idx="8">
                  <c:v>117.906291062222</c:v>
                </c:pt>
                <c:pt idx="9">
                  <c:v>134.197588828108</c:v>
                </c:pt>
                <c:pt idx="10">
                  <c:v>144.54802026927</c:v>
                </c:pt>
                <c:pt idx="11">
                  <c:v>138.509829267504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101602720"/>
        <c:axId val="2101608960"/>
      </c:lineChart>
      <c:catAx>
        <c:axId val="21015819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559456"/>
        <c:crosses val="autoZero"/>
        <c:auto val="1"/>
        <c:lblAlgn val="ctr"/>
        <c:lblOffset val="100"/>
        <c:noMultiLvlLbl val="0"/>
      </c:catAx>
      <c:valAx>
        <c:axId val="210155945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0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581920"/>
        <c:crosses val="autoZero"/>
        <c:crossBetween val="between"/>
      </c:valAx>
      <c:catAx>
        <c:axId val="210160272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608960"/>
        <c:crosses val="autoZero"/>
        <c:auto val="1"/>
        <c:lblAlgn val="ctr"/>
        <c:lblOffset val="100"/>
        <c:noMultiLvlLbl val="0"/>
      </c:catAx>
      <c:valAx>
        <c:axId val="2101608960"/>
        <c:scaling>
          <c:orientation val="minMax"/>
        </c:scaling>
        <c:delete val="0"/>
        <c:axPos val="r"/>
        <c:numFmt formatCode="0.0%" sourceLinked="0"/>
        <c:majorTickMark val="out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602720"/>
        <c:crosses val="max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0695485312899106"/>
          <c:y val="0.865502222222222"/>
          <c:w val="0.860902937420179"/>
          <c:h val="0.11333111111111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'地区-消费'!$A$2</c:f>
              <c:strCache>
                <c:ptCount val="1"/>
                <c:pt idx="0">
                  <c:v>亚太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'地区-消费'!$B$2:$M$2</c:f>
              <c:numCache>
                <c:formatCode>#,##0_);[Red]\(#,##0\)</c:formatCode>
                <c:ptCount val="12"/>
                <c:pt idx="0">
                  <c:v>66.2281807736683</c:v>
                </c:pt>
                <c:pt idx="1">
                  <c:v>72.564108901787</c:v>
                </c:pt>
                <c:pt idx="2">
                  <c:v>81.450445420918</c:v>
                </c:pt>
                <c:pt idx="3">
                  <c:v>110.29737012498</c:v>
                </c:pt>
                <c:pt idx="4">
                  <c:v>99.3406470424305</c:v>
                </c:pt>
                <c:pt idx="5">
                  <c:v>90.2128223441306</c:v>
                </c:pt>
                <c:pt idx="6">
                  <c:v>86.4590996743249</c:v>
                </c:pt>
                <c:pt idx="7">
                  <c:v>79.1799265086341</c:v>
                </c:pt>
                <c:pt idx="8">
                  <c:v>79.5430456516027</c:v>
                </c:pt>
                <c:pt idx="9">
                  <c:v>90.5557867573029</c:v>
                </c:pt>
                <c:pt idx="10">
                  <c:v>97.1971481580835</c:v>
                </c:pt>
                <c:pt idx="11">
                  <c:v>92.0452099273172</c:v>
                </c:pt>
              </c:numCache>
            </c:numRef>
          </c:val>
        </c:ser>
        <c:ser>
          <c:idx val="1"/>
          <c:order val="1"/>
          <c:tx>
            <c:strRef>
              <c:f>'地区-消费'!$A$3</c:f>
              <c:strCache>
                <c:ptCount val="1"/>
                <c:pt idx="0">
                  <c:v>北美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'地区-消费'!$B$3:$M$3</c:f>
              <c:numCache>
                <c:formatCode>#,##0_);[Red]\(#,##0\)</c:formatCode>
                <c:ptCount val="12"/>
                <c:pt idx="0">
                  <c:v>11.2394646909382</c:v>
                </c:pt>
                <c:pt idx="1">
                  <c:v>13.5105757347536</c:v>
                </c:pt>
                <c:pt idx="2">
                  <c:v>16.8017186884737</c:v>
                </c:pt>
                <c:pt idx="3">
                  <c:v>25.6133002458543</c:v>
                </c:pt>
                <c:pt idx="4">
                  <c:v>21.397827926556</c:v>
                </c:pt>
                <c:pt idx="5">
                  <c:v>19.7362063554225</c:v>
                </c:pt>
                <c:pt idx="6">
                  <c:v>19.0655964864068</c:v>
                </c:pt>
                <c:pt idx="7">
                  <c:v>17.9750520353813</c:v>
                </c:pt>
                <c:pt idx="8">
                  <c:v>18.1855398947156</c:v>
                </c:pt>
                <c:pt idx="9">
                  <c:v>20.854922355615</c:v>
                </c:pt>
                <c:pt idx="10">
                  <c:v>22.7952643315815</c:v>
                </c:pt>
                <c:pt idx="11">
                  <c:v>22.4927711739014</c:v>
                </c:pt>
              </c:numCache>
            </c:numRef>
          </c:val>
        </c:ser>
        <c:ser>
          <c:idx val="2"/>
          <c:order val="2"/>
          <c:tx>
            <c:strRef>
              <c:f>'地区-消费'!$A$4</c:f>
              <c:strCache>
                <c:ptCount val="1"/>
                <c:pt idx="0">
                  <c:v>欧洲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'地区-消费'!$B$4:$M$4</c:f>
              <c:numCache>
                <c:formatCode>#,##0_);[Red]\(#,##0\)</c:formatCode>
                <c:ptCount val="12"/>
                <c:pt idx="0">
                  <c:v>10.7614225238885</c:v>
                </c:pt>
                <c:pt idx="1">
                  <c:v>12.514117780143</c:v>
                </c:pt>
                <c:pt idx="2">
                  <c:v>15.0015481904531</c:v>
                </c:pt>
                <c:pt idx="3">
                  <c:v>21.8071566044302</c:v>
                </c:pt>
                <c:pt idx="4">
                  <c:v>18.8331281969946</c:v>
                </c:pt>
                <c:pt idx="5">
                  <c:v>17.3502797052825</c:v>
                </c:pt>
                <c:pt idx="6">
                  <c:v>16.7462771913333</c:v>
                </c:pt>
                <c:pt idx="7">
                  <c:v>15.7712026309866</c:v>
                </c:pt>
                <c:pt idx="8">
                  <c:v>15.8564459812071</c:v>
                </c:pt>
                <c:pt idx="9">
                  <c:v>18.0511439080734</c:v>
                </c:pt>
                <c:pt idx="10">
                  <c:v>19.5721332937676</c:v>
                </c:pt>
                <c:pt idx="11">
                  <c:v>19.1217044055636</c:v>
                </c:pt>
              </c:numCache>
            </c:numRef>
          </c:val>
        </c:ser>
        <c:ser>
          <c:idx val="3"/>
          <c:order val="3"/>
          <c:tx>
            <c:strRef>
              <c:f>'地区-消费'!$A$5</c:f>
              <c:strCache>
                <c:ptCount val="1"/>
                <c:pt idx="0">
                  <c:v>其他地区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'地区-消费'!$B$5:$M$5</c:f>
              <c:numCache>
                <c:formatCode>#,##0_);[Red]\(#,##0\)</c:formatCode>
                <c:ptCount val="12"/>
                <c:pt idx="0">
                  <c:v>3.00035320418486</c:v>
                </c:pt>
                <c:pt idx="1">
                  <c:v>3.52184586327482</c:v>
                </c:pt>
                <c:pt idx="2">
                  <c:v>4.10537054770219</c:v>
                </c:pt>
                <c:pt idx="3">
                  <c:v>5.40513662026274</c:v>
                </c:pt>
                <c:pt idx="4">
                  <c:v>4.9800601808744</c:v>
                </c:pt>
                <c:pt idx="5">
                  <c:v>4.66815159516436</c:v>
                </c:pt>
                <c:pt idx="6">
                  <c:v>4.50492635310246</c:v>
                </c:pt>
                <c:pt idx="7">
                  <c:v>4.23116301104622</c:v>
                </c:pt>
                <c:pt idx="8">
                  <c:v>4.32125953469691</c:v>
                </c:pt>
                <c:pt idx="9">
                  <c:v>4.73573580711675</c:v>
                </c:pt>
                <c:pt idx="10">
                  <c:v>4.98347448583701</c:v>
                </c:pt>
                <c:pt idx="11">
                  <c:v>4.85014376072149</c:v>
                </c:pt>
              </c:numCache>
            </c:numRef>
          </c:val>
        </c:ser>
        <c:ser>
          <c:idx val="4"/>
          <c:order val="4"/>
          <c:tx>
            <c:strRef>
              <c:f>'地区-消费'!$A$6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tx1">
                <a:lumMod val="65000"/>
                <a:lumOff val="3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'地区-消费'!$B$6:$M$6</c:f>
            </c:numRef>
          </c:val>
        </c:ser>
        <c:ser>
          <c:idx val="5"/>
          <c:order val="5"/>
          <c:tx>
            <c:strRef>
              <c:f>'地区-消费'!$A$7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rgbClr val="C00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'地区-消费'!$B$7:$M$7</c:f>
            </c:numRef>
          </c:val>
        </c:ser>
        <c:ser>
          <c:idx val="6"/>
          <c:order val="6"/>
          <c:tx>
            <c:strRef>
              <c:f>'地区-消费'!$A$8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rgbClr val="7030A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'地区-消费'!$B$8:$M$8</c:f>
            </c:numRef>
          </c:val>
        </c:ser>
        <c:ser>
          <c:idx val="7"/>
          <c:order val="7"/>
          <c:tx>
            <c:strRef>
              <c:f>'地区-消费'!$A$9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'地区-消费'!$B$9:$M$9</c:f>
            </c:numRef>
          </c:val>
        </c:ser>
        <c:ser>
          <c:idx val="8"/>
          <c:order val="8"/>
          <c:tx>
            <c:strRef>
              <c:f>'地区-消费'!$A$10</c:f>
              <c:strCache>
                <c:ptCount val="1"/>
                <c:pt idx="0">
                  <c:v>Middle East and Africa</c:v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'地区-消费'!$B$10:$M$10</c:f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897692240"/>
        <c:axId val="1897707216"/>
      </c:barChart>
      <c:catAx>
        <c:axId val="18976922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1897707216"/>
        <c:crosses val="autoZero"/>
        <c:auto val="1"/>
        <c:lblAlgn val="ctr"/>
        <c:lblOffset val="100"/>
        <c:noMultiLvlLbl val="0"/>
      </c:catAx>
      <c:valAx>
        <c:axId val="189770721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18976922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en-US" altLang="zh-CN" sz="1200">
                <a:latin typeface="Book Antiqua" panose="02040602050305030304" pitchFamily="1" charset="0"/>
              </a:rPr>
              <a:t>Market Size By Region, 2018 Vs 2022 VS 2029</a:t>
            </a:r>
            <a:endParaRPr lang="zh-CN" altLang="en-US" sz="12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'地区-消费'!$AE$1</c:f>
              <c:strCache>
                <c:ptCount val="1"/>
                <c:pt idx="0">
                  <c:v>2018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'地区-消费'!$AD$2:$AD$10</c:f>
              <c:strCache>
                <c:ptCount val="4"/>
                <c:pt idx="0">
                  <c:v>亚太</c:v>
                </c:pt>
                <c:pt idx="1">
                  <c:v>北美</c:v>
                </c:pt>
                <c:pt idx="2">
                  <c:v>欧洲</c:v>
                </c:pt>
                <c:pt idx="3">
                  <c:v>其他地区</c:v>
                </c:pt>
              </c:strCache>
            </c:strRef>
          </c:cat>
          <c:val>
            <c:numRef>
              <c:f>'地区-消费'!$AE$2:$AE$10</c:f>
              <c:numCache>
                <c:formatCode>#,##0_);[Red]\(#,##0\)</c:formatCode>
                <c:ptCount val="4"/>
                <c:pt idx="0">
                  <c:v>66.2281807736683</c:v>
                </c:pt>
                <c:pt idx="1">
                  <c:v>11.2394646909382</c:v>
                </c:pt>
                <c:pt idx="2">
                  <c:v>10.7614225238885</c:v>
                </c:pt>
                <c:pt idx="3">
                  <c:v>3.00035320418486</c:v>
                </c:pt>
              </c:numCache>
            </c:numRef>
          </c:val>
        </c:ser>
        <c:ser>
          <c:idx val="1"/>
          <c:order val="1"/>
          <c:tx>
            <c:strRef>
              <c:f>'地区-消费'!$AF$1</c:f>
              <c:strCache>
                <c:ptCount val="1"/>
                <c:pt idx="0">
                  <c:v>2022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'地区-消费'!$AD$2:$AD$10</c:f>
              <c:strCache>
                <c:ptCount val="4"/>
                <c:pt idx="0">
                  <c:v>亚太</c:v>
                </c:pt>
                <c:pt idx="1">
                  <c:v>北美</c:v>
                </c:pt>
                <c:pt idx="2">
                  <c:v>欧洲</c:v>
                </c:pt>
                <c:pt idx="3">
                  <c:v>其他地区</c:v>
                </c:pt>
              </c:strCache>
            </c:strRef>
          </c:cat>
          <c:val>
            <c:numRef>
              <c:f>'地区-消费'!$AF$2:$AF$10</c:f>
              <c:numCache>
                <c:formatCode>#,##0_);[Red]\(#,##0\)</c:formatCode>
                <c:ptCount val="4"/>
                <c:pt idx="0">
                  <c:v>99.3406470424305</c:v>
                </c:pt>
                <c:pt idx="1">
                  <c:v>21.397827926556</c:v>
                </c:pt>
                <c:pt idx="2">
                  <c:v>18.8331281969946</c:v>
                </c:pt>
                <c:pt idx="3">
                  <c:v>4.9800601808744</c:v>
                </c:pt>
              </c:numCache>
            </c:numRef>
          </c:val>
        </c:ser>
        <c:ser>
          <c:idx val="2"/>
          <c:order val="2"/>
          <c:tx>
            <c:strRef>
              <c:f>'地区-消费'!$AG$1</c:f>
              <c:strCache>
                <c:ptCount val="1"/>
                <c:pt idx="0">
                  <c:v>2029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'地区-消费'!$AD$2:$AD$10</c:f>
              <c:strCache>
                <c:ptCount val="4"/>
                <c:pt idx="0">
                  <c:v>亚太</c:v>
                </c:pt>
                <c:pt idx="1">
                  <c:v>北美</c:v>
                </c:pt>
                <c:pt idx="2">
                  <c:v>欧洲</c:v>
                </c:pt>
                <c:pt idx="3">
                  <c:v>其他地区</c:v>
                </c:pt>
              </c:strCache>
            </c:strRef>
          </c:cat>
          <c:val>
            <c:numRef>
              <c:f>'地区-消费'!$AG$2:$AG$10</c:f>
              <c:numCache>
                <c:formatCode>#,##0_);[Red]\(#,##0\)</c:formatCode>
                <c:ptCount val="4"/>
                <c:pt idx="0">
                  <c:v>92.0452099273172</c:v>
                </c:pt>
                <c:pt idx="1">
                  <c:v>22.4927711739014</c:v>
                </c:pt>
                <c:pt idx="2">
                  <c:v>19.1217044055636</c:v>
                </c:pt>
                <c:pt idx="3">
                  <c:v>4.85014376072149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25844928"/>
        <c:axId val="1875643855"/>
      </c:barChart>
      <c:catAx>
        <c:axId val="258449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875643855"/>
        <c:crosses val="autoZero"/>
        <c:auto val="1"/>
        <c:lblAlgn val="ctr"/>
        <c:lblOffset val="100"/>
        <c:noMultiLvlLbl val="0"/>
      </c:catAx>
      <c:valAx>
        <c:axId val="1875643855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258449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Book Antiqua" panose="02040602050305030304" pitchFamily="1" charset="0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0.54734</cdr:x>
      <cdr:y>0.17465</cdr:y>
    </cdr:from>
    <cdr:to>
      <cdr:x>0.73876</cdr:x>
      <cdr:y>0.50504</cdr:y>
    </cdr:to>
    <cdr:grpSp>
      <cdr:nvGrpSpPr>
        <cdr:cNvPr id="2" name="组合 1"/>
        <cdr:cNvGrpSpPr/>
      </cdr:nvGrpSpPr>
      <cdr:grpSpPr xmlns:a="http://schemas.openxmlformats.org/drawingml/2006/main">
        <a:xfrm rot="439955">
          <a:off x="3387329" y="510374"/>
          <a:ext cx="1184643" cy="965489"/>
          <a:chOff x="2860153" y="1082070"/>
          <a:chExt cx="808296" cy="797129"/>
        </a:xfrm>
        <a:solidFill>
          <a:srgbClr val="FFC000"/>
        </a:solidFill>
      </cdr:grpSpPr>
      <cdr:cxnSp>
        <cdr:nvCxnSpPr>
          <cdr:cNvPr id="3" name="直接箭头连接符 2"/>
          <cdr:cNvCxnSpPr/>
        </cdr:nvCxnSpPr>
        <cdr:spPr xmlns:a="http://schemas.openxmlformats.org/drawingml/2006/main">
          <a:xfrm xmlns:a="http://schemas.openxmlformats.org/drawingml/2006/main" rot="21160045" flipV="1">
            <a:off x="2860153" y="1082070"/>
            <a:ext cx="808296" cy="797129"/>
          </a:xfrm>
          <a:prstGeom xmlns:a="http://schemas.openxmlformats.org/drawingml/2006/main" prst="straightConnector1">
            <a:avLst/>
          </a:prstGeom>
          <a:grpFill/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4" name="椭圆 3"/>
          <cdr:cNvSpPr/>
        </cdr:nvSpPr>
        <cdr:spPr xmlns:a="http://schemas.openxmlformats.org/drawingml/2006/main">
          <a:xfrm xmlns:a="http://schemas.openxmlformats.org/drawingml/2006/main" rot="18797512">
            <a:off x="2927679" y="1405657"/>
            <a:ext cx="661239" cy="185799"/>
          </a:xfrm>
          <a:prstGeom xmlns:a="http://schemas.openxmlformats.org/drawingml/2006/main" prst="ellipse">
            <a:avLst/>
          </a:prstGeom>
          <a:grpFill/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baseline="0">
                <a:solidFill>
                  <a:sysClr val="windowText" lastClr="000000"/>
                </a:solidFill>
                <a:latin typeface="Book Antiqua" panose="02040602050305030304" pitchFamily="1" charset="0"/>
                <a:ea typeface="宋体" panose="02010600030101010101" charset="-122"/>
              </a:rPr>
              <a:t>0.8%</a:t>
            </a:r>
            <a:endParaRPr lang="zh-CN" baseline="0">
              <a:solidFill>
                <a:sysClr val="windowText" lastClr="000000"/>
              </a:solidFill>
              <a:latin typeface="Book Antiqua" panose="02040602050305030304" pitchFamily="1" charset="0"/>
              <a:ea typeface="宋体" panose="02010600030101010101" charset="-122"/>
            </a:endParaRPr>
          </a:p>
        </cdr:txBody>
      </cdr:sp>
    </cdr:grpSp>
  </cdr:relSizeAnchor>
  <cdr:relSizeAnchor xmlns:cdr="http://schemas.openxmlformats.org/drawingml/2006/chartDrawing">
    <cdr:from>
      <cdr:x>0.23892</cdr:x>
      <cdr:y>0.50594</cdr:y>
    </cdr:from>
    <cdr:to>
      <cdr:x>0.41468</cdr:x>
      <cdr:y>0.78159</cdr:y>
    </cdr:to>
    <cdr:grpSp>
      <cdr:nvGrpSpPr>
        <cdr:cNvPr id="5" name="组合 4"/>
        <cdr:cNvGrpSpPr/>
      </cdr:nvGrpSpPr>
      <cdr:grpSpPr xmlns:a="http://schemas.openxmlformats.org/drawingml/2006/main">
        <a:xfrm rot="1783323">
          <a:off x="1478607" y="1478493"/>
          <a:ext cx="1087728" cy="805524"/>
          <a:chOff x="3056630" y="1688526"/>
          <a:chExt cx="860779" cy="814928"/>
        </a:xfrm>
      </cdr:grpSpPr>
      <cdr:cxnSp>
        <cdr:nvCxnSpPr>
          <cdr:cNvPr id="6" name="直接箭头连接符 5"/>
          <cdr:cNvCxnSpPr/>
        </cdr:nvCxnSpPr>
        <cdr:spPr xmlns:a="http://schemas.openxmlformats.org/drawingml/2006/main">
          <a:xfrm xmlns:a="http://schemas.openxmlformats.org/drawingml/2006/main" rot="19816677" flipV="1">
            <a:off x="3056630" y="1780104"/>
            <a:ext cx="860779" cy="560852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7" name="椭圆 6"/>
          <cdr:cNvSpPr/>
        </cdr:nvSpPr>
        <cdr:spPr xmlns:a="http://schemas.openxmlformats.org/drawingml/2006/main">
          <a:xfrm xmlns:a="http://schemas.openxmlformats.org/drawingml/2006/main" rot="18230322">
            <a:off x="3051620" y="2008392"/>
            <a:ext cx="814928" cy="175195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>
                <a:solidFill>
                  <a:sysClr val="windowText" lastClr="000000"/>
                </a:solidFill>
              </a:rPr>
              <a:t>12.2%</a:t>
            </a:r>
            <a:endParaRPr lang="zh-CN">
              <a:solidFill>
                <a:sysClr val="windowText" lastClr="000000"/>
              </a:solidFill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2023-12-12T07:01:37Z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D6A121EDFF844C0D9DC85D8C91B99A9E_13</vt:lpwstr>
  </property>
</Properties>
</file>