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colors3.xml" ContentType="application/vnd.ms-office.chartcolorstyle+xml"/>
  <Override PartName="/word/charts/colors4.xml" ContentType="application/vnd.ms-office.chartcolorstyle+xml"/>
  <Override PartName="/word/charts/colors5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charts/style3.xml" ContentType="application/vnd.ms-office.chartstyle+xml"/>
  <Override PartName="/word/charts/style4.xml" ContentType="application/vnd.ms-office.chartstyle+xml"/>
  <Override PartName="/word/charts/style5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6" w:type="first"/>
          <w:headerReference r:id="rId4" w:type="default"/>
          <w:headerReference r:id="rId5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OLE_LINK24"/>
      <w:bookmarkStart w:id="1" w:name="_Toc453597319"/>
      <w:bookmarkStart w:id="2" w:name="_Toc481801204"/>
      <w:bookmarkStart w:id="3" w:name="OLE_LINK39"/>
      <w:bookmarkStart w:id="4" w:name="_Toc438987549"/>
      <w:bookmarkStart w:id="5" w:name="OLE_LINK40"/>
      <w:bookmarkStart w:id="6" w:name="_Toc415818939"/>
      <w:bookmarkStart w:id="7" w:name="_Toc418070112"/>
      <w:bookmarkStart w:id="8" w:name="_Hlk23501351"/>
      <w:bookmarkStart w:id="9" w:name="OLE_LINK15"/>
      <w:bookmarkStart w:id="10" w:name="OLE_LINK13"/>
      <w:bookmarkStart w:id="11" w:name="_Toc415142861"/>
      <w:bookmarkStart w:id="12" w:name="_Toc415143481"/>
      <w:bookmarkStart w:id="13" w:name="_Toc517262917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-172720</wp:posOffset>
                </wp:positionH>
                <wp:positionV relativeFrom="paragraph">
                  <wp:posOffset>1339850</wp:posOffset>
                </wp:positionV>
                <wp:extent cx="6352540" cy="1981200"/>
                <wp:effectExtent l="0" t="0" r="10160" b="0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6352540" cy="1981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超细沉淀硫酸钡，全球市场研究报告2023-2029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3.6pt;margin-top:105.5pt;height:156pt;width:500.2pt;z-index:251661312;mso-width-relative:page;mso-height-relative:page;" fillcolor="#FFFFFF [3201]" filled="t" stroked="f" coordsize="21600,21600" o:gfxdata="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jQ5lc&#10;1gAAAAsBAAAPAAAAAAAAAAEAIAAAACIAAABkcnMvZG93bnJldi54bWxQSwECFAAUAAAACACHTuJA&#10;F6EMYFwCAACeBAAADgAAAAAAAAABACAAAAAlAQAAZHJzL2Uyb0RvYy54bWxQSwUGAAAAAAYABgBZ&#10;AQAA8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超细沉淀硫酸钡，全球市场研究报告2023-2029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根据调研团队最新报告“全球超细沉淀硫酸钡市场报告2023-2029”显示，预计2029年全球超细沉淀硫酸钡市场规模将达到4.2亿美元，未来几年年复合增长率CAGR为5.4%。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超细沉淀硫酸钡有粒径细、粒度分布窄的特点。目前业界没有对“超细”进行统一的划分标准，根据采访信息，本报告中选取D50指标下，粒径为1微米及以下（3000目），作为超细沉淀硫酸钡的标准。</w:t>
      </w:r>
    </w:p>
    <w:p>
      <w:pPr>
        <w:pStyle w:val="145"/>
        <w:rPr>
          <w:rFonts w:hint="eastAsia"/>
          <w:lang w:eastAsia="zh-CN"/>
        </w:rPr>
      </w:pPr>
      <w:r>
        <w:drawing>
          <wp:inline distT="0" distB="0" distL="0" distR="0">
            <wp:extent cx="3933190" cy="2847340"/>
            <wp:effectExtent l="0" t="0" r="10160" b="1016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33333" cy="28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8"/>
        <w:rPr>
          <w:lang w:eastAsia="zh-CN"/>
        </w:rPr>
      </w:pPr>
      <w:r>
        <w:rPr>
          <w:lang w:eastAsia="zh-CN"/>
        </w:rPr>
        <w:t>超细沉淀硫酸钡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6188710" cy="2922270"/>
            <wp:effectExtent l="0" t="0" r="2540" b="11430"/>
            <wp:docPr id="602990857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如上图表/数据，摘自QYResearch最新报告”全球超细沉淀硫酸钡市场研究报告2023-2029”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超细沉淀硫酸钡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10</w:t>
      </w:r>
      <w:r>
        <w:rPr>
          <w:rFonts w:hint="eastAsia"/>
          <w:lang w:eastAsia="zh-CN"/>
        </w:rPr>
        <w:t>强生产商排名及市场占有率（持续更新）</w:t>
      </w:r>
    </w:p>
    <w:p>
      <w:pPr>
        <w:pStyle w:val="145"/>
        <w:jc w:val="center"/>
      </w:pPr>
      <w:r>
        <w:drawing>
          <wp:inline distT="0" distB="0" distL="0" distR="0">
            <wp:extent cx="4572000" cy="4399915"/>
            <wp:effectExtent l="0" t="0" r="0" b="635"/>
            <wp:docPr id="368567399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如上图表/数据，摘自QYResearch最新报告”全球超细沉淀硫酸钡市场研究报告2023-2029”</w:t>
      </w:r>
    </w:p>
    <w:p>
      <w:pPr>
        <w:pStyle w:val="145"/>
      </w:pPr>
      <w:r>
        <w:rPr>
          <w:rFonts w:hint="eastAsia"/>
          <w:lang w:eastAsia="zh-CN"/>
        </w:rPr>
        <w:t>全球范围内，超细沉淀硫酸钡 主要生产商包括Venator, Sakai Chem, 云浮鸿志, 佛山安亿, 河北深州嘉信, 宜昌中泰, Cimbar, Takehara Kagaku Kogyo, 青岛红星, Nippon Chemical Industry等，其中前五大厂商2022年占有大约 54.1%的市场份额。</w:t>
      </w:r>
    </w:p>
    <w:p>
      <w:pPr>
        <w:pStyle w:val="145"/>
      </w:pPr>
    </w:p>
    <w:p>
      <w:pPr>
        <w:pStyle w:val="145"/>
      </w:pPr>
      <w:r>
        <w:br w:type="page"/>
      </w:r>
    </w:p>
    <w:p>
      <w:pPr>
        <w:pStyle w:val="148"/>
        <w:rPr>
          <w:lang w:eastAsia="zh-CN"/>
        </w:rPr>
      </w:pPr>
      <w:r>
        <w:rPr>
          <w:lang w:eastAsia="zh-CN"/>
        </w:rPr>
        <w:t>超细沉淀硫酸钡</w:t>
      </w:r>
      <w:r>
        <w:rPr>
          <w:rFonts w:hint="eastAsia"/>
          <w:lang w:eastAsia="zh-CN"/>
        </w:rPr>
        <w:t>，全球市场规模，按产品类型细分</w:t>
      </w:r>
    </w:p>
    <w:p>
      <w:pPr>
        <w:pStyle w:val="145"/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5953125" cy="2744470"/>
            <wp:effectExtent l="0" t="0" r="9525" b="17780"/>
            <wp:docPr id="183452675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4526756" name="图片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58168" cy="2746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drawing>
          <wp:inline distT="0" distB="0" distL="0" distR="0">
            <wp:extent cx="6188710" cy="2922270"/>
            <wp:effectExtent l="0" t="0" r="2540" b="11430"/>
            <wp:docPr id="107025155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如上图表/数据，摘自QYResearch最新报告”全球超细沉淀硫酸钡市场研究报告2023-2029”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就产品类型而言，目前D50: 0.3μm+是最主要的细分产品，占据大约75.5%的份额。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p>
      <w:pPr>
        <w:pStyle w:val="148"/>
        <w:rPr>
          <w:lang w:eastAsia="zh-CN"/>
        </w:rPr>
      </w:pPr>
      <w:r>
        <w:rPr>
          <w:lang w:eastAsia="zh-CN"/>
        </w:rPr>
        <w:t>超细沉淀硫酸钡</w:t>
      </w:r>
      <w:r>
        <w:rPr>
          <w:rFonts w:hint="eastAsia"/>
          <w:lang w:eastAsia="zh-CN"/>
        </w:rPr>
        <w:t>，全球市场规模，按应用细分</w:t>
      </w:r>
    </w:p>
    <w:p>
      <w:pPr>
        <w:pStyle w:val="145"/>
      </w:pPr>
      <w:r>
        <w:drawing>
          <wp:inline distT="0" distB="0" distL="0" distR="0">
            <wp:extent cx="6188710" cy="2922270"/>
            <wp:effectExtent l="0" t="0" r="2540" b="11430"/>
            <wp:docPr id="630096110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如上图表/数据，摘自QYResearch最新报告”全球超细沉淀硫酸钡市场研究报告2023-2029”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就产品应用而言，目前Coatings and Painting是最主要的需求来源，占据大约57.2%的份额。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全球主要市场</w:t>
      </w:r>
      <w:r>
        <w:rPr>
          <w:lang w:eastAsia="zh-CN"/>
        </w:rPr>
        <w:t>超细沉淀硫酸钡</w:t>
      </w:r>
      <w:r>
        <w:rPr>
          <w:rFonts w:hint="eastAsia"/>
          <w:lang w:eastAsia="zh-CN"/>
        </w:rPr>
        <w:t>规模</w:t>
      </w:r>
    </w:p>
    <w:p>
      <w:pPr>
        <w:pStyle w:val="145"/>
        <w:rPr>
          <w:lang w:val="en-US" w:eastAsia="zh-CN"/>
        </w:rPr>
      </w:pPr>
      <w:r>
        <w:drawing>
          <wp:inline distT="0" distB="0" distL="0" distR="0">
            <wp:extent cx="5908040" cy="3059430"/>
            <wp:effectExtent l="0" t="0" r="16510" b="7620"/>
            <wp:docPr id="707061560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如上图表/数据，摘自QYResearch最新报告”全球超细沉淀硫酸钡市场研究报告2023-2029”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CF1907"/>
    <w:rsid w:val="02017B58"/>
    <w:rsid w:val="02A50666"/>
    <w:rsid w:val="02C31E14"/>
    <w:rsid w:val="02E3014B"/>
    <w:rsid w:val="02E76B51"/>
    <w:rsid w:val="03107D15"/>
    <w:rsid w:val="03447D4D"/>
    <w:rsid w:val="039F62FF"/>
    <w:rsid w:val="03EA7678"/>
    <w:rsid w:val="042F016D"/>
    <w:rsid w:val="05405A2B"/>
    <w:rsid w:val="05847419"/>
    <w:rsid w:val="068560C3"/>
    <w:rsid w:val="070A2A99"/>
    <w:rsid w:val="07287ACA"/>
    <w:rsid w:val="07531178"/>
    <w:rsid w:val="07CE3ADB"/>
    <w:rsid w:val="07E72487"/>
    <w:rsid w:val="086D0162"/>
    <w:rsid w:val="09523C57"/>
    <w:rsid w:val="09B40479"/>
    <w:rsid w:val="0A126294"/>
    <w:rsid w:val="0A413560"/>
    <w:rsid w:val="0A9D03F6"/>
    <w:rsid w:val="0AFE7196"/>
    <w:rsid w:val="0B676BC5"/>
    <w:rsid w:val="0BE3650F"/>
    <w:rsid w:val="0CE12BAF"/>
    <w:rsid w:val="0D126C01"/>
    <w:rsid w:val="0D223618"/>
    <w:rsid w:val="0F231E64"/>
    <w:rsid w:val="0F5116AE"/>
    <w:rsid w:val="0F601CC9"/>
    <w:rsid w:val="105A40DF"/>
    <w:rsid w:val="1087172B"/>
    <w:rsid w:val="10A04854"/>
    <w:rsid w:val="10A122D5"/>
    <w:rsid w:val="113605CA"/>
    <w:rsid w:val="118A2253"/>
    <w:rsid w:val="121421B7"/>
    <w:rsid w:val="12145A3A"/>
    <w:rsid w:val="12B442BF"/>
    <w:rsid w:val="130030B9"/>
    <w:rsid w:val="132135EE"/>
    <w:rsid w:val="140C22F2"/>
    <w:rsid w:val="14DF00CB"/>
    <w:rsid w:val="15391A5F"/>
    <w:rsid w:val="161C3356"/>
    <w:rsid w:val="161D5555"/>
    <w:rsid w:val="166C0B57"/>
    <w:rsid w:val="16722A60"/>
    <w:rsid w:val="16A61C36"/>
    <w:rsid w:val="170809D5"/>
    <w:rsid w:val="171325EA"/>
    <w:rsid w:val="17263809"/>
    <w:rsid w:val="175355D1"/>
    <w:rsid w:val="18147C0E"/>
    <w:rsid w:val="182A5635"/>
    <w:rsid w:val="184461DF"/>
    <w:rsid w:val="184738E0"/>
    <w:rsid w:val="18B9619D"/>
    <w:rsid w:val="191861B7"/>
    <w:rsid w:val="19D133E7"/>
    <w:rsid w:val="19E67B09"/>
    <w:rsid w:val="1A3A7593"/>
    <w:rsid w:val="1A6900E2"/>
    <w:rsid w:val="1B073464"/>
    <w:rsid w:val="1B2C5C22"/>
    <w:rsid w:val="1B415BC7"/>
    <w:rsid w:val="1B6E410D"/>
    <w:rsid w:val="1C0A7327"/>
    <w:rsid w:val="1C27133D"/>
    <w:rsid w:val="1C492B76"/>
    <w:rsid w:val="1C8D7DE8"/>
    <w:rsid w:val="1CEB48FE"/>
    <w:rsid w:val="1D517B25"/>
    <w:rsid w:val="1DB37BCA"/>
    <w:rsid w:val="1DD1717A"/>
    <w:rsid w:val="1DE17414"/>
    <w:rsid w:val="1E0C0259"/>
    <w:rsid w:val="1E264686"/>
    <w:rsid w:val="1E29560A"/>
    <w:rsid w:val="1EA374D2"/>
    <w:rsid w:val="1EDA542E"/>
    <w:rsid w:val="1F0D1100"/>
    <w:rsid w:val="1F466CDC"/>
    <w:rsid w:val="1F990CE4"/>
    <w:rsid w:val="1FD06C40"/>
    <w:rsid w:val="20404975"/>
    <w:rsid w:val="20664BB5"/>
    <w:rsid w:val="20D506EC"/>
    <w:rsid w:val="20ED3B94"/>
    <w:rsid w:val="214210A0"/>
    <w:rsid w:val="218E591C"/>
    <w:rsid w:val="21C42573"/>
    <w:rsid w:val="22257114"/>
    <w:rsid w:val="226136F6"/>
    <w:rsid w:val="229F5759"/>
    <w:rsid w:val="22D20532"/>
    <w:rsid w:val="236D70AB"/>
    <w:rsid w:val="24187544"/>
    <w:rsid w:val="24356AF4"/>
    <w:rsid w:val="243B67FF"/>
    <w:rsid w:val="24816F73"/>
    <w:rsid w:val="248633FB"/>
    <w:rsid w:val="250F7ADC"/>
    <w:rsid w:val="25644FE8"/>
    <w:rsid w:val="256A6EF1"/>
    <w:rsid w:val="256E2074"/>
    <w:rsid w:val="2598673B"/>
    <w:rsid w:val="25B22B68"/>
    <w:rsid w:val="26126405"/>
    <w:rsid w:val="27054714"/>
    <w:rsid w:val="27372964"/>
    <w:rsid w:val="27CC2E58"/>
    <w:rsid w:val="28696559"/>
    <w:rsid w:val="28E41726"/>
    <w:rsid w:val="299E43D8"/>
    <w:rsid w:val="29DC643B"/>
    <w:rsid w:val="29FD43F1"/>
    <w:rsid w:val="2A113092"/>
    <w:rsid w:val="2A5218FD"/>
    <w:rsid w:val="2A8A1A57"/>
    <w:rsid w:val="2A976B6E"/>
    <w:rsid w:val="2B5449A3"/>
    <w:rsid w:val="2C06004A"/>
    <w:rsid w:val="2C0C4151"/>
    <w:rsid w:val="2C856399"/>
    <w:rsid w:val="2C971B37"/>
    <w:rsid w:val="2CE72BBB"/>
    <w:rsid w:val="2D090B71"/>
    <w:rsid w:val="2D9716DA"/>
    <w:rsid w:val="2D9A265E"/>
    <w:rsid w:val="2ED33660"/>
    <w:rsid w:val="2EF9001C"/>
    <w:rsid w:val="2EFD44A4"/>
    <w:rsid w:val="2F107C41"/>
    <w:rsid w:val="2F5603B6"/>
    <w:rsid w:val="2F964A23"/>
    <w:rsid w:val="2FBF4562"/>
    <w:rsid w:val="30711E07"/>
    <w:rsid w:val="30A844DF"/>
    <w:rsid w:val="314F5F72"/>
    <w:rsid w:val="31BC43A8"/>
    <w:rsid w:val="31C02DAE"/>
    <w:rsid w:val="31C10830"/>
    <w:rsid w:val="31CE7B45"/>
    <w:rsid w:val="31EF007A"/>
    <w:rsid w:val="32915685"/>
    <w:rsid w:val="32925305"/>
    <w:rsid w:val="33301D0B"/>
    <w:rsid w:val="333A261A"/>
    <w:rsid w:val="33995EB7"/>
    <w:rsid w:val="33CF4D0C"/>
    <w:rsid w:val="33EE55C1"/>
    <w:rsid w:val="34196405"/>
    <w:rsid w:val="343B7C3F"/>
    <w:rsid w:val="34563CEC"/>
    <w:rsid w:val="34945D4F"/>
    <w:rsid w:val="34ED1C61"/>
    <w:rsid w:val="354016EB"/>
    <w:rsid w:val="354E0A01"/>
    <w:rsid w:val="35650626"/>
    <w:rsid w:val="35684E2E"/>
    <w:rsid w:val="357A05CB"/>
    <w:rsid w:val="36840A7D"/>
    <w:rsid w:val="37CC6816"/>
    <w:rsid w:val="38232AA8"/>
    <w:rsid w:val="38356245"/>
    <w:rsid w:val="389030DC"/>
    <w:rsid w:val="38F85F83"/>
    <w:rsid w:val="38FB278B"/>
    <w:rsid w:val="398D7AFC"/>
    <w:rsid w:val="399248BD"/>
    <w:rsid w:val="39984266"/>
    <w:rsid w:val="39CE0565"/>
    <w:rsid w:val="39F13F9D"/>
    <w:rsid w:val="3A1B4DE1"/>
    <w:rsid w:val="3A2A1B78"/>
    <w:rsid w:val="3A522D3D"/>
    <w:rsid w:val="3A864490"/>
    <w:rsid w:val="3AC37B79"/>
    <w:rsid w:val="3BAF51F7"/>
    <w:rsid w:val="3CCE564F"/>
    <w:rsid w:val="3CF93F15"/>
    <w:rsid w:val="3D666AC7"/>
    <w:rsid w:val="3D6F51D8"/>
    <w:rsid w:val="3D947997"/>
    <w:rsid w:val="3E2171FA"/>
    <w:rsid w:val="3E9704BE"/>
    <w:rsid w:val="3F2D1CB6"/>
    <w:rsid w:val="3F721126"/>
    <w:rsid w:val="3F9F0CF0"/>
    <w:rsid w:val="40277950"/>
    <w:rsid w:val="406F7D44"/>
    <w:rsid w:val="40F634A0"/>
    <w:rsid w:val="41E356A7"/>
    <w:rsid w:val="425311DE"/>
    <w:rsid w:val="42677E7F"/>
    <w:rsid w:val="43212B30"/>
    <w:rsid w:val="43453FEA"/>
    <w:rsid w:val="44757F5F"/>
    <w:rsid w:val="44E0180C"/>
    <w:rsid w:val="45433AAF"/>
    <w:rsid w:val="45921630"/>
    <w:rsid w:val="45AA4758"/>
    <w:rsid w:val="45D27E9B"/>
    <w:rsid w:val="460A7FF5"/>
    <w:rsid w:val="46136706"/>
    <w:rsid w:val="4622569C"/>
    <w:rsid w:val="462369A1"/>
    <w:rsid w:val="46845740"/>
    <w:rsid w:val="46F91E7C"/>
    <w:rsid w:val="477F6C5D"/>
    <w:rsid w:val="4794337F"/>
    <w:rsid w:val="47F830A4"/>
    <w:rsid w:val="48847404"/>
    <w:rsid w:val="48DB3696"/>
    <w:rsid w:val="48F07DB8"/>
    <w:rsid w:val="494552C4"/>
    <w:rsid w:val="494574C2"/>
    <w:rsid w:val="499C3754"/>
    <w:rsid w:val="4A4A12EF"/>
    <w:rsid w:val="4A4D7CF5"/>
    <w:rsid w:val="4A826ECA"/>
    <w:rsid w:val="4AE56F6F"/>
    <w:rsid w:val="4B427308"/>
    <w:rsid w:val="4B621DBB"/>
    <w:rsid w:val="4B812670"/>
    <w:rsid w:val="4C537145"/>
    <w:rsid w:val="4CB074DF"/>
    <w:rsid w:val="4DA457ED"/>
    <w:rsid w:val="4E06200F"/>
    <w:rsid w:val="508942AC"/>
    <w:rsid w:val="508A77AF"/>
    <w:rsid w:val="508F1A38"/>
    <w:rsid w:val="50F1625A"/>
    <w:rsid w:val="50F25EDA"/>
    <w:rsid w:val="511C03A3"/>
    <w:rsid w:val="51656219"/>
    <w:rsid w:val="51804844"/>
    <w:rsid w:val="51ED73F6"/>
    <w:rsid w:val="52133DB3"/>
    <w:rsid w:val="522762D7"/>
    <w:rsid w:val="52817C6A"/>
    <w:rsid w:val="52D41C73"/>
    <w:rsid w:val="52E80913"/>
    <w:rsid w:val="53121757"/>
    <w:rsid w:val="53362C11"/>
    <w:rsid w:val="533F1322"/>
    <w:rsid w:val="53832D10"/>
    <w:rsid w:val="53AB3ED4"/>
    <w:rsid w:val="53EA39B9"/>
    <w:rsid w:val="546A778A"/>
    <w:rsid w:val="54E33BD1"/>
    <w:rsid w:val="5510379B"/>
    <w:rsid w:val="551769A9"/>
    <w:rsid w:val="55671C2C"/>
    <w:rsid w:val="56925E96"/>
    <w:rsid w:val="56B70654"/>
    <w:rsid w:val="56F10111"/>
    <w:rsid w:val="57391B27"/>
    <w:rsid w:val="57805B1E"/>
    <w:rsid w:val="57AD4064"/>
    <w:rsid w:val="585B2F03"/>
    <w:rsid w:val="585F1909"/>
    <w:rsid w:val="58C93537"/>
    <w:rsid w:val="590A5625"/>
    <w:rsid w:val="591D6844"/>
    <w:rsid w:val="59227449"/>
    <w:rsid w:val="597A115C"/>
    <w:rsid w:val="59C524D5"/>
    <w:rsid w:val="59EB2715"/>
    <w:rsid w:val="5AE738B1"/>
    <w:rsid w:val="5B7C7628"/>
    <w:rsid w:val="5BEA43D9"/>
    <w:rsid w:val="5C140AA0"/>
    <w:rsid w:val="5C2A2C44"/>
    <w:rsid w:val="5CD530DD"/>
    <w:rsid w:val="5CF4010E"/>
    <w:rsid w:val="5CF94596"/>
    <w:rsid w:val="5D0C1038"/>
    <w:rsid w:val="5D514C25"/>
    <w:rsid w:val="5E074753"/>
    <w:rsid w:val="5E363F9E"/>
    <w:rsid w:val="5E72057F"/>
    <w:rsid w:val="5E9B1744"/>
    <w:rsid w:val="5EE42E3D"/>
    <w:rsid w:val="5EEC0249"/>
    <w:rsid w:val="5F6B1E1C"/>
    <w:rsid w:val="5FDF73FB"/>
    <w:rsid w:val="608060E1"/>
    <w:rsid w:val="60B146B2"/>
    <w:rsid w:val="60C36BF4"/>
    <w:rsid w:val="615E224C"/>
    <w:rsid w:val="61965C29"/>
    <w:rsid w:val="6270558C"/>
    <w:rsid w:val="62C01E93"/>
    <w:rsid w:val="62C06610"/>
    <w:rsid w:val="62CF6C2B"/>
    <w:rsid w:val="62E123C8"/>
    <w:rsid w:val="633F4960"/>
    <w:rsid w:val="63F97611"/>
    <w:rsid w:val="640843A9"/>
    <w:rsid w:val="642B10E5"/>
    <w:rsid w:val="648B4982"/>
    <w:rsid w:val="64AF38BD"/>
    <w:rsid w:val="64E46044"/>
    <w:rsid w:val="64F81987"/>
    <w:rsid w:val="650249CE"/>
    <w:rsid w:val="650D74DA"/>
    <w:rsid w:val="65811A17"/>
    <w:rsid w:val="66BC5F1C"/>
    <w:rsid w:val="66D222BD"/>
    <w:rsid w:val="68A97CC5"/>
    <w:rsid w:val="68C22DEE"/>
    <w:rsid w:val="6967137D"/>
    <w:rsid w:val="69880C71"/>
    <w:rsid w:val="69AB2D6B"/>
    <w:rsid w:val="69CF1CA6"/>
    <w:rsid w:val="69E32EC5"/>
    <w:rsid w:val="6B026BA0"/>
    <w:rsid w:val="6B046820"/>
    <w:rsid w:val="6C4E553D"/>
    <w:rsid w:val="6C974A38"/>
    <w:rsid w:val="6CAD6BDB"/>
    <w:rsid w:val="6CE1026C"/>
    <w:rsid w:val="6D0475EA"/>
    <w:rsid w:val="6D891A42"/>
    <w:rsid w:val="6EA0288E"/>
    <w:rsid w:val="6EB3022A"/>
    <w:rsid w:val="6F1624CD"/>
    <w:rsid w:val="6F21085E"/>
    <w:rsid w:val="6F32657A"/>
    <w:rsid w:val="6F9D14AD"/>
    <w:rsid w:val="6FF96343"/>
    <w:rsid w:val="700468D2"/>
    <w:rsid w:val="70460641"/>
    <w:rsid w:val="706C4FFD"/>
    <w:rsid w:val="70EA114F"/>
    <w:rsid w:val="71062FFD"/>
    <w:rsid w:val="715352FB"/>
    <w:rsid w:val="71614610"/>
    <w:rsid w:val="71791CB7"/>
    <w:rsid w:val="71CF04C8"/>
    <w:rsid w:val="72414F83"/>
    <w:rsid w:val="72492390"/>
    <w:rsid w:val="726A4AC3"/>
    <w:rsid w:val="7271444E"/>
    <w:rsid w:val="73357A0F"/>
    <w:rsid w:val="73376795"/>
    <w:rsid w:val="735F1ED8"/>
    <w:rsid w:val="73651863"/>
    <w:rsid w:val="739E3BBB"/>
    <w:rsid w:val="73D44095"/>
    <w:rsid w:val="74B23A83"/>
    <w:rsid w:val="74BF2D99"/>
    <w:rsid w:val="74C64922"/>
    <w:rsid w:val="74DA5B41"/>
    <w:rsid w:val="74FE287D"/>
    <w:rsid w:val="75286F45"/>
    <w:rsid w:val="761B77D2"/>
    <w:rsid w:val="77035551"/>
    <w:rsid w:val="77A43A56"/>
    <w:rsid w:val="78574EC9"/>
    <w:rsid w:val="787466AD"/>
    <w:rsid w:val="78967EE6"/>
    <w:rsid w:val="78A87E00"/>
    <w:rsid w:val="79952007"/>
    <w:rsid w:val="7A2463F3"/>
    <w:rsid w:val="7A4024A0"/>
    <w:rsid w:val="7B540CE3"/>
    <w:rsid w:val="7B7C4426"/>
    <w:rsid w:val="7BA41D67"/>
    <w:rsid w:val="7C1977A8"/>
    <w:rsid w:val="7C99137B"/>
    <w:rsid w:val="7D2953E6"/>
    <w:rsid w:val="7D7776E4"/>
    <w:rsid w:val="7D817FF3"/>
    <w:rsid w:val="7DA911B8"/>
    <w:rsid w:val="7DF30332"/>
    <w:rsid w:val="7DFC793D"/>
    <w:rsid w:val="7E261E06"/>
    <w:rsid w:val="7F0439F3"/>
    <w:rsid w:val="7F0B7AFA"/>
    <w:rsid w:val="7F1C1099"/>
    <w:rsid w:val="7F785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2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chart" Target="charts/chart5.xml"/><Relationship Id="rId14" Type="http://schemas.openxmlformats.org/officeDocument/2006/relationships/chart" Target="charts/chart4.xml"/><Relationship Id="rId13" Type="http://schemas.openxmlformats.org/officeDocument/2006/relationships/chart" Target="charts/chart3.xml"/><Relationship Id="rId12" Type="http://schemas.openxmlformats.org/officeDocument/2006/relationships/image" Target="media/image4.png"/><Relationship Id="rId11" Type="http://schemas.openxmlformats.org/officeDocument/2006/relationships/chart" Target="charts/chart2.xml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5.xml"/><Relationship Id="rId3" Type="http://schemas.microsoft.com/office/2011/relationships/chartStyle" Target="style5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QYRea\Desktop\20231127%20&#30446;&#24405;\20231127%20Superfine%20Precipitated%20Barium%20Sulphate%20%20&#36229;&#32454;&#27785;&#28096;&#30827;&#37240;&#38049;\&#35266;&#28857;&#25968;&#25454;&#22270;&#34920;&#27169;&#26495;-&#20840;&#29699;20230927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3.xml"/><Relationship Id="rId2" Type="http://schemas.microsoft.com/office/2011/relationships/chartStyle" Target="style3.xml"/><Relationship Id="rId1" Type="http://schemas.openxmlformats.org/officeDocument/2006/relationships/oleObject" Target="file:///C:\Users\QYRea\Desktop\20231127%20&#30446;&#24405;\20231127%20Superfine%20Precipitated%20Barium%20Sulphate%20%20&#36229;&#32454;&#27785;&#28096;&#30827;&#37240;&#38049;\&#35266;&#28857;&#25968;&#25454;&#22270;&#34920;&#27169;&#26495;-&#20840;&#29699;20230927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microsoft.com/office/2011/relationships/chartColorStyle" Target="colors4.xml"/><Relationship Id="rId2" Type="http://schemas.microsoft.com/office/2011/relationships/chartStyle" Target="style4.xml"/><Relationship Id="rId1" Type="http://schemas.openxmlformats.org/officeDocument/2006/relationships/oleObject" Target="file:///C:\Users\QYRea\Desktop\20231127%20&#30446;&#24405;\20231127%20Superfine%20Precipitated%20Barium%20Sulphate%20%20&#36229;&#32454;&#27785;&#28096;&#30827;&#37240;&#38049;\&#35266;&#28857;&#25968;&#25454;&#22270;&#34920;&#27169;&#26495;-&#20840;&#29699;20230927.xlsx" TargetMode="External"/></Relationships>
</file>

<file path=word/charts/_rels/chart4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C:\Users\QYRea\Desktop\20231127%20&#30446;&#24405;\20231127%20Superfine%20Precipitated%20Barium%20Sulphate%20%20&#36229;&#32454;&#27785;&#28096;&#30827;&#37240;&#38049;\&#35266;&#28857;&#25968;&#25454;&#22270;&#34920;&#27169;&#26495;-&#20840;&#29699;20230927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QYRea\Desktop\20231127%20&#30446;&#24405;\20231127%20Superfine%20Precipitated%20Barium%20Sulphate%20%20&#36229;&#32454;&#27785;&#28096;&#30827;&#37240;&#38049;\&#35266;&#28857;&#25968;&#25454;&#22270;&#34920;&#27169;&#26495;-&#20840;&#29699;20230927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100">
                <a:latin typeface="Book Antiqua" panose="02040602050305030304" pitchFamily="1" charset="0"/>
              </a:rPr>
              <a:t>Global Market Size ($ Mn)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254884259259259"/>
          <c:y val="0.131440849673203"/>
          <c:w val="0.937283950617284"/>
          <c:h val="0.79303039215686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全球总体!$B$21:$D$21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全球总体!$B$22:$D$22</c:f>
              <c:numCache>
                <c:formatCode>#,##0_ </c:formatCode>
                <c:ptCount val="3"/>
                <c:pt idx="0">
                  <c:v>359.57</c:v>
                </c:pt>
                <c:pt idx="1">
                  <c:v>322.43</c:v>
                </c:pt>
                <c:pt idx="2">
                  <c:v>422.86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企业排序!$F$2:$F$25</c:f>
              <c:strCache>
                <c:ptCount val="10"/>
                <c:pt idx="0">
                  <c:v>Nippon Chemical Industry</c:v>
                </c:pt>
                <c:pt idx="1">
                  <c:v>青岛红星</c:v>
                </c:pt>
                <c:pt idx="2">
                  <c:v>Takehara Kagaku Kogyo</c:v>
                </c:pt>
                <c:pt idx="3">
                  <c:v>Cimbar</c:v>
                </c:pt>
                <c:pt idx="4">
                  <c:v>宜昌中泰</c:v>
                </c:pt>
                <c:pt idx="5">
                  <c:v>河北深州嘉信</c:v>
                </c:pt>
                <c:pt idx="6">
                  <c:v>佛山安亿</c:v>
                </c:pt>
                <c:pt idx="7">
                  <c:v>云浮鸿志</c:v>
                </c:pt>
                <c:pt idx="8">
                  <c:v>Sakai Chem</c:v>
                </c:pt>
                <c:pt idx="9">
                  <c:v>Venator</c:v>
                </c:pt>
              </c:strCache>
            </c:strRef>
          </c:cat>
          <c:val>
            <c:numRef>
              <c:f>企业排序!$G$2:$G$25</c:f>
              <c:numCache>
                <c:formatCode>#,##0.00_ </c:formatCode>
                <c:ptCount val="10"/>
                <c:pt idx="0">
                  <c:v>12.57</c:v>
                </c:pt>
                <c:pt idx="1">
                  <c:v>13.57</c:v>
                </c:pt>
                <c:pt idx="2">
                  <c:v>13.71</c:v>
                </c:pt>
                <c:pt idx="3">
                  <c:v>13.86</c:v>
                </c:pt>
                <c:pt idx="4">
                  <c:v>17</c:v>
                </c:pt>
                <c:pt idx="5">
                  <c:v>21.29</c:v>
                </c:pt>
                <c:pt idx="6">
                  <c:v>22.14</c:v>
                </c:pt>
                <c:pt idx="7">
                  <c:v>36.43</c:v>
                </c:pt>
                <c:pt idx="8">
                  <c:v>41.43</c:v>
                </c:pt>
                <c:pt idx="9">
                  <c:v>53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299878086419753"/>
          <c:y val="0.0211666666666667"/>
          <c:w val="0.936207098765432"/>
          <c:h val="0.75544166666666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分类!$A$2</c:f>
              <c:strCache>
                <c:ptCount val="1"/>
                <c:pt idx="0">
                  <c:v>D50: 0.3μm+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分类!$B$2:$M$2</c:f>
              <c:numCache>
                <c:formatCode>#,##0_);[Red]\(#,##0\)</c:formatCode>
                <c:ptCount val="12"/>
                <c:pt idx="0">
                  <c:v>19.01</c:v>
                </c:pt>
                <c:pt idx="1">
                  <c:v>17.84</c:v>
                </c:pt>
                <c:pt idx="2">
                  <c:v>16.11</c:v>
                </c:pt>
                <c:pt idx="3">
                  <c:v>19.33</c:v>
                </c:pt>
                <c:pt idx="4">
                  <c:v>17.03</c:v>
                </c:pt>
                <c:pt idx="5">
                  <c:v>15.86</c:v>
                </c:pt>
                <c:pt idx="6">
                  <c:v>15.74</c:v>
                </c:pt>
                <c:pt idx="7">
                  <c:v>16.81</c:v>
                </c:pt>
                <c:pt idx="8">
                  <c:v>17.85</c:v>
                </c:pt>
                <c:pt idx="9">
                  <c:v>18.86</c:v>
                </c:pt>
                <c:pt idx="10">
                  <c:v>19.98</c:v>
                </c:pt>
                <c:pt idx="11">
                  <c:v>20.92</c:v>
                </c:pt>
              </c:numCache>
            </c:numRef>
          </c:val>
        </c:ser>
        <c:ser>
          <c:idx val="1"/>
          <c:order val="1"/>
          <c:tx>
            <c:strRef>
              <c:f>分类!$A$3</c:f>
              <c:strCache>
                <c:ptCount val="1"/>
                <c:pt idx="0">
                  <c:v>D50: min. 0.3μm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分类!$B$3:$M$3</c:f>
              <c:numCache>
                <c:formatCode>#,##0_);[Red]\(#,##0\)</c:formatCode>
                <c:ptCount val="12"/>
                <c:pt idx="0">
                  <c:v>6.16</c:v>
                </c:pt>
                <c:pt idx="1">
                  <c:v>6.02</c:v>
                </c:pt>
                <c:pt idx="2">
                  <c:v>5.32</c:v>
                </c:pt>
                <c:pt idx="3">
                  <c:v>5.59</c:v>
                </c:pt>
                <c:pt idx="4">
                  <c:v>5.54</c:v>
                </c:pt>
                <c:pt idx="5">
                  <c:v>5.7</c:v>
                </c:pt>
                <c:pt idx="6">
                  <c:v>5.81</c:v>
                </c:pt>
                <c:pt idx="7">
                  <c:v>6.2</c:v>
                </c:pt>
                <c:pt idx="8">
                  <c:v>6.74</c:v>
                </c:pt>
                <c:pt idx="9">
                  <c:v>7.35</c:v>
                </c:pt>
                <c:pt idx="10">
                  <c:v>7.91</c:v>
                </c:pt>
                <c:pt idx="11">
                  <c:v>8.68</c:v>
                </c:pt>
              </c:numCache>
            </c:numRef>
          </c:val>
        </c:ser>
        <c:ser>
          <c:idx val="2"/>
          <c:order val="2"/>
          <c:tx>
            <c:strRef>
              <c:f>分类!$A$4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分类!$B$4:$M$4</c:f>
            </c:numRef>
          </c:val>
        </c:ser>
        <c:ser>
          <c:idx val="3"/>
          <c:order val="3"/>
          <c:tx>
            <c:strRef>
              <c:f>分类!$A$5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tx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分类!$B$5:$M$5</c:f>
            </c:numRef>
          </c:val>
        </c:ser>
        <c:ser>
          <c:idx val="4"/>
          <c:order val="4"/>
          <c:tx>
            <c:strRef>
              <c:f>分类!$A$6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1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分类!$B$6:$M$6</c:f>
            </c:numRef>
          </c:val>
        </c:ser>
        <c:ser>
          <c:idx val="5"/>
          <c:order val="5"/>
          <c:tx>
            <c:strRef>
              <c:f>分类!$A$7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4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分类!$B$7:$M$7</c:f>
            </c:numRef>
          </c:val>
        </c:ser>
        <c:ser>
          <c:idx val="6"/>
          <c:order val="6"/>
          <c:tx>
            <c:strRef>
              <c:f>分类!$A$8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分类!$B$8:$M$8</c:f>
            </c:numRef>
          </c:val>
        </c:ser>
        <c:ser>
          <c:idx val="7"/>
          <c:order val="7"/>
          <c:tx>
            <c:strRef>
              <c:f>分类!$A$9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bg2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分类!$B$9:$M$9</c:f>
            </c:numRef>
          </c:val>
        </c:ser>
        <c:ser>
          <c:idx val="8"/>
          <c:order val="8"/>
          <c:tx>
            <c:strRef>
              <c:f>分类!$A$10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5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分类!$B$10:$M$10</c:f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5"/>
        <c:overlap val="100"/>
        <c:axId val="2101581920"/>
        <c:axId val="2101559456"/>
      </c:barChart>
      <c:lineChart>
        <c:grouping val="stacked"/>
        <c:varyColors val="0"/>
        <c:ser>
          <c:idx val="9"/>
          <c:order val="9"/>
          <c:tx>
            <c:strRef>
              <c:f>分类!$A$11</c:f>
              <c:strCache>
                <c:ptCount val="1"/>
                <c:pt idx="0">
                  <c:v>Total</c:v>
                </c:pt>
              </c:strCache>
            </c:strRef>
          </c:tx>
          <c:spPr>
            <a:ln w="28575" cap="rnd">
              <a:solidFill>
                <a:srgbClr val="002060"/>
              </a:solidFill>
              <a:round/>
            </a:ln>
            <a:effectLst/>
          </c:spPr>
          <c:marker>
            <c:symbol val="diamond"/>
            <c:size val="8"/>
            <c:spPr>
              <a:solidFill>
                <a:srgbClr val="FFC000"/>
              </a:solidFill>
              <a:ln w="9525">
                <a:solidFill>
                  <a:schemeClr val="accent4">
                    <a:lumMod val="60000"/>
                  </a:schemeClr>
                </a:solidFill>
              </a:ln>
              <a:effectLst/>
            </c:spPr>
          </c:marker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分类!$B$11:$M$11</c:f>
              <c:numCache>
                <c:formatCode>#,##0_);[Red]\(#,##0\)</c:formatCode>
                <c:ptCount val="12"/>
                <c:pt idx="0">
                  <c:v>25.17</c:v>
                </c:pt>
                <c:pt idx="1">
                  <c:v>23.86</c:v>
                </c:pt>
                <c:pt idx="2">
                  <c:v>21.43</c:v>
                </c:pt>
                <c:pt idx="3">
                  <c:v>24.92</c:v>
                </c:pt>
                <c:pt idx="4">
                  <c:v>22.57</c:v>
                </c:pt>
                <c:pt idx="5">
                  <c:v>21.56</c:v>
                </c:pt>
                <c:pt idx="6">
                  <c:v>21.55</c:v>
                </c:pt>
                <c:pt idx="7">
                  <c:v>23.01</c:v>
                </c:pt>
                <c:pt idx="8">
                  <c:v>24.59</c:v>
                </c:pt>
                <c:pt idx="9">
                  <c:v>26.21</c:v>
                </c:pt>
                <c:pt idx="10">
                  <c:v>27.89</c:v>
                </c:pt>
                <c:pt idx="11">
                  <c:v>29.6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101602720"/>
        <c:axId val="2101608960"/>
      </c:lineChart>
      <c:catAx>
        <c:axId val="21015819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559456"/>
        <c:crosses val="autoZero"/>
        <c:auto val="1"/>
        <c:lblAlgn val="ctr"/>
        <c:lblOffset val="100"/>
        <c:noMultiLvlLbl val="0"/>
      </c:catAx>
      <c:valAx>
        <c:axId val="210155945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0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581920"/>
        <c:crosses val="autoZero"/>
        <c:crossBetween val="between"/>
      </c:valAx>
      <c:catAx>
        <c:axId val="210160272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608960"/>
        <c:crosses val="autoZero"/>
        <c:auto val="1"/>
        <c:lblAlgn val="ctr"/>
        <c:lblOffset val="100"/>
        <c:noMultiLvlLbl val="0"/>
      </c:catAx>
      <c:valAx>
        <c:axId val="2101608960"/>
        <c:scaling>
          <c:orientation val="minMax"/>
        </c:scaling>
        <c:delete val="0"/>
        <c:axPos val="r"/>
        <c:numFmt formatCode="0.0%" sourceLinked="0"/>
        <c:majorTickMark val="out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602720"/>
        <c:crosses val="max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0695485312899106"/>
          <c:y val="0.865502222222222"/>
          <c:w val="0.860902937420179"/>
          <c:h val="0.11333111111111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691853448275862"/>
          <c:y val="0.03175"/>
          <c:w val="0.897009594053696"/>
          <c:h val="0.75544166666666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应用!$A$2</c:f>
              <c:strCache>
                <c:ptCount val="1"/>
                <c:pt idx="0">
                  <c:v>Coatings and Painting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应用!$B$2:$M$2</c:f>
              <c:numCache>
                <c:formatCode>#,##0_);[Red]\(#,##0\)</c:formatCode>
                <c:ptCount val="12"/>
                <c:pt idx="0">
                  <c:v>14.4</c:v>
                </c:pt>
                <c:pt idx="1">
                  <c:v>13.65</c:v>
                </c:pt>
                <c:pt idx="2">
                  <c:v>12.22</c:v>
                </c:pt>
                <c:pt idx="3">
                  <c:v>14.29</c:v>
                </c:pt>
                <c:pt idx="4">
                  <c:v>12.91</c:v>
                </c:pt>
                <c:pt idx="5">
                  <c:v>12.35</c:v>
                </c:pt>
                <c:pt idx="6">
                  <c:v>12.24</c:v>
                </c:pt>
                <c:pt idx="7">
                  <c:v>13.16</c:v>
                </c:pt>
                <c:pt idx="8">
                  <c:v>14.34</c:v>
                </c:pt>
                <c:pt idx="9">
                  <c:v>15.04</c:v>
                </c:pt>
                <c:pt idx="10">
                  <c:v>16.14</c:v>
                </c:pt>
                <c:pt idx="11">
                  <c:v>17.16</c:v>
                </c:pt>
              </c:numCache>
            </c:numRef>
          </c:val>
        </c:ser>
        <c:ser>
          <c:idx val="1"/>
          <c:order val="1"/>
          <c:tx>
            <c:strRef>
              <c:f>应用!$A$3</c:f>
              <c:strCache>
                <c:ptCount val="1"/>
                <c:pt idx="0">
                  <c:v>Plastic and Rubber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应用!$B$3:$M$3</c:f>
              <c:numCache>
                <c:formatCode>#,##0_);[Red]\(#,##0\)</c:formatCode>
                <c:ptCount val="12"/>
                <c:pt idx="0">
                  <c:v>3.41</c:v>
                </c:pt>
                <c:pt idx="1">
                  <c:v>3.31</c:v>
                </c:pt>
                <c:pt idx="2">
                  <c:v>2.9</c:v>
                </c:pt>
                <c:pt idx="3">
                  <c:v>3.38</c:v>
                </c:pt>
                <c:pt idx="4">
                  <c:v>3.14</c:v>
                </c:pt>
                <c:pt idx="5">
                  <c:v>2.86</c:v>
                </c:pt>
                <c:pt idx="6">
                  <c:v>2.82</c:v>
                </c:pt>
                <c:pt idx="7">
                  <c:v>2.84</c:v>
                </c:pt>
                <c:pt idx="8">
                  <c:v>2.96</c:v>
                </c:pt>
                <c:pt idx="9">
                  <c:v>3.08</c:v>
                </c:pt>
                <c:pt idx="10">
                  <c:v>3.15</c:v>
                </c:pt>
                <c:pt idx="11">
                  <c:v>3.4</c:v>
                </c:pt>
              </c:numCache>
            </c:numRef>
          </c:val>
        </c:ser>
        <c:ser>
          <c:idx val="2"/>
          <c:order val="2"/>
          <c:tx>
            <c:strRef>
              <c:f>应用!$A$4</c:f>
              <c:strCache>
                <c:ptCount val="1"/>
                <c:pt idx="0">
                  <c:v>Ink Industry</c:v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应用!$B$4:$M$4</c:f>
              <c:numCache>
                <c:formatCode>#,##0_);[Red]\(#,##0\)</c:formatCode>
                <c:ptCount val="12"/>
                <c:pt idx="0">
                  <c:v>6.02</c:v>
                </c:pt>
                <c:pt idx="1">
                  <c:v>5.64</c:v>
                </c:pt>
                <c:pt idx="2">
                  <c:v>5.17</c:v>
                </c:pt>
                <c:pt idx="3">
                  <c:v>5.93</c:v>
                </c:pt>
                <c:pt idx="4">
                  <c:v>5.31</c:v>
                </c:pt>
                <c:pt idx="5">
                  <c:v>5.18</c:v>
                </c:pt>
                <c:pt idx="6">
                  <c:v>5.29</c:v>
                </c:pt>
                <c:pt idx="7">
                  <c:v>5.72</c:v>
                </c:pt>
                <c:pt idx="8">
                  <c:v>5.96</c:v>
                </c:pt>
                <c:pt idx="9">
                  <c:v>6.62</c:v>
                </c:pt>
                <c:pt idx="10">
                  <c:v>7.05</c:v>
                </c:pt>
                <c:pt idx="11">
                  <c:v>7.41</c:v>
                </c:pt>
              </c:numCache>
            </c:numRef>
          </c:val>
        </c:ser>
        <c:ser>
          <c:idx val="3"/>
          <c:order val="3"/>
          <c:tx>
            <c:strRef>
              <c:f>应用!$A$5</c:f>
              <c:strCache>
                <c:ptCount val="1"/>
                <c:pt idx="0">
                  <c:v>Other Industry</c:v>
                </c:pt>
              </c:strCache>
            </c:strRef>
          </c:tx>
          <c:spPr>
            <a:solidFill>
              <a:schemeClr val="tx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应用!$B$5:$M$5</c:f>
              <c:numCache>
                <c:formatCode>#,##0_);[Red]\(#,##0\)</c:formatCode>
                <c:ptCount val="12"/>
                <c:pt idx="0">
                  <c:v>1.34</c:v>
                </c:pt>
                <c:pt idx="1">
                  <c:v>1.26</c:v>
                </c:pt>
                <c:pt idx="2">
                  <c:v>1.14</c:v>
                </c:pt>
                <c:pt idx="3">
                  <c:v>1.32</c:v>
                </c:pt>
                <c:pt idx="4">
                  <c:v>1.21</c:v>
                </c:pt>
                <c:pt idx="5">
                  <c:v>1.17</c:v>
                </c:pt>
                <c:pt idx="6">
                  <c:v>1.2</c:v>
                </c:pt>
                <c:pt idx="7">
                  <c:v>1.29</c:v>
                </c:pt>
                <c:pt idx="8">
                  <c:v>1.33</c:v>
                </c:pt>
                <c:pt idx="9">
                  <c:v>1.47</c:v>
                </c:pt>
                <c:pt idx="10">
                  <c:v>1.55</c:v>
                </c:pt>
                <c:pt idx="11">
                  <c:v>1.63</c:v>
                </c:pt>
              </c:numCache>
            </c:numRef>
          </c:val>
        </c:ser>
        <c:ser>
          <c:idx val="4"/>
          <c:order val="4"/>
          <c:tx>
            <c:strRef>
              <c:f>应用!$A$6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1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应用!$B$6:$M$6</c:f>
            </c:numRef>
          </c:val>
        </c:ser>
        <c:ser>
          <c:idx val="5"/>
          <c:order val="5"/>
          <c:tx>
            <c:strRef>
              <c:f>应用!$A$7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4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应用!$B$7:$M$7</c:f>
            </c:numRef>
          </c:val>
        </c:ser>
        <c:ser>
          <c:idx val="6"/>
          <c:order val="6"/>
          <c:tx>
            <c:strRef>
              <c:f>应用!$A$8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应用!$B$8:$M$8</c:f>
            </c:numRef>
          </c:val>
        </c:ser>
        <c:ser>
          <c:idx val="7"/>
          <c:order val="7"/>
          <c:tx>
            <c:strRef>
              <c:f>应用!$A$9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bg2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应用!$B$9:$M$9</c:f>
            </c:numRef>
          </c:val>
        </c:ser>
        <c:ser>
          <c:idx val="8"/>
          <c:order val="8"/>
          <c:tx>
            <c:strRef>
              <c:f>应用!$A$10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5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应用!$B$10:$M$10</c:f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5"/>
        <c:overlap val="100"/>
        <c:axId val="2101581920"/>
        <c:axId val="2101559456"/>
      </c:barChart>
      <c:lineChart>
        <c:grouping val="stacked"/>
        <c:varyColors val="0"/>
        <c:ser>
          <c:idx val="9"/>
          <c:order val="9"/>
          <c:tx>
            <c:strRef>
              <c:f>应用!$A$11</c:f>
              <c:strCache>
                <c:ptCount val="1"/>
                <c:pt idx="0">
                  <c:v>Total</c:v>
                </c:pt>
              </c:strCache>
            </c:strRef>
          </c:tx>
          <c:spPr>
            <a:ln w="28575" cap="rnd">
              <a:solidFill>
                <a:srgbClr val="002060"/>
              </a:solidFill>
              <a:round/>
            </a:ln>
            <a:effectLst/>
          </c:spPr>
          <c:marker>
            <c:symbol val="diamond"/>
            <c:size val="8"/>
            <c:spPr>
              <a:solidFill>
                <a:srgbClr val="FFC000"/>
              </a:solidFill>
              <a:ln w="9525">
                <a:solidFill>
                  <a:schemeClr val="accent4">
                    <a:lumMod val="60000"/>
                  </a:schemeClr>
                </a:solidFill>
              </a:ln>
              <a:effectLst/>
            </c:spPr>
          </c:marker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应用!$B$11:$M$11</c:f>
              <c:numCache>
                <c:formatCode>#,##0_);[Red]\(#,##0\)</c:formatCode>
                <c:ptCount val="12"/>
                <c:pt idx="0">
                  <c:v>25.17</c:v>
                </c:pt>
                <c:pt idx="1">
                  <c:v>23.86</c:v>
                </c:pt>
                <c:pt idx="2">
                  <c:v>21.43</c:v>
                </c:pt>
                <c:pt idx="3">
                  <c:v>24.92</c:v>
                </c:pt>
                <c:pt idx="4">
                  <c:v>22.57</c:v>
                </c:pt>
                <c:pt idx="5">
                  <c:v>21.56</c:v>
                </c:pt>
                <c:pt idx="6">
                  <c:v>21.55</c:v>
                </c:pt>
                <c:pt idx="7">
                  <c:v>23.01</c:v>
                </c:pt>
                <c:pt idx="8">
                  <c:v>24.59</c:v>
                </c:pt>
                <c:pt idx="9">
                  <c:v>26.21</c:v>
                </c:pt>
                <c:pt idx="10">
                  <c:v>27.89</c:v>
                </c:pt>
                <c:pt idx="11">
                  <c:v>29.6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101602720"/>
        <c:axId val="2101608960"/>
      </c:lineChart>
      <c:catAx>
        <c:axId val="21015819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559456"/>
        <c:crosses val="autoZero"/>
        <c:auto val="1"/>
        <c:lblAlgn val="ctr"/>
        <c:lblOffset val="100"/>
        <c:noMultiLvlLbl val="0"/>
      </c:catAx>
      <c:valAx>
        <c:axId val="210155945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0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581920"/>
        <c:crosses val="autoZero"/>
        <c:crossBetween val="between"/>
      </c:valAx>
      <c:catAx>
        <c:axId val="210160272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608960"/>
        <c:crosses val="autoZero"/>
        <c:auto val="1"/>
        <c:lblAlgn val="ctr"/>
        <c:lblOffset val="100"/>
        <c:noMultiLvlLbl val="0"/>
      </c:catAx>
      <c:valAx>
        <c:axId val="2101608960"/>
        <c:scaling>
          <c:orientation val="minMax"/>
        </c:scaling>
        <c:delete val="0"/>
        <c:axPos val="r"/>
        <c:numFmt formatCode="0.0%" sourceLinked="0"/>
        <c:majorTickMark val="out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602720"/>
        <c:crosses val="max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0695485312899106"/>
          <c:y val="0.865502222222222"/>
          <c:w val="0.860902937420179"/>
          <c:h val="0.11333111111111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691853448275862"/>
          <c:y val="0.03175"/>
          <c:w val="0.897009594053696"/>
          <c:h val="0.75544166666666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'地区-消费'!$A$2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'地区-消费'!$B$2:$M$2</c:f>
              <c:numCache>
                <c:formatCode>#,##0_);[Red]\(#,##0\)</c:formatCode>
                <c:ptCount val="12"/>
                <c:pt idx="0">
                  <c:v>1.84</c:v>
                </c:pt>
                <c:pt idx="1">
                  <c:v>1.47</c:v>
                </c:pt>
                <c:pt idx="2">
                  <c:v>1.11</c:v>
                </c:pt>
                <c:pt idx="3">
                  <c:v>1.38</c:v>
                </c:pt>
                <c:pt idx="4">
                  <c:v>1.63</c:v>
                </c:pt>
                <c:pt idx="5">
                  <c:v>1.61</c:v>
                </c:pt>
                <c:pt idx="6">
                  <c:v>1.62</c:v>
                </c:pt>
                <c:pt idx="7">
                  <c:v>1.7</c:v>
                </c:pt>
                <c:pt idx="8">
                  <c:v>1.79</c:v>
                </c:pt>
                <c:pt idx="9">
                  <c:v>1.89</c:v>
                </c:pt>
                <c:pt idx="10">
                  <c:v>2</c:v>
                </c:pt>
                <c:pt idx="11">
                  <c:v>2.11</c:v>
                </c:pt>
              </c:numCache>
            </c:numRef>
          </c:val>
        </c:ser>
        <c:ser>
          <c:idx val="1"/>
          <c:order val="1"/>
          <c:tx>
            <c:strRef>
              <c:f>'地区-消费'!$A$3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'地区-消费'!$B$3:$M$3</c:f>
              <c:numCache>
                <c:formatCode>#,##0_);[Red]\(#,##0\)</c:formatCode>
                <c:ptCount val="12"/>
                <c:pt idx="0">
                  <c:v>5.1</c:v>
                </c:pt>
                <c:pt idx="1">
                  <c:v>4.58</c:v>
                </c:pt>
                <c:pt idx="2">
                  <c:v>4.47</c:v>
                </c:pt>
                <c:pt idx="3">
                  <c:v>4.86</c:v>
                </c:pt>
                <c:pt idx="4">
                  <c:v>5.21</c:v>
                </c:pt>
                <c:pt idx="5">
                  <c:v>4.21</c:v>
                </c:pt>
                <c:pt idx="6">
                  <c:v>3.81</c:v>
                </c:pt>
                <c:pt idx="7">
                  <c:v>4.05</c:v>
                </c:pt>
                <c:pt idx="8">
                  <c:v>4.35</c:v>
                </c:pt>
                <c:pt idx="9">
                  <c:v>4.62</c:v>
                </c:pt>
                <c:pt idx="10">
                  <c:v>4.92</c:v>
                </c:pt>
                <c:pt idx="11">
                  <c:v>5.2</c:v>
                </c:pt>
              </c:numCache>
            </c:numRef>
          </c:val>
        </c:ser>
        <c:ser>
          <c:idx val="2"/>
          <c:order val="2"/>
          <c:tx>
            <c:strRef>
              <c:f>'地区-消费'!$A$4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'地区-消费'!$B$4:$M$4</c:f>
              <c:numCache>
                <c:formatCode>#,##0_);[Red]\(#,##0\)</c:formatCode>
                <c:ptCount val="12"/>
                <c:pt idx="0">
                  <c:v>17.84</c:v>
                </c:pt>
                <c:pt idx="1">
                  <c:v>17.45</c:v>
                </c:pt>
                <c:pt idx="2">
                  <c:v>15.54</c:v>
                </c:pt>
                <c:pt idx="3">
                  <c:v>18.29</c:v>
                </c:pt>
                <c:pt idx="4">
                  <c:v>15.42</c:v>
                </c:pt>
                <c:pt idx="5">
                  <c:v>15.44</c:v>
                </c:pt>
                <c:pt idx="6">
                  <c:v>15.82</c:v>
                </c:pt>
                <c:pt idx="7">
                  <c:v>16.95</c:v>
                </c:pt>
                <c:pt idx="8">
                  <c:v>18.12</c:v>
                </c:pt>
                <c:pt idx="9">
                  <c:v>19.34</c:v>
                </c:pt>
                <c:pt idx="10">
                  <c:v>20.6</c:v>
                </c:pt>
                <c:pt idx="11">
                  <c:v>21.9</c:v>
                </c:pt>
              </c:numCache>
            </c:numRef>
          </c:val>
        </c:ser>
        <c:ser>
          <c:idx val="3"/>
          <c:order val="3"/>
          <c:tx>
            <c:strRef>
              <c:f>'地区-消费'!$A$5</c:f>
              <c:strCache>
                <c:ptCount val="1"/>
                <c:pt idx="0">
                  <c:v>South America</c:v>
                </c:pt>
              </c:strCache>
            </c:strRef>
          </c:tx>
          <c:spPr>
            <a:solidFill>
              <a:schemeClr val="tx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'地区-消费'!$B$5:$M$5</c:f>
              <c:numCache>
                <c:formatCode>#,##0_);[Red]\(#,##0\)</c:formatCode>
                <c:ptCount val="12"/>
                <c:pt idx="0">
                  <c:v>0.16</c:v>
                </c:pt>
                <c:pt idx="1">
                  <c:v>0.14</c:v>
                </c:pt>
                <c:pt idx="2">
                  <c:v>0.12</c:v>
                </c:pt>
                <c:pt idx="3">
                  <c:v>0.15</c:v>
                </c:pt>
                <c:pt idx="4">
                  <c:v>0.12</c:v>
                </c:pt>
                <c:pt idx="5">
                  <c:v>0.12</c:v>
                </c:pt>
                <c:pt idx="6">
                  <c:v>0.12</c:v>
                </c:pt>
                <c:pt idx="7">
                  <c:v>0.12</c:v>
                </c:pt>
                <c:pt idx="8">
                  <c:v>0.13</c:v>
                </c:pt>
                <c:pt idx="9">
                  <c:v>0.14</c:v>
                </c:pt>
                <c:pt idx="10">
                  <c:v>0.14</c:v>
                </c:pt>
                <c:pt idx="11">
                  <c:v>0.15</c:v>
                </c:pt>
              </c:numCache>
            </c:numRef>
          </c:val>
        </c:ser>
        <c:ser>
          <c:idx val="4"/>
          <c:order val="4"/>
          <c:tx>
            <c:strRef>
              <c:f>'地区-消费'!$A$6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1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'地区-消费'!$B$6:$M$6</c:f>
            </c:numRef>
          </c:val>
        </c:ser>
        <c:ser>
          <c:idx val="5"/>
          <c:order val="5"/>
          <c:tx>
            <c:strRef>
              <c:f>'地区-消费'!$A$7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4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'地区-消费'!$B$7:$M$7</c:f>
            </c:numRef>
          </c:val>
        </c:ser>
        <c:ser>
          <c:idx val="6"/>
          <c:order val="6"/>
          <c:tx>
            <c:strRef>
              <c:f>'地区-消费'!$A$8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'地区-消费'!$B$8:$M$8</c:f>
            </c:numRef>
          </c:val>
        </c:ser>
        <c:ser>
          <c:idx val="7"/>
          <c:order val="7"/>
          <c:tx>
            <c:strRef>
              <c:f>'地区-消费'!$A$9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bg2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'地区-消费'!$B$9:$M$9</c:f>
            </c:numRef>
          </c:val>
        </c:ser>
        <c:ser>
          <c:idx val="8"/>
          <c:order val="8"/>
          <c:tx>
            <c:strRef>
              <c:f>'地区-消费'!$A$10</c:f>
              <c:strCache>
                <c:ptCount val="1"/>
                <c:pt idx="0">
                  <c:v>Middle East and Africa</c:v>
                </c:pt>
              </c:strCache>
            </c:strRef>
          </c:tx>
          <c:spPr>
            <a:solidFill>
              <a:schemeClr val="accent5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'地区-消费'!$B$10:$M$10</c:f>
              <c:numCache>
                <c:formatCode>#,##0_);[Red]\(#,##0\)</c:formatCode>
                <c:ptCount val="12"/>
                <c:pt idx="0">
                  <c:v>0.23</c:v>
                </c:pt>
                <c:pt idx="1">
                  <c:v>0.22</c:v>
                </c:pt>
                <c:pt idx="2">
                  <c:v>0.19</c:v>
                </c:pt>
                <c:pt idx="3">
                  <c:v>0.24</c:v>
                </c:pt>
                <c:pt idx="4">
                  <c:v>0.19</c:v>
                </c:pt>
                <c:pt idx="5">
                  <c:v>0.18</c:v>
                </c:pt>
                <c:pt idx="6">
                  <c:v>0.18</c:v>
                </c:pt>
                <c:pt idx="7">
                  <c:v>0.19</c:v>
                </c:pt>
                <c:pt idx="8">
                  <c:v>0.2</c:v>
                </c:pt>
                <c:pt idx="9">
                  <c:v>0.22</c:v>
                </c:pt>
                <c:pt idx="10">
                  <c:v>0.23</c:v>
                </c:pt>
                <c:pt idx="11">
                  <c:v>0.24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5"/>
        <c:overlap val="100"/>
        <c:axId val="2101581920"/>
        <c:axId val="2101559456"/>
      </c:barChart>
      <c:lineChart>
        <c:grouping val="stacked"/>
        <c:varyColors val="0"/>
        <c:ser>
          <c:idx val="9"/>
          <c:order val="9"/>
          <c:tx>
            <c:strRef>
              <c:f>'地区-消费'!$A$11</c:f>
              <c:strCache>
                <c:ptCount val="1"/>
                <c:pt idx="0">
                  <c:v>Total</c:v>
                </c:pt>
              </c:strCache>
            </c:strRef>
          </c:tx>
          <c:spPr>
            <a:ln w="28575" cap="rnd">
              <a:solidFill>
                <a:srgbClr val="002060"/>
              </a:solidFill>
              <a:round/>
            </a:ln>
            <a:effectLst/>
          </c:spPr>
          <c:marker>
            <c:symbol val="diamond"/>
            <c:size val="8"/>
            <c:spPr>
              <a:solidFill>
                <a:srgbClr val="FFC000"/>
              </a:solidFill>
              <a:ln w="9525">
                <a:solidFill>
                  <a:schemeClr val="accent4">
                    <a:lumMod val="60000"/>
                  </a:schemeClr>
                </a:solidFill>
              </a:ln>
              <a:effectLst/>
            </c:spPr>
          </c:marker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'地区-消费'!$B$11:$M$11</c:f>
              <c:numCache>
                <c:formatCode>#,##0_);[Red]\(#,##0\)</c:formatCode>
                <c:ptCount val="12"/>
                <c:pt idx="0">
                  <c:v>25.17</c:v>
                </c:pt>
                <c:pt idx="1">
                  <c:v>23.86</c:v>
                </c:pt>
                <c:pt idx="2">
                  <c:v>21.43</c:v>
                </c:pt>
                <c:pt idx="3">
                  <c:v>24.92</c:v>
                </c:pt>
                <c:pt idx="4">
                  <c:v>22.57</c:v>
                </c:pt>
                <c:pt idx="5">
                  <c:v>21.56</c:v>
                </c:pt>
                <c:pt idx="6">
                  <c:v>21.55</c:v>
                </c:pt>
                <c:pt idx="7">
                  <c:v>23.01</c:v>
                </c:pt>
                <c:pt idx="8">
                  <c:v>24.59</c:v>
                </c:pt>
                <c:pt idx="9">
                  <c:v>26.21</c:v>
                </c:pt>
                <c:pt idx="10">
                  <c:v>27.89</c:v>
                </c:pt>
                <c:pt idx="11">
                  <c:v>29.6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101602720"/>
        <c:axId val="2101608960"/>
      </c:lineChart>
      <c:catAx>
        <c:axId val="21015819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559456"/>
        <c:crosses val="autoZero"/>
        <c:auto val="1"/>
        <c:lblAlgn val="ctr"/>
        <c:lblOffset val="100"/>
        <c:noMultiLvlLbl val="0"/>
      </c:catAx>
      <c:valAx>
        <c:axId val="210155945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581920"/>
        <c:crosses val="autoZero"/>
        <c:crossBetween val="between"/>
      </c:valAx>
      <c:catAx>
        <c:axId val="210160272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608960"/>
        <c:crosses val="autoZero"/>
        <c:auto val="1"/>
        <c:lblAlgn val="ctr"/>
        <c:lblOffset val="100"/>
        <c:noMultiLvlLbl val="0"/>
      </c:catAx>
      <c:valAx>
        <c:axId val="2101608960"/>
        <c:scaling>
          <c:orientation val="minMax"/>
        </c:scaling>
        <c:delete val="0"/>
        <c:axPos val="r"/>
        <c:numFmt formatCode="0.0%" sourceLinked="0"/>
        <c:majorTickMark val="out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602720"/>
        <c:crosses val="max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0695485312899106"/>
          <c:y val="0.865502222222222"/>
          <c:w val="0.860902937420179"/>
          <c:h val="0.11333111111111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0.55078</cdr:x>
      <cdr:y>0.17175</cdr:y>
    </cdr:from>
    <cdr:to>
      <cdr:x>0.73063</cdr:x>
      <cdr:y>0.51232</cdr:y>
    </cdr:to>
    <cdr:grpSp>
      <cdr:nvGrpSpPr>
        <cdr:cNvPr id="2" name="组合 1"/>
        <cdr:cNvGrpSpPr/>
      </cdr:nvGrpSpPr>
      <cdr:grpSpPr xmlns:a="http://schemas.openxmlformats.org/drawingml/2006/main">
        <a:xfrm rot="1756801">
          <a:off x="3408618" y="501900"/>
          <a:ext cx="1113039" cy="995237"/>
          <a:chOff x="2859058" y="1061399"/>
          <a:chExt cx="759437" cy="821673"/>
        </a:xfrm>
        <a:solidFill>
          <a:srgbClr val="FFC000"/>
        </a:solidFill>
      </cdr:grpSpPr>
      <cdr:cxnSp>
        <cdr:nvCxnSpPr>
          <cdr:cNvPr id="3" name="直接箭头连接符 2"/>
          <cdr:cNvCxnSpPr/>
        </cdr:nvCxnSpPr>
        <cdr:spPr xmlns:a="http://schemas.openxmlformats.org/drawingml/2006/main">
          <a:xfrm xmlns:a="http://schemas.openxmlformats.org/drawingml/2006/main" rot="21160045" flipV="1">
            <a:off x="2859058" y="1061399"/>
            <a:ext cx="759437" cy="821673"/>
          </a:xfrm>
          <a:prstGeom xmlns:a="http://schemas.openxmlformats.org/drawingml/2006/main" prst="straightConnector1">
            <a:avLst/>
          </a:prstGeom>
          <a:grpFill/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4" name="椭圆 3"/>
          <cdr:cNvSpPr/>
        </cdr:nvSpPr>
        <cdr:spPr xmlns:a="http://schemas.openxmlformats.org/drawingml/2006/main">
          <a:xfrm xmlns:a="http://schemas.openxmlformats.org/drawingml/2006/main" rot="18649119">
            <a:off x="2885602" y="1427757"/>
            <a:ext cx="619687" cy="185800"/>
          </a:xfrm>
          <a:prstGeom xmlns:a="http://schemas.openxmlformats.org/drawingml/2006/main" prst="ellipse">
            <a:avLst/>
          </a:prstGeom>
          <a:grpFill/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baseline="0">
                <a:solidFill>
                  <a:sysClr val="windowText" lastClr="000000"/>
                </a:solidFill>
                <a:latin typeface="Book Antiqua" panose="02040602050305030304" pitchFamily="1" charset="0"/>
                <a:ea typeface="宋体" panose="02010600030101010101" charset="-122"/>
              </a:rPr>
              <a:t>5.4%</a:t>
            </a:r>
            <a:endParaRPr lang="zh-CN" baseline="0">
              <a:solidFill>
                <a:sysClr val="windowText" lastClr="000000"/>
              </a:solidFill>
              <a:latin typeface="Book Antiqua" panose="02040602050305030304" pitchFamily="1" charset="0"/>
              <a:ea typeface="宋体" panose="02010600030101010101" charset="-122"/>
            </a:endParaRPr>
          </a:p>
        </cdr:txBody>
      </cdr:sp>
    </cdr:grpSp>
  </cdr:relSizeAnchor>
  <cdr:relSizeAnchor xmlns:cdr="http://schemas.openxmlformats.org/drawingml/2006/chartDrawing">
    <cdr:from>
      <cdr:x>0.23328</cdr:x>
      <cdr:y>0.47975</cdr:y>
    </cdr:from>
    <cdr:to>
      <cdr:x>0.43042</cdr:x>
      <cdr:y>0.743</cdr:y>
    </cdr:to>
    <cdr:grpSp>
      <cdr:nvGrpSpPr>
        <cdr:cNvPr id="5" name="组合 4"/>
        <cdr:cNvGrpSpPr/>
      </cdr:nvGrpSpPr>
      <cdr:grpSpPr xmlns:a="http://schemas.openxmlformats.org/drawingml/2006/main">
        <a:xfrm rot="1783323">
          <a:off x="1443702" y="1401959"/>
          <a:ext cx="1220042" cy="769288"/>
          <a:chOff x="3065378" y="1615187"/>
          <a:chExt cx="1010935" cy="814928"/>
        </a:xfrm>
      </cdr:grpSpPr>
      <cdr:cxnSp>
        <cdr:nvCxnSpPr>
          <cdr:cNvPr id="6" name="直接箭头连接符 5"/>
          <cdr:cNvCxnSpPr/>
        </cdr:nvCxnSpPr>
        <cdr:spPr xmlns:a="http://schemas.openxmlformats.org/drawingml/2006/main">
          <a:xfrm xmlns:a="http://schemas.openxmlformats.org/drawingml/2006/main" rot="19816677" flipV="1">
            <a:off x="3065378" y="1822248"/>
            <a:ext cx="1010935" cy="464804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7" name="椭圆 6"/>
          <cdr:cNvSpPr/>
        </cdr:nvSpPr>
        <cdr:spPr xmlns:a="http://schemas.openxmlformats.org/drawingml/2006/main">
          <a:xfrm xmlns:a="http://schemas.openxmlformats.org/drawingml/2006/main" rot="18584799">
            <a:off x="3135135" y="1935053"/>
            <a:ext cx="814928" cy="175195"/>
          </a:xfrm>
          <a:prstGeom xmlns:a="http://schemas.openxmlformats.org/drawingml/2006/main" prst="ellipse">
            <a:avLst/>
          </a:prstGeom>
          <a:solidFill>
            <a:srgbClr val="FFC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>
                <a:solidFill>
                  <a:sysClr val="windowText" lastClr="000000"/>
                </a:solidFill>
              </a:rPr>
              <a:t>-2.7%</a:t>
            </a:r>
            <a:endParaRPr lang="zh-CN">
              <a:solidFill>
                <a:sysClr val="windowText" lastClr="000000"/>
              </a:solidFill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577</Words>
  <Characters>3294</Characters>
  <Lines>27</Lines>
  <Paragraphs>7</Paragraphs>
  <TotalTime>0</TotalTime>
  <ScaleCrop>false</ScaleCrop>
  <LinksUpToDate>false</LinksUpToDate>
  <CharactersWithSpaces>3864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2023-12-12T06:55:01Z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2AD2550B00A14A7484120C20B426CD30_13</vt:lpwstr>
  </property>
</Properties>
</file>