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32486" w14:textId="30D9AE5E" w:rsidR="006E676F" w:rsidRDefault="00000000">
      <w:pPr>
        <w:jc w:val="center"/>
        <w:rPr>
          <w:sz w:val="32"/>
          <w:szCs w:val="40"/>
        </w:rPr>
      </w:pPr>
      <w:r>
        <w:rPr>
          <w:rFonts w:hint="eastAsia"/>
          <w:sz w:val="32"/>
          <w:szCs w:val="40"/>
        </w:rPr>
        <w:t>无功补偿电容</w:t>
      </w:r>
      <w:r w:rsidR="00722460">
        <w:rPr>
          <w:rFonts w:hint="eastAsia"/>
          <w:sz w:val="32"/>
          <w:szCs w:val="40"/>
        </w:rPr>
        <w:t>之</w:t>
      </w:r>
      <w:r>
        <w:rPr>
          <w:rFonts w:hint="eastAsia"/>
          <w:sz w:val="32"/>
          <w:szCs w:val="40"/>
        </w:rPr>
        <w:t>电容容量该如何选择</w:t>
      </w:r>
    </w:p>
    <w:p w14:paraId="0B470B40" w14:textId="77777777" w:rsidR="006E676F" w:rsidRDefault="00000000" w:rsidP="00E06DCA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在现代电力系统中，无功补偿是提升能效、稳定电压和降低运营成本的关键技术。合理选择补偿电容容量，直接关系到系统的安全性与经济性。本文将介绍无功补偿电容器容量的计算公式及其应用方法。</w:t>
      </w:r>
    </w:p>
    <w:p w14:paraId="3F875497" w14:textId="77777777" w:rsidR="006E676F" w:rsidRDefault="00000000" w:rsidP="00E06DCA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E06DCA">
        <w:rPr>
          <w:rFonts w:ascii="宋体" w:eastAsia="宋体" w:hAnsi="宋体" w:cs="宋体" w:hint="eastAsia"/>
          <w:b/>
          <w:bCs/>
          <w:color w:val="0F1115"/>
          <w:sz w:val="24"/>
          <w:shd w:val="clear" w:color="auto" w:fill="FFFFFF"/>
        </w:rPr>
        <w:t>第一种直接根据</w:t>
      </w:r>
      <w:r w:rsidRPr="00E06DCA">
        <w:rPr>
          <w:rFonts w:ascii="宋体" w:eastAsia="宋体" w:hAnsi="宋体" w:cs="宋体"/>
          <w:b/>
          <w:bCs/>
          <w:color w:val="0F1115"/>
          <w:sz w:val="24"/>
          <w:shd w:val="clear" w:color="auto" w:fill="FFFFFF"/>
        </w:rPr>
        <w:t>最大负荷计算</w:t>
      </w:r>
      <w:r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，若已知系统最大有功功率P（kW）及当前功率因数</w:t>
      </w:r>
      <w:r>
        <w:rPr>
          <w:rFonts w:ascii="宋体" w:eastAsia="宋体" w:hAnsi="宋体" w:cs="宋体" w:hint="eastAsia"/>
          <w:color w:val="0F1115"/>
          <w:szCs w:val="21"/>
          <w:shd w:val="clear" w:color="auto" w:fill="FFFFFF"/>
        </w:rPr>
        <w:t>COS</w:t>
      </w:r>
      <w:r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φ</w:t>
      </w:r>
      <w:r>
        <w:rPr>
          <w:rFonts w:ascii="宋体" w:eastAsia="宋体" w:hAnsi="宋体" w:cs="宋体" w:hint="eastAsia"/>
          <w:color w:val="0F1115"/>
          <w:szCs w:val="21"/>
          <w:shd w:val="clear" w:color="auto" w:fill="FFFFFF"/>
        </w:rPr>
        <w:t>1。</w:t>
      </w:r>
      <w:r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例如，当P=500kW、</w:t>
      </w:r>
      <w:r>
        <w:rPr>
          <w:rFonts w:ascii="宋体" w:eastAsia="宋体" w:hAnsi="宋体" w:cs="宋体" w:hint="eastAsia"/>
          <w:color w:val="0F1115"/>
          <w:szCs w:val="21"/>
          <w:shd w:val="clear" w:color="auto" w:fill="FFFFFF"/>
        </w:rPr>
        <w:t>COS</w:t>
      </w:r>
      <w:r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φ</w:t>
      </w:r>
      <w:r>
        <w:rPr>
          <w:rFonts w:ascii="宋体" w:eastAsia="宋体" w:hAnsi="宋体" w:cs="宋体" w:hint="eastAsia"/>
          <w:color w:val="0F1115"/>
          <w:szCs w:val="21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=0.75、目标功率因数</w:t>
      </w:r>
      <w:r>
        <w:rPr>
          <w:rFonts w:ascii="宋体" w:eastAsia="宋体" w:hAnsi="宋体" w:cs="宋体" w:hint="eastAsia"/>
          <w:color w:val="0F1115"/>
          <w:szCs w:val="21"/>
          <w:shd w:val="clear" w:color="auto" w:fill="FFFFFF"/>
        </w:rPr>
        <w:t>COS</w:t>
      </w:r>
      <w:r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φ</w:t>
      </w:r>
      <w:r>
        <w:rPr>
          <w:rFonts w:ascii="宋体" w:eastAsia="宋体" w:hAnsi="宋体" w:cs="宋体" w:hint="eastAsia"/>
          <w:color w:val="0F1115"/>
          <w:szCs w:val="21"/>
          <w:shd w:val="clear" w:color="auto" w:fill="FFFFFF"/>
        </w:rPr>
        <w:t>2=</w:t>
      </w:r>
      <w:r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0.95时，可先通过计算出tanφ1和tanφ2；由计算公式得tanφ1=0.88，tanφ2=0.33。所需补偿无功容量Qc=P×(tanφ1-tanφ2)=275kVar。</w:t>
      </w:r>
    </w:p>
    <w:p w14:paraId="45C5037D" w14:textId="77777777" w:rsidR="006E676F" w:rsidRDefault="00000000" w:rsidP="00E06DCA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E06DCA">
        <w:rPr>
          <w:rFonts w:ascii="宋体" w:eastAsia="宋体" w:hAnsi="宋体" w:cs="宋体"/>
          <w:b/>
          <w:bCs/>
          <w:noProof/>
          <w:color w:val="0F1115"/>
          <w:sz w:val="24"/>
          <w:shd w:val="clear" w:color="auto" w:fill="FFFFFF"/>
        </w:rPr>
        <w:drawing>
          <wp:anchor distT="0" distB="0" distL="114300" distR="114300" simplePos="0" relativeHeight="251660288" behindDoc="0" locked="0" layoutInCell="1" allowOverlap="1" wp14:anchorId="46A18017" wp14:editId="3CBBD81C">
            <wp:simplePos x="0" y="0"/>
            <wp:positionH relativeFrom="column">
              <wp:posOffset>1727200</wp:posOffset>
            </wp:positionH>
            <wp:positionV relativeFrom="paragraph">
              <wp:posOffset>4445</wp:posOffset>
            </wp:positionV>
            <wp:extent cx="2237740" cy="951865"/>
            <wp:effectExtent l="0" t="0" r="2540" b="8255"/>
            <wp:wrapTopAndBottom/>
            <wp:docPr id="5" name="图片 5" descr="ScreenShot_2025-12-08_095528_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creenShot_2025-12-08_095528_48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37740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06DCA">
        <w:rPr>
          <w:rFonts w:ascii="宋体" w:eastAsia="宋体" w:hAnsi="宋体" w:cs="宋体" w:hint="eastAsia"/>
          <w:b/>
          <w:bCs/>
          <w:color w:val="0F1115"/>
          <w:sz w:val="24"/>
          <w:shd w:val="clear" w:color="auto" w:fill="FFFFFF"/>
        </w:rPr>
        <w:t>第二种直接基于变压器容量进行估算</w:t>
      </w:r>
      <w:r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，通常对于负荷率不高、自然功率因数约0.7-0.8的系统，可以按变压器容量的40%-60%来</w:t>
      </w:r>
      <w:proofErr w:type="gramStart"/>
      <w:r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配置总补偿</w:t>
      </w:r>
      <w:proofErr w:type="gramEnd"/>
      <w:r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容量。例如变压器额定容量为1000kVA，大约需要配置400~600kVar的无功补偿。</w:t>
      </w:r>
      <w:r>
        <w:rPr>
          <w:rFonts w:ascii="宋体" w:eastAsia="宋体" w:hAnsi="宋体" w:cs="宋体"/>
          <w:color w:val="0F1115"/>
          <w:sz w:val="24"/>
          <w:shd w:val="clear" w:color="auto" w:fill="FFFFFF"/>
        </w:rPr>
        <w:t>这是一种快速估算方法，常用于初步设计阶段，但不如方法一精确。</w:t>
      </w:r>
    </w:p>
    <w:p w14:paraId="3223BC0F" w14:textId="77777777" w:rsidR="006E676F" w:rsidRDefault="00000000" w:rsidP="00E06DCA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E06DCA">
        <w:rPr>
          <w:rFonts w:ascii="宋体" w:eastAsia="宋体" w:hAnsi="宋体" w:cs="宋体" w:hint="eastAsia"/>
          <w:b/>
          <w:bCs/>
          <w:color w:val="0F1115"/>
          <w:sz w:val="24"/>
          <w:shd w:val="clear" w:color="auto" w:fill="FFFFFF"/>
        </w:rPr>
        <w:t>第三种则是直接查表</w:t>
      </w:r>
      <w:r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，只需要知道补偿前和补偿后的功率因数，就可以直接从表中查得系数，再乘以有功功率即可得出所需补偿的无功容量。</w:t>
      </w:r>
    </w:p>
    <w:p w14:paraId="1FF269A3" w14:textId="77777777" w:rsidR="006E676F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>
        <w:rPr>
          <w:rFonts w:ascii="宋体" w:eastAsia="宋体" w:hAnsi="宋体" w:cs="宋体"/>
          <w:noProof/>
          <w:color w:val="0F1115"/>
          <w:sz w:val="24"/>
          <w:shd w:val="clear" w:color="auto" w:fill="FFFFFF"/>
        </w:rPr>
        <w:drawing>
          <wp:anchor distT="0" distB="0" distL="114300" distR="114300" simplePos="0" relativeHeight="251659264" behindDoc="0" locked="0" layoutInCell="1" allowOverlap="1" wp14:anchorId="0D5E7747" wp14:editId="7C128EBE">
            <wp:simplePos x="0" y="0"/>
            <wp:positionH relativeFrom="column">
              <wp:posOffset>852805</wp:posOffset>
            </wp:positionH>
            <wp:positionV relativeFrom="paragraph">
              <wp:posOffset>15240</wp:posOffset>
            </wp:positionV>
            <wp:extent cx="4058920" cy="3142615"/>
            <wp:effectExtent l="0" t="0" r="10160" b="12065"/>
            <wp:wrapTopAndBottom/>
            <wp:docPr id="4" name="图片 4" descr="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view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58920" cy="3142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CB520E" w14:textId="77777777" w:rsidR="006E676F" w:rsidRDefault="00000000" w:rsidP="00E06DCA">
      <w:pPr>
        <w:pStyle w:val="a3"/>
        <w:widowControl/>
        <w:shd w:val="clear" w:color="auto" w:fill="FFFFFF"/>
        <w:spacing w:before="192" w:after="192" w:line="360" w:lineRule="auto"/>
        <w:rPr>
          <w:rFonts w:ascii="宋体" w:eastAsia="宋体" w:hAnsi="宋体" w:cs="宋体" w:hint="eastAsia"/>
          <w:color w:val="0F1115"/>
          <w:shd w:val="clear" w:color="auto" w:fill="FFFFFF"/>
        </w:rPr>
      </w:pPr>
      <w:r>
        <w:rPr>
          <w:rFonts w:ascii="宋体" w:eastAsia="宋体" w:hAnsi="宋体" w:cs="宋体"/>
          <w:color w:val="0F1115"/>
          <w:shd w:val="clear" w:color="auto" w:fill="FFFFFF"/>
        </w:rPr>
        <w:lastRenderedPageBreak/>
        <w:t>计算出总容量后，必须分成多组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电容器。常用分组方法有等分法和等比数列法。</w:t>
      </w:r>
    </w:p>
    <w:p w14:paraId="6017B3A2" w14:textId="77777777" w:rsidR="006E676F" w:rsidRDefault="00000000" w:rsidP="00E06DCA">
      <w:pPr>
        <w:pStyle w:val="a3"/>
        <w:widowControl/>
        <w:shd w:val="clear" w:color="auto" w:fill="FFFFFF"/>
        <w:spacing w:before="192" w:after="192" w:line="360" w:lineRule="auto"/>
        <w:rPr>
          <w:rFonts w:ascii="宋体" w:eastAsia="宋体" w:hAnsi="宋体" w:cs="宋体" w:hint="eastAsia"/>
          <w:color w:val="0F1115"/>
          <w:shd w:val="clear" w:color="auto" w:fill="FFFFFF"/>
        </w:rPr>
      </w:pPr>
      <w:r w:rsidRPr="00E06DCA">
        <w:rPr>
          <w:rFonts w:ascii="宋体" w:eastAsia="宋体" w:hAnsi="宋体" w:cs="宋体" w:hint="eastAsia"/>
          <w:b/>
          <w:bCs/>
          <w:color w:val="0F1115"/>
          <w:shd w:val="clear" w:color="auto" w:fill="FFFFFF"/>
        </w:rPr>
        <w:t>等分法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：</w:t>
      </w:r>
      <w:r>
        <w:rPr>
          <w:rFonts w:ascii="宋体" w:eastAsia="宋体" w:hAnsi="宋体" w:cs="宋体"/>
          <w:color w:val="0F1115"/>
          <w:shd w:val="clear" w:color="auto" w:fill="FFFFFF"/>
        </w:rPr>
        <w:t>将Qc总平均分成若干等份。例如Qc总=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275</w:t>
      </w:r>
      <w:r>
        <w:rPr>
          <w:rFonts w:ascii="宋体" w:eastAsia="宋体" w:hAnsi="宋体" w:cs="宋体"/>
          <w:color w:val="0F1115"/>
          <w:shd w:val="clear" w:color="auto" w:fill="FFFFFF"/>
        </w:rPr>
        <w:t xml:space="preserve"> kVar，分为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10</w:t>
      </w:r>
      <w:r>
        <w:rPr>
          <w:rFonts w:ascii="宋体" w:eastAsia="宋体" w:hAnsi="宋体" w:cs="宋体"/>
          <w:color w:val="0F1115"/>
          <w:shd w:val="clear" w:color="auto" w:fill="FFFFFF"/>
        </w:rPr>
        <w:t>组，每组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25</w:t>
      </w:r>
      <w:r>
        <w:rPr>
          <w:rFonts w:ascii="宋体" w:eastAsia="宋体" w:hAnsi="宋体" w:cs="宋体"/>
          <w:color w:val="0F1115"/>
          <w:shd w:val="clear" w:color="auto" w:fill="FFFFFF"/>
        </w:rPr>
        <w:t>kVar。</w:t>
      </w:r>
    </w:p>
    <w:p w14:paraId="085331CF" w14:textId="77777777" w:rsidR="006E676F" w:rsidRDefault="00000000" w:rsidP="00E06DCA">
      <w:pPr>
        <w:pStyle w:val="a3"/>
        <w:widowControl/>
        <w:shd w:val="clear" w:color="auto" w:fill="FFFFFF"/>
        <w:spacing w:before="192" w:after="192" w:line="360" w:lineRule="auto"/>
      </w:pPr>
      <w:r w:rsidRPr="00E06DCA">
        <w:rPr>
          <w:rFonts w:ascii="宋体" w:eastAsia="宋体" w:hAnsi="宋体" w:cs="宋体" w:hint="eastAsia"/>
          <w:b/>
          <w:bCs/>
          <w:color w:val="0F1115"/>
          <w:shd w:val="clear" w:color="auto" w:fill="FFFFFF"/>
        </w:rPr>
        <w:t>等比数列法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：</w:t>
      </w:r>
      <w:r>
        <w:rPr>
          <w:rFonts w:ascii="宋体" w:eastAsia="宋体" w:hAnsi="宋体" w:cs="宋体"/>
          <w:color w:val="0F1115"/>
          <w:shd w:val="clear" w:color="auto" w:fill="FFFFFF"/>
        </w:rPr>
        <w:t>按1:2:4:8...的比例分组。例如Qc总=275kVar，可分为：5 +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 xml:space="preserve"> 5 + 10 + 10 + 20 + 20 + 40 + 40 + 60 + 60</w:t>
      </w:r>
      <w:r>
        <w:rPr>
          <w:rFonts w:ascii="宋体" w:eastAsia="宋体" w:hAnsi="宋体" w:cs="宋体"/>
          <w:color w:val="0F1115"/>
          <w:shd w:val="clear" w:color="auto" w:fill="FFFFFF"/>
        </w:rPr>
        <w:t>kVar。这种分组可以用最少的组数实现最精细的调节。</w:t>
      </w:r>
    </w:p>
    <w:p w14:paraId="7AAA9183" w14:textId="77777777" w:rsidR="006E676F" w:rsidRDefault="00000000" w:rsidP="00E06DCA">
      <w:pPr>
        <w:pStyle w:val="a3"/>
        <w:widowControl/>
        <w:shd w:val="clear" w:color="auto" w:fill="FFFFFF"/>
        <w:spacing w:before="192" w:after="192" w:line="360" w:lineRule="auto"/>
        <w:rPr>
          <w:rFonts w:ascii="宋体" w:eastAsia="宋体" w:hAnsi="宋体" w:cs="宋体" w:hint="eastAsia"/>
          <w:color w:val="0F1115"/>
          <w:shd w:val="clear" w:color="auto" w:fill="FFFFFF"/>
        </w:rPr>
      </w:pPr>
      <w:r>
        <w:rPr>
          <w:rFonts w:ascii="宋体" w:eastAsia="宋体" w:hAnsi="宋体" w:cs="宋体" w:hint="eastAsia"/>
          <w:color w:val="0F1115"/>
          <w:shd w:val="clear" w:color="auto" w:fill="FFFFFF"/>
        </w:rPr>
        <w:t>综合</w:t>
      </w:r>
      <w:r>
        <w:rPr>
          <w:rFonts w:ascii="宋体" w:eastAsia="宋体" w:hAnsi="宋体" w:cs="宋体"/>
          <w:color w:val="0F1115"/>
          <w:shd w:val="clear" w:color="auto" w:fill="FFFFFF"/>
        </w:rPr>
        <w:t>考虑实际可分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10</w:t>
      </w:r>
      <w:r>
        <w:rPr>
          <w:rFonts w:ascii="宋体" w:eastAsia="宋体" w:hAnsi="宋体" w:cs="宋体"/>
          <w:color w:val="0F1115"/>
          <w:shd w:val="clear" w:color="auto" w:fill="FFFFFF"/>
        </w:rPr>
        <w:t>-1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2</w:t>
      </w:r>
      <w:r>
        <w:rPr>
          <w:rFonts w:ascii="宋体" w:eastAsia="宋体" w:hAnsi="宋体" w:cs="宋体"/>
          <w:color w:val="0F1115"/>
          <w:shd w:val="clear" w:color="auto" w:fill="FFFFFF"/>
        </w:rPr>
        <w:t>组。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例如Qc总=</w:t>
      </w:r>
      <w:r>
        <w:rPr>
          <w:rFonts w:ascii="宋体" w:eastAsia="宋体" w:hAnsi="宋体" w:cs="宋体"/>
          <w:color w:val="0F1115"/>
          <w:shd w:val="clear" w:color="auto" w:fill="FFFFFF"/>
        </w:rPr>
        <w:t>275kVar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，</w:t>
      </w:r>
      <w:r>
        <w:rPr>
          <w:rFonts w:ascii="宋体" w:eastAsia="宋体" w:hAnsi="宋体" w:cs="宋体"/>
          <w:color w:val="0F1115"/>
          <w:shd w:val="clear" w:color="auto" w:fill="FFFFFF"/>
        </w:rPr>
        <w:t>最终分组示例：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60 + 60 + 4</w:t>
      </w:r>
      <w:r>
        <w:rPr>
          <w:rFonts w:ascii="宋体" w:eastAsia="宋体" w:hAnsi="宋体" w:cs="宋体"/>
          <w:color w:val="0F1115"/>
          <w:shd w:val="clear" w:color="auto" w:fill="FFFFFF"/>
        </w:rPr>
        <w:t>0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 xml:space="preserve"> + 4</w:t>
      </w:r>
      <w:r>
        <w:rPr>
          <w:rFonts w:ascii="宋体" w:eastAsia="宋体" w:hAnsi="宋体" w:cs="宋体"/>
          <w:color w:val="0F1115"/>
          <w:shd w:val="clear" w:color="auto" w:fill="FFFFFF"/>
        </w:rPr>
        <w:t>0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 xml:space="preserve"> + 20 + 20 + 1</w:t>
      </w:r>
      <w:r>
        <w:rPr>
          <w:rFonts w:ascii="宋体" w:eastAsia="宋体" w:hAnsi="宋体" w:cs="宋体"/>
          <w:color w:val="0F1115"/>
          <w:shd w:val="clear" w:color="auto" w:fill="FFFFFF"/>
        </w:rPr>
        <w:t>0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 xml:space="preserve"> + 1</w:t>
      </w:r>
      <w:r>
        <w:rPr>
          <w:rFonts w:ascii="宋体" w:eastAsia="宋体" w:hAnsi="宋体" w:cs="宋体"/>
          <w:color w:val="0F1115"/>
          <w:shd w:val="clear" w:color="auto" w:fill="FFFFFF"/>
        </w:rPr>
        <w:t>0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 xml:space="preserve"> + 5 + 5</w:t>
      </w:r>
      <w:r>
        <w:rPr>
          <w:rFonts w:ascii="宋体" w:eastAsia="宋体" w:hAnsi="宋体" w:cs="宋体"/>
          <w:color w:val="0F1115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 xml:space="preserve">+ 2 + 2 </w:t>
      </w:r>
      <w:r>
        <w:rPr>
          <w:rFonts w:ascii="宋体" w:eastAsia="宋体" w:hAnsi="宋体" w:cs="宋体"/>
          <w:color w:val="0F1115"/>
          <w:shd w:val="clear" w:color="auto" w:fill="FFFFFF"/>
        </w:rPr>
        <w:t>kVar。该组合覆盖从大容量到小容量的多级补偿，既能应对主要负荷变化，也可实现精细无功调节。若工厂处于低负载运行阶段（如初期投产），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需要选用</w:t>
      </w:r>
      <w:r>
        <w:rPr>
          <w:rFonts w:ascii="宋体" w:eastAsia="宋体" w:hAnsi="宋体" w:cs="宋体"/>
          <w:color w:val="0F1115"/>
          <w:shd w:val="clear" w:color="auto" w:fill="FFFFFF"/>
        </w:rPr>
        <w:t>最小容量单元（2 kVar）以补偿变压器空载无功；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若处于</w:t>
      </w:r>
      <w:r>
        <w:rPr>
          <w:rFonts w:ascii="宋体" w:eastAsia="宋体" w:hAnsi="宋体" w:cs="宋体"/>
          <w:color w:val="0F1115"/>
          <w:shd w:val="clear" w:color="auto" w:fill="FFFFFF"/>
        </w:rPr>
        <w:t>正常生产，则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可将</w:t>
      </w:r>
      <w:r>
        <w:rPr>
          <w:rFonts w:ascii="宋体" w:eastAsia="宋体" w:hAnsi="宋体" w:cs="宋体"/>
          <w:color w:val="0F1115"/>
          <w:shd w:val="clear" w:color="auto" w:fill="FFFFFF"/>
        </w:rPr>
        <w:t>最小容量单元（2 kVar）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更换成较大容量电容</w:t>
      </w:r>
      <w:r>
        <w:rPr>
          <w:rFonts w:ascii="宋体" w:eastAsia="宋体" w:hAnsi="宋体" w:cs="宋体"/>
          <w:color w:val="0F1115"/>
          <w:shd w:val="clear" w:color="auto" w:fill="FFFFFF"/>
        </w:rPr>
        <w:t>。</w:t>
      </w:r>
    </w:p>
    <w:p w14:paraId="7C9D3B15" w14:textId="636D791C" w:rsidR="006E676F" w:rsidRDefault="00000000" w:rsidP="00E06DCA">
      <w:pPr>
        <w:pStyle w:val="a3"/>
        <w:widowControl/>
        <w:shd w:val="clear" w:color="auto" w:fill="FFFFFF"/>
        <w:spacing w:before="192" w:after="192" w:line="360" w:lineRule="auto"/>
        <w:rPr>
          <w:rFonts w:ascii="宋体" w:eastAsia="宋体" w:hAnsi="宋体" w:cs="宋体" w:hint="eastAsia"/>
          <w:color w:val="0F1115"/>
          <w:shd w:val="clear" w:color="auto" w:fill="FFFFFF"/>
        </w:rPr>
      </w:pPr>
      <w:r>
        <w:rPr>
          <w:rFonts w:ascii="宋体" w:eastAsia="宋体" w:hAnsi="宋体" w:cs="宋体"/>
          <w:color w:val="0F1115"/>
          <w:shd w:val="clear" w:color="auto" w:fill="FFFFFF"/>
        </w:rPr>
        <w:t>对于非专业人士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推荐</w:t>
      </w:r>
      <w:r>
        <w:rPr>
          <w:rFonts w:ascii="宋体" w:eastAsia="宋体" w:hAnsi="宋体" w:cs="宋体"/>
          <w:color w:val="0F1115"/>
          <w:shd w:val="clear" w:color="auto" w:fill="FFFFFF"/>
        </w:rPr>
        <w:t>将系统参数（变压器容量、负载类型、计算出的Qc总）提供给</w:t>
      </w:r>
      <w:r w:rsidR="00E06DCA">
        <w:rPr>
          <w:rFonts w:ascii="宋体" w:eastAsia="宋体" w:hAnsi="宋体" w:cs="宋体" w:hint="eastAsia"/>
          <w:color w:val="0F1115"/>
          <w:shd w:val="clear" w:color="auto" w:fill="FFFFFF"/>
        </w:rPr>
        <w:t>小编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，由</w:t>
      </w:r>
      <w:r w:rsidR="00E06DCA">
        <w:rPr>
          <w:rFonts w:ascii="宋体" w:eastAsia="宋体" w:hAnsi="宋体" w:cs="宋体" w:hint="eastAsia"/>
          <w:color w:val="0F1115"/>
          <w:shd w:val="clear" w:color="auto" w:fill="FFFFFF"/>
        </w:rPr>
        <w:t>小编帮忙</w:t>
      </w:r>
      <w:r>
        <w:rPr>
          <w:rFonts w:ascii="宋体" w:eastAsia="宋体" w:hAnsi="宋体" w:cs="宋体" w:hint="eastAsia"/>
          <w:color w:val="0F1115"/>
          <w:shd w:val="clear" w:color="auto" w:fill="FFFFFF"/>
        </w:rPr>
        <w:t>提供完整的电容器组配置方案以及无功补偿控制器选型。</w:t>
      </w:r>
    </w:p>
    <w:p w14:paraId="2F9097F2" w14:textId="77777777" w:rsidR="006D2239" w:rsidRPr="00156304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b/>
          <w:bCs/>
          <w:color w:val="0F1115"/>
          <w:sz w:val="24"/>
          <w:shd w:val="clear" w:color="auto" w:fill="FFFFFF"/>
        </w:rPr>
        <w:t>前期精彩推荐：</w:t>
      </w:r>
    </w:p>
    <w:p w14:paraId="5921E9C4" w14:textId="77777777" w:rsidR="006D2239" w:rsidRPr="00156304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光伏发电后无功补偿控制器如何解决力调电费罚款的问题</w:t>
      </w:r>
    </w:p>
    <w:p w14:paraId="0511EFA7" w14:textId="77777777" w:rsidR="006D2239" w:rsidRPr="00156304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无功补偿控制器显示功率因数0.99，可还是被罚款了，这到底是怎么回事？</w:t>
      </w:r>
    </w:p>
    <w:p w14:paraId="1C239F47" w14:textId="77777777" w:rsidR="006D2239" w:rsidRPr="00156304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安装新的无功补偿控制器后有力调电费产生？—无功</w:t>
      </w: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补偿器欠流保护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案例分享</w:t>
      </w:r>
    </w:p>
    <w:p w14:paraId="1DA236D2" w14:textId="77777777" w:rsidR="006D2239" w:rsidRPr="00156304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谐波对功率因数有何影响？谐波影响下功率因数的补偿上限设置问题</w:t>
      </w:r>
    </w:p>
    <w:p w14:paraId="731DC976" w14:textId="77777777" w:rsidR="006D2239" w:rsidRPr="00156304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无功补偿控制器投</w:t>
      </w: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切时间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讲解</w:t>
      </w:r>
    </w:p>
    <w:p w14:paraId="58C6B664" w14:textId="77777777" w:rsidR="006D2239" w:rsidRPr="00156304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功率因数PF与功率因数cosФ的区别</w:t>
      </w:r>
    </w:p>
    <w:p w14:paraId="5A50045A" w14:textId="77777777" w:rsidR="006D2239" w:rsidRPr="00156304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案例分析：无功补偿控制器电容投满功率因数还不达标？</w:t>
      </w:r>
    </w:p>
    <w:p w14:paraId="4AC3CB5C" w14:textId="77777777" w:rsidR="006D2239" w:rsidRPr="00156304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光伏并网接入点与无功补偿（功率因数）的影响</w:t>
      </w:r>
    </w:p>
    <w:p w14:paraId="545D5A05" w14:textId="77777777" w:rsidR="006D2239" w:rsidRPr="00156304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充电桩昼夜负载不均导致功率因数不达标案例分享</w:t>
      </w:r>
    </w:p>
    <w:p w14:paraId="1C53443D" w14:textId="77777777" w:rsidR="006D2239" w:rsidRPr="00156304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充电桩引发力调电费问题的解决方案-空载直补</w:t>
      </w:r>
    </w:p>
    <w:p w14:paraId="416DAA82" w14:textId="77777777" w:rsidR="006D2239" w:rsidRDefault="006D2239" w:rsidP="006D2239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揭秘光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伏并网后功率因数降低之谜！</w:t>
      </w:r>
    </w:p>
    <w:p w14:paraId="2733089B" w14:textId="77777777" w:rsidR="006D2239" w:rsidRPr="00156304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 xml:space="preserve">无功补偿选 SVG 还是电容？年电费差出 2.9 万！选错多花 10 </w:t>
      </w: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倍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钱</w:t>
      </w:r>
    </w:p>
    <w:p w14:paraId="6BDDF1CE" w14:textId="77777777" w:rsidR="006D2239" w:rsidRPr="00156304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lastRenderedPageBreak/>
        <w:t>并网点在电流互感器前，如何提升功率因数？</w:t>
      </w:r>
    </w:p>
    <w:p w14:paraId="3C926153" w14:textId="77777777" w:rsidR="006D2239" w:rsidRDefault="006D2239" w:rsidP="006D2239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高采低补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与</w:t>
      </w: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空载直补的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优劣势</w:t>
      </w:r>
    </w:p>
    <w:p w14:paraId="6780A565" w14:textId="77777777" w:rsidR="006D2239" w:rsidRDefault="006D2239" w:rsidP="006D2239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proofErr w:type="gramStart"/>
      <w:r w:rsidRPr="006D2239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光伏四象限</w:t>
      </w:r>
      <w:proofErr w:type="gramEnd"/>
      <w:r w:rsidRPr="006D2239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无功补偿控制器：简单解决力调电费罚款难题</w:t>
      </w:r>
    </w:p>
    <w:p w14:paraId="4D5601FC" w14:textId="77777777" w:rsidR="006D2239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6D2239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无功补偿控制器功率因数比电表低？原因 + 解法看这篇！</w:t>
      </w:r>
    </w:p>
    <w:p w14:paraId="0BEEE981" w14:textId="07DDAEFE" w:rsidR="006D2239" w:rsidRPr="006D2239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6D2239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无功补偿电容的排序会影响功率因数考核？</w:t>
      </w:r>
    </w:p>
    <w:p w14:paraId="56AC7FCC" w14:textId="77777777" w:rsidR="006D2239" w:rsidRPr="00156304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#无功补偿 #无功补偿控制器 #</w:t>
      </w: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光伏四象限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 #抗谐波 #力调电费 #力调电费罚款 #功率因数 #功率因数低 #功率因数不达标 #</w:t>
      </w: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高采低补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 #空载直补</w:t>
      </w:r>
    </w:p>
    <w:p w14:paraId="42330D03" w14:textId="5E8F0882" w:rsidR="00E06DCA" w:rsidRPr="006D2239" w:rsidRDefault="006D2239" w:rsidP="006D2239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欢迎光临</w:t>
      </w:r>
      <w:r w:rsidRPr="006D2239">
        <w:rPr>
          <w:rFonts w:ascii="宋体" w:eastAsia="宋体" w:hAnsi="宋体" w:cs="宋体" w:hint="eastAsia"/>
          <w:b/>
          <w:bCs/>
          <w:color w:val="0F1115"/>
          <w:sz w:val="24"/>
          <w:shd w:val="clear" w:color="auto" w:fill="FFFFFF"/>
        </w:rPr>
        <w:t>TB店铺：电力控制仪表行</w:t>
      </w: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，原厂现货供应JKG-KAC/JKG-KAZ</w:t>
      </w: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高采低补光伏四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象限无功补偿控制器、变压器空载无功补偿控制器、智能低压功率因数补偿控制器、抗谐波无功补偿控制器。</w:t>
      </w:r>
    </w:p>
    <w:sectPr w:rsidR="00E06DCA" w:rsidRPr="006D22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C127F" w14:textId="77777777" w:rsidR="008C1DE2" w:rsidRDefault="008C1DE2" w:rsidP="000D59ED">
      <w:r>
        <w:separator/>
      </w:r>
    </w:p>
  </w:endnote>
  <w:endnote w:type="continuationSeparator" w:id="0">
    <w:p w14:paraId="20F510AD" w14:textId="77777777" w:rsidR="008C1DE2" w:rsidRDefault="008C1DE2" w:rsidP="000D5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DC320" w14:textId="77777777" w:rsidR="008C1DE2" w:rsidRDefault="008C1DE2" w:rsidP="000D59ED">
      <w:r>
        <w:separator/>
      </w:r>
    </w:p>
  </w:footnote>
  <w:footnote w:type="continuationSeparator" w:id="0">
    <w:p w14:paraId="260D26F3" w14:textId="77777777" w:rsidR="008C1DE2" w:rsidRDefault="008C1DE2" w:rsidP="000D59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76F"/>
    <w:rsid w:val="000D59ED"/>
    <w:rsid w:val="006D2239"/>
    <w:rsid w:val="006E676F"/>
    <w:rsid w:val="00722460"/>
    <w:rsid w:val="00815C93"/>
    <w:rsid w:val="008C1DE2"/>
    <w:rsid w:val="00AD6733"/>
    <w:rsid w:val="00B833F2"/>
    <w:rsid w:val="00D155D4"/>
    <w:rsid w:val="00E06DCA"/>
    <w:rsid w:val="02355837"/>
    <w:rsid w:val="14887857"/>
    <w:rsid w:val="15A22D8C"/>
    <w:rsid w:val="15D5699D"/>
    <w:rsid w:val="19B27315"/>
    <w:rsid w:val="1D2671EC"/>
    <w:rsid w:val="2161581C"/>
    <w:rsid w:val="21F66597"/>
    <w:rsid w:val="277D6568"/>
    <w:rsid w:val="337A0A4C"/>
    <w:rsid w:val="348526C8"/>
    <w:rsid w:val="36FA69F0"/>
    <w:rsid w:val="388C702E"/>
    <w:rsid w:val="3AC159F0"/>
    <w:rsid w:val="3BB35638"/>
    <w:rsid w:val="3FF10E03"/>
    <w:rsid w:val="430665EC"/>
    <w:rsid w:val="444110C2"/>
    <w:rsid w:val="4A0F7CE8"/>
    <w:rsid w:val="4FFF7DFB"/>
    <w:rsid w:val="57490394"/>
    <w:rsid w:val="5C21669E"/>
    <w:rsid w:val="69F66267"/>
    <w:rsid w:val="748E21E3"/>
    <w:rsid w:val="7533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4D4CF40"/>
  <w15:docId w15:val="{BAE2BCAC-0247-41A5-9C5B-151E9C355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Code"/>
    <w:basedOn w:val="a0"/>
    <w:qFormat/>
    <w:rPr>
      <w:rFonts w:ascii="Courier New" w:hAnsi="Courier New"/>
      <w:sz w:val="20"/>
    </w:rPr>
  </w:style>
  <w:style w:type="paragraph" w:styleId="a5">
    <w:name w:val="header"/>
    <w:basedOn w:val="a"/>
    <w:link w:val="a6"/>
    <w:rsid w:val="000D59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D59E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0D5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0D59E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760</Words>
  <Characters>806</Characters>
  <Application>Microsoft Office Word</Application>
  <DocSecurity>0</DocSecurity>
  <Lines>33</Lines>
  <Paragraphs>38</Paragraphs>
  <ScaleCrop>false</ScaleCrop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</dc:creator>
  <cp:lastModifiedBy>敏 徐</cp:lastModifiedBy>
  <cp:revision>6</cp:revision>
  <dcterms:created xsi:type="dcterms:W3CDTF">2025-12-13T04:00:00Z</dcterms:created>
  <dcterms:modified xsi:type="dcterms:W3CDTF">2025-12-13T04:10:00Z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eyJoZGlkIjoiZGQwZmRkOGEwM2VjM2Y0NWM0MzI3YzkyY2Q4MjNmMGMiLCJ1c2VySWQiOiIxNTA4NzA2MDEyIn0=</vt:lpwstr>
  </property>
  <property fmtid="{D5CDD505-2E9C-101B-9397-08002B2CF9AE}" pid="4" name="ICV">
    <vt:lpwstr>35E170908CD14BB6B87888B94DED8E92_12</vt:lpwstr>
  </property>
</Properties>
</file>