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 w:rsidR="00347A61" w:rsidRPr="001763C6" w:rsidP="00347A61" w14:paraId="525D5715" w14:textId="4898818A">
      <w:pPr>
        <w:pStyle w:val="a15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车辆对讲系统</w:t>
      </w:r>
      <w:r w:rsidR="00CA0DA4">
        <w:rPr>
          <w:rFonts w:hint="eastAsia"/>
          <w:lang w:eastAsia="zh-CN"/>
        </w:rPr>
        <w:t>全球市场总体规模</w:t>
      </w:r>
    </w:p>
    <w:p w:rsidR="00961627" w:rsidP="00DF134C" w14:paraId="068AF304" w14:textId="1722ADE2">
      <w:pPr>
        <w:pStyle w:val="-0"/>
        <w:rPr>
          <w:lang w:eastAsia="zh-CN"/>
        </w:rPr>
      </w:pPr>
      <w:r w:rsidRPr="00A520CC">
        <w:rPr>
          <w:noProof/>
          <w:lang w:val="en-US" w:eastAsia="zh-CN"/>
        </w:rPr>
        <w:drawing>
          <wp:inline distT="0" distB="0" distL="0" distR="0">
            <wp:extent cx="3686175" cy="29908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D74" w:rsidRPr="00474D74" w:rsidP="00474D74" w14:paraId="7B022F79" w14:textId="77777777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 w:rsidRPr="00474D74">
        <w:rPr>
          <w:rFonts w:ascii="Book Antiqua" w:hAnsi="Book Antiqua" w:cs="宋体"/>
          <w:kern w:val="0"/>
          <w:sz w:val="24"/>
          <w:szCs w:val="24"/>
        </w:rPr>
        <w:t>据</w:t>
      </w:r>
      <w:r w:rsidRPr="00474D74">
        <w:rPr>
          <w:rFonts w:ascii="Book Antiqua" w:hAnsi="Book Antiqua" w:cs="宋体"/>
          <w:kern w:val="0"/>
          <w:sz w:val="24"/>
          <w:szCs w:val="24"/>
        </w:rPr>
        <w:t>QYResearch</w:t>
      </w:r>
      <w:r w:rsidRPr="00474D74">
        <w:rPr>
          <w:rFonts w:ascii="Book Antiqua" w:hAnsi="Book Antiqua" w:cs="宋体"/>
          <w:kern w:val="0"/>
          <w:sz w:val="24"/>
          <w:szCs w:val="24"/>
        </w:rPr>
        <w:t>调研团队最新报告</w:t>
      </w:r>
      <w:r w:rsidRPr="00474D74">
        <w:rPr>
          <w:rFonts w:ascii="Book Antiqua" w:hAnsi="Book Antiqua" w:cs="宋体"/>
          <w:kern w:val="0"/>
          <w:sz w:val="24"/>
          <w:szCs w:val="24"/>
        </w:rPr>
        <w:t>“</w:t>
      </w:r>
      <w:r w:rsidRPr="00474D74">
        <w:rPr>
          <w:rFonts w:ascii="Book Antiqua" w:hAnsi="Book Antiqua" w:cs="宋体"/>
          <w:kern w:val="0"/>
          <w:sz w:val="24"/>
          <w:szCs w:val="24"/>
        </w:rPr>
        <w:t>全球车辆对讲系统市场报告</w:t>
      </w:r>
      <w:r w:rsidRPr="00474D74">
        <w:rPr>
          <w:rFonts w:ascii="Book Antiqua" w:hAnsi="Book Antiqua" w:cs="宋体"/>
          <w:kern w:val="0"/>
          <w:sz w:val="24"/>
          <w:szCs w:val="24"/>
        </w:rPr>
        <w:t>2023-2029”</w:t>
      </w:r>
      <w:r w:rsidRPr="00474D74">
        <w:rPr>
          <w:rFonts w:ascii="Book Antiqua" w:hAnsi="Book Antiqua" w:cs="宋体"/>
          <w:kern w:val="0"/>
          <w:sz w:val="24"/>
          <w:szCs w:val="24"/>
        </w:rPr>
        <w:t>显示，预计</w:t>
      </w:r>
      <w:r w:rsidRPr="00474D74">
        <w:rPr>
          <w:rFonts w:ascii="Book Antiqua" w:hAnsi="Book Antiqua" w:cs="宋体"/>
          <w:kern w:val="0"/>
          <w:sz w:val="24"/>
          <w:szCs w:val="24"/>
        </w:rPr>
        <w:t>2029</w:t>
      </w:r>
      <w:r w:rsidRPr="00474D74">
        <w:rPr>
          <w:rFonts w:ascii="Book Antiqua" w:hAnsi="Book Antiqua" w:cs="宋体"/>
          <w:kern w:val="0"/>
          <w:sz w:val="24"/>
          <w:szCs w:val="24"/>
        </w:rPr>
        <w:t>年全球车辆对讲系统市场规模将达到</w:t>
      </w:r>
      <w:r w:rsidRPr="00474D74">
        <w:rPr>
          <w:rFonts w:ascii="Book Antiqua" w:hAnsi="Book Antiqua" w:cs="宋体"/>
          <w:kern w:val="0"/>
          <w:sz w:val="24"/>
          <w:szCs w:val="24"/>
        </w:rPr>
        <w:t>108.6</w:t>
      </w:r>
      <w:r w:rsidRPr="00474D74">
        <w:rPr>
          <w:rFonts w:ascii="Book Antiqua" w:hAnsi="Book Antiqua" w:cs="宋体"/>
          <w:kern w:val="0"/>
          <w:sz w:val="24"/>
          <w:szCs w:val="24"/>
        </w:rPr>
        <w:t>亿美元，未来几年年复合增长率</w:t>
      </w:r>
      <w:r w:rsidRPr="00474D74">
        <w:rPr>
          <w:rFonts w:ascii="Book Antiqua" w:hAnsi="Book Antiqua" w:cs="宋体"/>
          <w:kern w:val="0"/>
          <w:sz w:val="24"/>
          <w:szCs w:val="24"/>
        </w:rPr>
        <w:t>CAGR</w:t>
      </w:r>
      <w:r w:rsidRPr="00474D74">
        <w:rPr>
          <w:rFonts w:ascii="Book Antiqua" w:hAnsi="Book Antiqua" w:cs="宋体"/>
          <w:kern w:val="0"/>
          <w:sz w:val="24"/>
          <w:szCs w:val="24"/>
        </w:rPr>
        <w:t>为</w:t>
      </w:r>
      <w:r w:rsidRPr="00474D74">
        <w:rPr>
          <w:rFonts w:ascii="Book Antiqua" w:hAnsi="Book Antiqua" w:cs="宋体"/>
          <w:kern w:val="0"/>
          <w:sz w:val="24"/>
          <w:szCs w:val="24"/>
        </w:rPr>
        <w:t>8.5%</w:t>
      </w:r>
      <w:r w:rsidRPr="00474D74">
        <w:rPr>
          <w:rFonts w:ascii="Book Antiqua" w:hAnsi="Book Antiqua" w:cs="宋体"/>
          <w:kern w:val="0"/>
          <w:sz w:val="24"/>
          <w:szCs w:val="24"/>
        </w:rPr>
        <w:t>。</w:t>
      </w:r>
    </w:p>
    <w:p w:rsidR="005E7C7B" w:rsidRPr="00474D74" w:rsidP="00DF134C" w14:paraId="4D38E3C6" w14:textId="77777777">
      <w:pPr>
        <w:pStyle w:val="-0"/>
        <w:rPr>
          <w:lang w:val="en-US" w:eastAsia="zh-CN"/>
        </w:rPr>
      </w:pPr>
    </w:p>
    <w:p w:rsidR="00347A61" w:rsidP="000A1AB9" w14:paraId="3F6C2722" w14:textId="7D6E421F">
      <w:pPr>
        <w:pStyle w:val="FigureStyle"/>
        <w:rPr>
          <w:lang w:eastAsia="zh-CN"/>
        </w:rPr>
      </w:pPr>
      <w:r>
        <w:rPr>
          <w:lang w:eastAsia="zh-CN"/>
        </w:rPr>
        <w:t>车辆对讲系统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  <w:r w:rsidR="00C51A9D">
        <w:rPr>
          <w:rFonts w:hint="eastAsia"/>
          <w:lang w:eastAsia="zh-CN"/>
        </w:rPr>
        <w:t>，预计</w:t>
      </w:r>
      <w:r w:rsidR="00C51A9D">
        <w:rPr>
          <w:rFonts w:hint="eastAsia"/>
          <w:lang w:eastAsia="zh-CN"/>
        </w:rPr>
        <w:t>2</w:t>
      </w:r>
      <w:r w:rsidR="00C51A9D">
        <w:rPr>
          <w:lang w:eastAsia="zh-CN"/>
        </w:rPr>
        <w:t>029</w:t>
      </w:r>
      <w:r w:rsidR="00C51A9D">
        <w:rPr>
          <w:rFonts w:hint="eastAsia"/>
          <w:lang w:eastAsia="zh-CN"/>
        </w:rPr>
        <w:t>年达到</w:t>
      </w:r>
      <w:r w:rsidR="00474D74">
        <w:rPr>
          <w:lang w:eastAsia="zh-CN"/>
        </w:rPr>
        <w:t>108.6</w:t>
      </w:r>
      <w:r w:rsidR="008B0301">
        <w:rPr>
          <w:rFonts w:hint="eastAsia"/>
          <w:lang w:eastAsia="zh-CN"/>
        </w:rPr>
        <w:t>亿美元</w:t>
      </w:r>
    </w:p>
    <w:p w:rsidR="00347A61" w:rsidP="00347A61" w14:paraId="33261207" w14:textId="34FA88E6">
      <w:pPr>
        <w:pStyle w:val="-0"/>
        <w:rPr>
          <w:lang w:eastAsia="zh-CN"/>
        </w:rPr>
      </w:pPr>
      <w:r>
        <w:rPr>
          <w:noProof/>
        </w:rPr>
        <w:drawing>
          <wp:inline distT="0" distB="0" distL="0" distR="0">
            <wp:extent cx="6188710" cy="2886710"/>
            <wp:effectExtent l="0" t="0" r="2540" b="8890"/>
            <wp:docPr id="2" name="图表 2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C3115" w:rsidP="00FC3115" w14:paraId="548964BA" w14:textId="59791A68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 w:rsidR="00775B01">
        <w:rPr>
          <w:rFonts w:hint="eastAsia"/>
          <w:lang w:eastAsia="zh-CN"/>
        </w:rPr>
        <w:t>全球</w:t>
      </w:r>
      <w:r w:rsidR="007954F9">
        <w:rPr>
          <w:lang w:eastAsia="zh-CN"/>
        </w:rPr>
        <w:t>车辆对讲系统</w:t>
      </w:r>
      <w:r w:rsidRPr="00775B01" w:rsidR="00775B01">
        <w:rPr>
          <w:rFonts w:hint="eastAsia"/>
          <w:lang w:eastAsia="zh-CN"/>
        </w:rPr>
        <w:t>市场研究报告</w:t>
      </w:r>
      <w:r w:rsidRPr="00775B01" w:rsidR="00775B01">
        <w:rPr>
          <w:rFonts w:hint="eastAsia"/>
          <w:lang w:eastAsia="zh-CN"/>
        </w:rPr>
        <w:t>2023-2029</w:t>
      </w:r>
      <w:r>
        <w:rPr>
          <w:lang w:eastAsia="zh-CN"/>
        </w:rPr>
        <w:t>.</w:t>
      </w:r>
    </w:p>
    <w:p w:rsidR="00527DEE" w:rsidRPr="00BF5880" w:rsidP="00BF5880" w14:paraId="12FD9BEF" w14:textId="77777777">
      <w:pPr>
        <w:pStyle w:val="-0"/>
        <w:rPr>
          <w:lang w:eastAsia="zh-CN"/>
        </w:rPr>
      </w:pPr>
    </w:p>
    <w:p w:rsidR="004721C4" w:rsidRPr="001763C6" w:rsidP="00B44D1E" w14:paraId="720E31E2" w14:textId="3416D547">
      <w:pPr>
        <w:pStyle w:val="FigureStyle"/>
        <w:rPr>
          <w:lang w:eastAsia="zh-CN"/>
        </w:rPr>
      </w:pPr>
      <w:r>
        <w:rPr>
          <w:rFonts w:hint="eastAsia"/>
          <w:lang w:eastAsia="zh-CN"/>
        </w:rPr>
        <w:t>全球</w:t>
      </w:r>
      <w:r w:rsidR="007954F9">
        <w:rPr>
          <w:lang w:eastAsia="zh-CN"/>
        </w:rPr>
        <w:t>车辆对讲系统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474D74">
        <w:rPr>
          <w:lang w:eastAsia="zh-CN"/>
        </w:rPr>
        <w:t>17</w:t>
      </w:r>
      <w:r w:rsidR="001052F0">
        <w:rPr>
          <w:rFonts w:hint="eastAsia"/>
          <w:lang w:eastAsia="zh-CN"/>
        </w:rPr>
        <w:t>强生产商排名及市场占有率</w:t>
      </w:r>
      <w:r w:rsidRPr="00FA2DF1" w:rsidR="00FA2DF1">
        <w:rPr>
          <w:rFonts w:hint="eastAsia"/>
          <w:lang w:eastAsia="zh-CN"/>
        </w:rPr>
        <w:t>（</w:t>
      </w:r>
      <w:r w:rsidR="009458ED">
        <w:rPr>
          <w:rFonts w:hint="eastAsia"/>
          <w:lang w:eastAsia="zh-CN"/>
        </w:rPr>
        <w:t>2</w:t>
      </w:r>
      <w:r w:rsidR="009458ED">
        <w:rPr>
          <w:lang w:eastAsia="zh-CN"/>
        </w:rPr>
        <w:t>021</w:t>
      </w:r>
      <w:r w:rsidR="009458ED">
        <w:rPr>
          <w:rFonts w:hint="eastAsia"/>
          <w:lang w:eastAsia="zh-CN"/>
        </w:rPr>
        <w:t>数据，</w:t>
      </w:r>
      <w:r w:rsidRPr="00FA2DF1" w:rsidR="00FA2DF1">
        <w:rPr>
          <w:rFonts w:hint="eastAsia"/>
          <w:lang w:eastAsia="zh-CN"/>
        </w:rPr>
        <w:t>持续更新）</w:t>
      </w:r>
    </w:p>
    <w:p w:rsidR="004721C4" w:rsidP="004721C4" w14:paraId="259C9F9E" w14:textId="466F3D55">
      <w:pPr>
        <w:pStyle w:val="-0"/>
        <w:jc w:val="center"/>
        <w:rPr>
          <w:lang w:eastAsia="zh-CN"/>
        </w:rPr>
      </w:pPr>
      <w:r>
        <w:rPr>
          <w:noProof/>
        </w:rPr>
        <w:drawing>
          <wp:inline distT="0" distB="0" distL="0" distR="0">
            <wp:extent cx="4572000" cy="4400544"/>
            <wp:effectExtent l="0" t="0" r="0" b="635"/>
            <wp:docPr id="3" name="图表 3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721C4" w:rsidP="004721C4" w14:paraId="04A43543" w14:textId="70A209E1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Pr="00775B01">
        <w:rPr>
          <w:rFonts w:hint="eastAsia"/>
          <w:lang w:eastAsia="zh-CN"/>
        </w:rPr>
        <w:t>全球</w:t>
      </w:r>
      <w:r w:rsidR="007954F9">
        <w:rPr>
          <w:lang w:eastAsia="zh-CN"/>
        </w:rPr>
        <w:t>车辆对讲系统</w:t>
      </w:r>
      <w:r w:rsidRPr="00775B01">
        <w:rPr>
          <w:rFonts w:hint="eastAsia"/>
          <w:lang w:eastAsia="zh-CN"/>
        </w:rPr>
        <w:t>市场研究报告</w:t>
      </w:r>
      <w:r w:rsidRPr="00775B01">
        <w:rPr>
          <w:rFonts w:hint="eastAsia"/>
          <w:lang w:eastAsia="zh-CN"/>
        </w:rPr>
        <w:t>2023-2029</w:t>
      </w:r>
      <w:r w:rsidR="007B15AA">
        <w:rPr>
          <w:rFonts w:hint="eastAsia"/>
          <w:lang w:eastAsia="zh-CN"/>
        </w:rPr>
        <w:t>中的</w:t>
      </w:r>
      <w:r w:rsidR="007B15AA">
        <w:rPr>
          <w:rFonts w:hint="eastAsia"/>
          <w:lang w:eastAsia="zh-CN"/>
        </w:rPr>
        <w:t>2</w:t>
      </w:r>
      <w:r w:rsidR="007B15AA">
        <w:rPr>
          <w:lang w:eastAsia="zh-CN"/>
        </w:rPr>
        <w:t>021</w:t>
      </w:r>
      <w:r w:rsidR="007B15AA"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 w:rsidR="00474D74" w:rsidRPr="00474D74" w:rsidP="00474D74" w14:paraId="3204EF55" w14:textId="77777777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 w:rsidRPr="00474D74">
        <w:rPr>
          <w:rFonts w:ascii="Times New Roman" w:hAnsi="Times New Roman" w:cs="Times New Roman"/>
          <w:kern w:val="0"/>
          <w:sz w:val="22"/>
          <w:szCs w:val="22"/>
        </w:rPr>
        <w:t>全球范围内车辆对讲系统生产商主要包括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Motorola Solutions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Thales Group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Hytera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Kenwood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Icom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 xml:space="preserve"> 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Inc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SCI Technology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Harris Corporation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David Clark Company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Telephonics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、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Cobham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等。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2021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年，全球前五大厂商占有大约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47.0%</w:t>
      </w:r>
      <w:r w:rsidRPr="00474D74">
        <w:rPr>
          <w:rFonts w:ascii="Times New Roman" w:hAnsi="Times New Roman" w:cs="Times New Roman"/>
          <w:kern w:val="0"/>
          <w:sz w:val="22"/>
          <w:szCs w:val="22"/>
        </w:rPr>
        <w:t>的市场份额。</w:t>
      </w:r>
    </w:p>
    <w:p w:rsidR="007F61D5" w:rsidP="00BF5880" w14:paraId="732DEE17" w14:textId="77777777">
      <w:pPr>
        <w:pStyle w:val="-0"/>
      </w:pPr>
      <w:bookmarkStart w:id="13" w:name="_GoBack"/>
      <w:bookmarkEnd w:id="13"/>
    </w:p>
    <w:p w:rsidR="00BF3B71" w:rsidRPr="00BF5880" w:rsidP="00BF5880" w14:paraId="391CF8D5" w14:textId="77777777">
      <w:pPr>
        <w:pStyle w:val="-0"/>
      </w:pPr>
    </w:p>
    <w:p w:rsidR="003C2BEE" w:rsidP="00423201" w14:paraId="551722F8" w14:textId="4A6C8F57">
      <w:pPr>
        <w:pStyle w:val="-0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:rsidR="00282954" w:rsidRPr="00DD38BB" w:rsidP="00282954" w14:paraId="7559775F" w14:textId="77777777">
      <w:pPr>
        <w:pStyle w:val="a15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:rsidR="00282954" w:rsidP="00282954" w14:paraId="044563DD" w14:textId="77777777">
      <w:pPr>
        <w:pStyle w:val="-0"/>
        <w:rPr>
          <w:lang w:eastAsia="zh-CN"/>
        </w:rPr>
      </w:pP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:rsidR="00282954" w:rsidRPr="008D2D65" w:rsidP="00282954" w14:paraId="7514D280" w14:textId="77777777">
      <w:pPr>
        <w:pStyle w:val="-0"/>
        <w:rPr>
          <w:lang w:eastAsia="zh-CN"/>
        </w:rPr>
      </w:pPr>
      <w:r w:rsidRPr="000464F9">
        <w:rPr>
          <w:rFonts w:hint="eastAsia"/>
          <w:lang w:eastAsia="zh-CN"/>
        </w:rPr>
        <w:t>QYResearch</w:t>
      </w:r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r w:rsidRPr="000464F9">
        <w:rPr>
          <w:rFonts w:hint="eastAsia"/>
          <w:lang w:eastAsia="zh-CN"/>
        </w:rPr>
        <w:t>伏产业</w:t>
      </w:r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:rsidR="00441158" w:rsidRPr="00282954" w:rsidP="00423201" w14:paraId="74641357" w14:textId="77777777">
      <w:pPr>
        <w:pStyle w:val="-0"/>
        <w:rPr>
          <w:lang w:eastAsia="zh-CN"/>
        </w:rPr>
      </w:pPr>
    </w:p>
    <w:sectPr w:rsidSect="004E579C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080" w:bottom="1440" w:left="1080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left"/>
      <w:rPr>
        <w:sz w:val="20"/>
      </w:rPr>
    </w:pPr>
    <w:r>
      <w:rPr>
        <w:sz w:val="20"/>
      </w:rPr>
      <w:t>Copyright © QYResearch | market@qyresearch.com | www.qyresearch.com.cn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492" w14:paraId="46839A2F" w14:textId="77777777"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49" type="#_x0000_t75" style="width:481.85pt;height:238.85pt;margin-top:0;margin-left:0;mso-position-horizontal:center;mso-position-horizontal-relative:margin;mso-position-vertical:center;mso-position-vertical-relative:margin;position:absolute;z-index:-251657216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627" w:rsidP="00961627" w14:paraId="034DFDC0" w14:textId="77777777">
    <w:pPr>
      <w:pStyle w:val="Header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Banner-01.jpg"/>
                  <pic:cNvPicPr/>
                </pic:nvPicPr>
                <pic:blipFill>
                  <a:blip xmlns:r="http://schemas.openxmlformats.org/officeDocument/2006/relationships" r:embed="rId1" cstate="print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961627" w:rsidRPr="00A53AE9" w:rsidP="00961627" w14:textId="08E050D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0" type="#_x0000_t202" style="width:409.6pt;height:61.7pt;margin-top:-26.1pt;margin-left:-18.4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62336" filled="f" stroked="f">
              <v:textbox>
                <w:txbxContent>
                  <w:p w:rsidR="00961627" w:rsidRPr="00A53AE9" w:rsidP="00961627" w14:paraId="5499D8DF" w14:textId="08E050D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:rsidR="00961627" w:rsidP="00961627" w14:paraId="620C58A2" w14:textId="77777777">
    <w:pPr>
      <w:pStyle w:val="Header"/>
      <w:pBdr>
        <w:bottom w:val="none" w:sz="0" w:space="0" w:color="auto"/>
      </w:pBdr>
      <w:jc w:val="both"/>
    </w:pPr>
  </w:p>
  <w:p w:rsidR="00961627" w:rsidP="00961627" w14:paraId="0EB12D4D" w14:textId="77777777">
    <w:pPr>
      <w:pStyle w:val="Header"/>
      <w:pBdr>
        <w:bottom w:val="none" w:sz="0" w:space="0" w:color="auto"/>
      </w:pBdr>
      <w:jc w:val="both"/>
    </w:pPr>
  </w:p>
  <w:p w:rsidR="00961627" w:rsidP="00961627" w14:paraId="3E23A369" w14:textId="77777777">
    <w:pPr>
      <w:pStyle w:val="Header"/>
      <w:pBdr>
        <w:bottom w:val="none" w:sz="0" w:space="0" w:color="auto"/>
      </w:pBdr>
      <w:jc w:val="both"/>
    </w:pPr>
  </w:p>
  <w:p w:rsidR="00961627" w:rsidP="00961627" w14:paraId="206F3E9B" w14:textId="77777777">
    <w:pPr>
      <w:pStyle w:val="Header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492" w14:paraId="5186DDD5" w14:textId="77777777">
    <w:r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1" type="#_x0000_t75" style="width:481.85pt;height:238.85pt;margin-top:0;margin-left:0;mso-position-horizontal:center;mso-position-horizontal-relative:margin;mso-position-vertical:center;mso-position-vertical-relative:margin;position:absolute;z-index:-251658240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9F4BFB"/>
    <w:multiLevelType w:val="hybridMultilevel"/>
    <w:tmpl w:val="7DA6D21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173455BF"/>
    <w:multiLevelType w:val="hybridMultilevel"/>
    <w:tmpl w:val="B2BEBCE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1F8F71FF"/>
    <w:multiLevelType w:val="hybridMultilevel"/>
    <w:tmpl w:val="20244F1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69778D2"/>
    <w:multiLevelType w:val="hybridMultilevel"/>
    <w:tmpl w:val="A6C2142E"/>
    <w:lvl w:ilvl="0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>
    <w:nsid w:val="3D6F0DE2"/>
    <w:multiLevelType w:val="hybridMultilevel"/>
    <w:tmpl w:val="A09C101E"/>
    <w:lvl w:ilvl="0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>
    <w:nsid w:val="50AF0EBA"/>
    <w:multiLevelType w:val="hybridMultilevel"/>
    <w:tmpl w:val="2FBA462A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3D73376"/>
    <w:multiLevelType w:val="multilevel"/>
    <w:tmpl w:val="55786760"/>
    <w:lvl w:ilvl="0">
      <w:start w:val="1"/>
      <w:numFmt w:val="decimal"/>
      <w:pStyle w:val="Heading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>
    <w:nsid w:val="599F66E8"/>
    <w:multiLevelType w:val="hybridMultilevel"/>
    <w:tmpl w:val="1A14C63A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22915CF"/>
    <w:multiLevelType w:val="hybridMultilevel"/>
    <w:tmpl w:val="B4A0D5F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63C709F8"/>
    <w:multiLevelType w:val="hybridMultilevel"/>
    <w:tmpl w:val="04800124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64A0201D"/>
    <w:multiLevelType w:val="hybridMultilevel"/>
    <w:tmpl w:val="F15291D8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72D76D87"/>
    <w:multiLevelType w:val="hybridMultilevel"/>
    <w:tmpl w:val="468E09A8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A014EAF"/>
    <w:multiLevelType w:val="hybridMultilevel"/>
    <w:tmpl w:val="7D9A2032"/>
    <w:lvl w:ilvl="0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1728" w:allStyles="0" w:alternateStyleNames="0" w:clearFormatting="1" w:customStyles="0" w:directFormattingOnNumbering="1" w:directFormattingOnParagraphs="1" w:directFormattingOnRuns="1" w:directFormattingOnTables="0" w:headingStyles="1" w:latentStyles="0" w:numberingStyles="0" w:stylesInUse="1" w:tableStyles="0" w:top3HeadingStyles="0" w:visibleStyl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4F9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D74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4F9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2D65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AE9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662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8BB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Heading1">
    <w:name w:val="heading 1"/>
    <w:basedOn w:val="Normal"/>
    <w:next w:val="Normal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Heading3">
    <w:name w:val="heading 3"/>
    <w:basedOn w:val="Normal"/>
    <w:next w:val="Normal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4">
    <w:name w:val="heading 4"/>
    <w:basedOn w:val="Normal"/>
    <w:next w:val="Normal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Heading7">
    <w:name w:val="heading 7"/>
    <w:basedOn w:val="Normal"/>
    <w:next w:val="Normal"/>
    <w:link w:val="7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">
    <w:name w:val="标题 4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Heading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Heading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Heading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Heading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605406"/>
    <w:rPr>
      <w:rFonts w:ascii="Calibri" w:hAnsi="Calibri" w:eastAsiaTheme="majorEastAsia"/>
      <w:b/>
      <w:bCs/>
      <w:color w:val="44546A" w:themeColor="text2"/>
      <w:sz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Normal"/>
    <w:next w:val="PlainText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24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Normal"/>
    <w:next w:val="Normal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PlainText">
    <w:name w:val="Plain Text"/>
    <w:basedOn w:val="Normal"/>
    <w:link w:val="16"/>
    <w:rsid w:val="00AD7B8C"/>
    <w:rPr>
      <w:rFonts w:ascii="宋体" w:hAnsi="Courier New" w:cs="Courier New"/>
    </w:rPr>
  </w:style>
  <w:style w:type="character" w:customStyle="1" w:styleId="a2">
    <w:name w:val="纯文本 字符"/>
    <w:basedOn w:val="DefaultParagraphFont"/>
    <w:uiPriority w:val="99"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name w:val="ad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TableClassic1">
    <w:name w:val="Table Classic 1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Heading1"/>
    <w:next w:val="Heading1"/>
    <w:rsid w:val="00AD7B8C"/>
    <w:rPr>
      <w:rFonts w:cs="宋体"/>
      <w:szCs w:val="20"/>
    </w:rPr>
  </w:style>
  <w:style w:type="paragraph" w:customStyle="1" w:styleId="50">
    <w:name w:val="样式 标题 5 + (中文) 宋体"/>
    <w:basedOn w:val="Heading5"/>
    <w:rsid w:val="00AD7B8C"/>
  </w:style>
  <w:style w:type="character" w:customStyle="1" w:styleId="16">
    <w:name w:val="纯文本 字符1"/>
    <w:link w:val="PlainText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Normal"/>
    <w:next w:val="Normal"/>
    <w:autoRedefine/>
    <w:uiPriority w:val="39"/>
    <w:rsid w:val="00266DD7"/>
    <w:pPr>
      <w:ind w:left="867" w:hanging="567" w:leftChars="300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7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7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ListParagraph">
    <w:name w:val="List Paragraph"/>
    <w:basedOn w:val="Normal"/>
    <w:link w:val="a14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Strong">
    <w:name w:val="Strong"/>
    <w:uiPriority w:val="22"/>
    <w:qFormat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8"/>
    <w:unhideWhenUsed/>
    <w:rsid w:val="00AD7B8C"/>
    <w:pPr>
      <w:jc w:val="left"/>
    </w:pPr>
  </w:style>
  <w:style w:type="character" w:customStyle="1" w:styleId="a7">
    <w:name w:val="批注文字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8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9"/>
    <w:rsid w:val="00AD7B8C"/>
    <w:pPr>
      <w:jc w:val="left"/>
    </w:pPr>
    <w:rPr>
      <w:b/>
      <w:bCs/>
    </w:rPr>
  </w:style>
  <w:style w:type="character" w:customStyle="1" w:styleId="a8">
    <w:name w:val="批注主题 字符"/>
    <w:basedOn w:val="a7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9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10"/>
    <w:rsid w:val="00AD7B8C"/>
    <w:pPr>
      <w:ind w:left="100" w:leftChars="2500"/>
    </w:pPr>
  </w:style>
  <w:style w:type="character" w:customStyle="1" w:styleId="a9">
    <w:name w:val="日期 字符"/>
    <w:basedOn w:val="DefaultParagraphFont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10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Heading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Heading6"/>
    <w:rsid w:val="00AD7B8C"/>
    <w:rPr>
      <w:rFonts w:cs="宋体"/>
      <w:szCs w:val="20"/>
    </w:rPr>
  </w:style>
  <w:style w:type="paragraph" w:customStyle="1" w:styleId="22">
    <w:name w:val="样式 图表目录 + 左侧:  2 字符 悬挂缩进: 2 字符"/>
    <w:basedOn w:val="TableofFigures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TableofFigures"/>
    <w:autoRedefine/>
    <w:rsid w:val="00AD7B8C"/>
    <w:rPr>
      <w:rFonts w:cs="宋体"/>
    </w:rPr>
  </w:style>
  <w:style w:type="paragraph" w:customStyle="1" w:styleId="111">
    <w:name w:val="样式 11 磅 右"/>
    <w:basedOn w:val="Normal"/>
    <w:next w:val="Normal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Normal"/>
    <w:next w:val="Normal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Normal"/>
    <w:next w:val="Normal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Normal"/>
    <w:next w:val="Normal"/>
    <w:rsid w:val="00AD7B8C"/>
    <w:pPr>
      <w:jc w:val="left"/>
    </w:pPr>
    <w:rPr>
      <w:rFonts w:cs="宋体"/>
      <w:kern w:val="0"/>
      <w:szCs w:val="20"/>
    </w:rPr>
  </w:style>
  <w:style w:type="paragraph" w:customStyle="1" w:styleId="a10">
    <w:name w:val="样式 加粗 倾斜 左"/>
    <w:basedOn w:val="Normal"/>
    <w:next w:val="Normal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2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Normal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3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DefaultParagraphFont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0">
    <w:name w:val="正文-段落"/>
    <w:basedOn w:val="Normal"/>
    <w:link w:val="-1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14">
    <w:name w:val="列出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ListParagraph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14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14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DefaultParagraphFont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DefaultParagraphFont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DefaultParagraphFont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3">
    <w:name w:val="目录2"/>
    <w:basedOn w:val="TOC2"/>
    <w:next w:val="TOC2"/>
    <w:link w:val="25"/>
    <w:rsid w:val="00210657"/>
    <w:pPr>
      <w:tabs>
        <w:tab w:val="right" w:pos="9736"/>
      </w:tabs>
    </w:pPr>
    <w:rPr>
      <w:noProof/>
    </w:rPr>
  </w:style>
  <w:style w:type="character" w:customStyle="1" w:styleId="24">
    <w:name w:val="目录 2 字符"/>
    <w:basedOn w:val="DefaultParagraphFont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5">
    <w:name w:val="目录2 字符"/>
    <w:basedOn w:val="24"/>
    <w:link w:val="23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TableNormal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00">
    <w:name w:val="未处理的提及3_0"/>
    <w:basedOn w:val="DefaultParagraphFont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Normal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DefaultParagraphFont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ListTable1LightAccent1">
    <w:name w:val="List Table 1 Light Accent 1"/>
    <w:basedOn w:val="TableNormal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15">
    <w:name w:val="概述"/>
    <w:basedOn w:val="Style1"/>
    <w:link w:val="a16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DefaultParagraphFont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16">
    <w:name w:val="概述 字符"/>
    <w:basedOn w:val="Style10"/>
    <w:link w:val="a15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">
    <w:name w:val="彩色网格 - 强调文字颜色 51"/>
    <w:basedOn w:val="TableNormal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">
    <w:name w:val="彩色网格 - 强调文字颜色 31"/>
    <w:basedOn w:val="TableNormal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0">
    <w:name w:val="深色列表 - 强调文字颜色 3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0">
    <w:name w:val="深色列表 - 强调文字颜色 51"/>
    <w:basedOn w:val="TableNormal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TableNormal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1">
    <w:name w:val="浅色列表 - 强调文字颜色 3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TableNormal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TableNormal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TableNormal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TableNormal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1">
    <w:name w:val="浅色列表 - 强调文字颜色 51"/>
    <w:basedOn w:val="TableNormal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TableNormal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TableNormal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TableNormal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TableNormal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TableNormal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TableNormal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TableNormal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Emphasis">
    <w:name w:val="Emphasis"/>
    <w:rsid w:val="009076B9"/>
    <w:rPr>
      <w:i/>
      <w:iCs/>
    </w:rPr>
  </w:style>
  <w:style w:type="character" w:customStyle="1" w:styleId="400">
    <w:name w:val="未处理的提及4_0"/>
    <w:basedOn w:val="DefaultParagraphFont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">
    <w:name w:val="标题 7 字符"/>
    <w:basedOn w:val="DefaultParagraphFont"/>
    <w:link w:val="Heading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">
    <w:name w:val="标题 8 字符"/>
    <w:basedOn w:val="DefaultParagraphFont"/>
    <w:link w:val="Heading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2">
    <w:name w:val="未处理的提及5"/>
    <w:basedOn w:val="DefaultParagraphFont"/>
    <w:uiPriority w:val="99"/>
    <w:semiHidden/>
    <w:unhideWhenUsed/>
    <w:rsid w:val="009623B2"/>
    <w:rPr>
      <w:color w:val="605E5C"/>
      <w:shd w:val="clear" w:color="auto" w:fill="E1DFDD"/>
    </w:rPr>
  </w:style>
  <w:style w:type="table" w:styleId="ListTable2Accent2">
    <w:name w:val="List Table 2 Accent 2"/>
    <w:basedOn w:val="TableNormal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GridTable2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">
    <w:name w:val="Grid Table 2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Accent4">
    <w:name w:val="Grid Table 2 Accent 4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Accent5">
    <w:name w:val="Grid Table 2 Accent 5"/>
    <w:basedOn w:val="TableNormal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2">
    <w:name w:val="季度-样式"/>
    <w:basedOn w:val="TableNormal"/>
    <w:uiPriority w:val="99"/>
    <w:rsid w:val="009623B2"/>
    <w:tblPr/>
  </w:style>
  <w:style w:type="table" w:styleId="ListTable2Accent5">
    <w:name w:val="List Table 2 Accent 5"/>
    <w:basedOn w:val="TableNormal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Accent5">
    <w:name w:val="List Table 1 Light Accent 5"/>
    <w:basedOn w:val="TableNormal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3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chart" Target="charts/chart1.xml" /><Relationship Id="rId7" Type="http://schemas.openxmlformats.org/officeDocument/2006/relationships/chart" Target="charts/chart2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 /><Relationship Id="rId2" Type="http://schemas.openxmlformats.org/officeDocument/2006/relationships/chartUserShapes" Target="../drawings/drawing1.xml" /><Relationship Id="rId3" Type="http://schemas.microsoft.com/office/2011/relationships/chartColorStyle" Target="chart/colors1.xml" /><Relationship Id="rId4" Type="http://schemas.microsoft.com/office/2011/relationships/chartStyle" Target="chart/style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C:\Users\hengzhoubz\Desktop\&#38472;&#22025;&#26753;2\&#35266;&#28857;&#25968;&#25454;&#22270;&#34920;&#27169;&#26495;-&#20840;&#29699;20231017%20&#23454;&#20064;&#21516;&#23398;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01774262850841709"/>
          <c:y val="0.10653888888888889"/>
          <c:w val="0.937283950617284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4679.52</c:v>
                </c:pt>
                <c:pt idx="1">
                  <c:v>6265</c:v>
                </c:pt>
                <c:pt idx="2">
                  <c:v>10855.111275035048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FD-428A-B96A-CDFC0DD07A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0.03463208185169833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EE4-4281-8DA6-E7E14A598987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2EE4-4281-8DA6-E7E14A598987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2EE4-4281-8DA6-E7E14A598987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2EE4-4281-8DA6-E7E14A598987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2EE4-4281-8DA6-E7E14A598987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2EE4-4281-8DA6-E7E14A598987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2EE4-4281-8DA6-E7E14A598987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2EE4-4281-8DA6-E7E14A598987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2EE4-4281-8DA6-E7E14A598987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2EE4-4281-8DA6-E7E14A598987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2EE4-4281-8DA6-E7E14A598987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2EE4-4281-8DA6-E7E14A598987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2EE4-4281-8DA6-E7E14A598987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2EE4-4281-8DA6-E7E14A598987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2EE4-4281-8DA6-E7E14A598987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2EE4-4281-8DA6-E7E14A598987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2EE4-4281-8DA6-E7E14A598987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2EE4-4281-8DA6-E7E14A598987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2EE4-4281-8DA6-E7E14A598987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2EE4-4281-8DA6-E7E14A598987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2EE4-4281-8DA6-E7E14A598987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2EE4-4281-8DA6-E7E14A598987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2EE4-4281-8DA6-E7E14A598987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2EE4-4281-8DA6-E7E14A598987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2EE4-4281-8DA6-E7E14A598987}"/>
              </c:ext>
            </c:extLst>
          </c:dPt>
          <c:cat>
            <c:strRef>
              <c:f>企业排序!$F$2:$F$18</c:f>
              <c:strCache>
                <c:ptCount val="17"/>
                <c:pt idx="0">
                  <c:v>SyTech Corporation</c:v>
                </c:pt>
                <c:pt idx="1">
                  <c:v>Setcom</c:v>
                </c:pt>
                <c:pt idx="2">
                  <c:v>EID (Cohort plc)</c:v>
                </c:pt>
                <c:pt idx="3">
                  <c:v>Vitavox (Secomak)</c:v>
                </c:pt>
                <c:pt idx="4">
                  <c:v>Elno</c:v>
                </c:pt>
                <c:pt idx="5">
                  <c:v>Elbit Systems</c:v>
                </c:pt>
                <c:pt idx="6">
                  <c:v>Aselsan</c:v>
                </c:pt>
                <c:pt idx="7">
                  <c:v>Cobham</c:v>
                </c:pt>
                <c:pt idx="8">
                  <c:v>Telephonics</c:v>
                </c:pt>
                <c:pt idx="9">
                  <c:v>David Clark Company</c:v>
                </c:pt>
                <c:pt idx="10">
                  <c:v>Harris Corporation</c:v>
                </c:pt>
                <c:pt idx="11">
                  <c:v>SCI Technology</c:v>
                </c:pt>
                <c:pt idx="12">
                  <c:v>Icom Inc</c:v>
                </c:pt>
                <c:pt idx="13">
                  <c:v>Kenwood</c:v>
                </c:pt>
                <c:pt idx="14">
                  <c:v>Hytera</c:v>
                </c:pt>
                <c:pt idx="15">
                  <c:v>Thales Group</c:v>
                </c:pt>
                <c:pt idx="16">
                  <c:v>Motorola Solutions</c:v>
                </c:pt>
              </c:strCache>
            </c:strRef>
          </c:cat>
          <c:val>
            <c:numRef>
              <c:f>企业排序!$G$2:$G$18</c:f>
              <c:numCache>
                <c:formatCode>#,##0.00_ </c:formatCode>
                <c:ptCount val="17"/>
                <c:pt idx="0">
                  <c:v>2.51</c:v>
                </c:pt>
                <c:pt idx="1">
                  <c:v>2.99</c:v>
                </c:pt>
                <c:pt idx="2">
                  <c:v>3.22</c:v>
                </c:pt>
                <c:pt idx="3">
                  <c:v>8.35</c:v>
                </c:pt>
                <c:pt idx="4">
                  <c:v>10.98</c:v>
                </c:pt>
                <c:pt idx="5">
                  <c:v>12.86</c:v>
                </c:pt>
                <c:pt idx="6">
                  <c:v>16.86</c:v>
                </c:pt>
                <c:pt idx="7">
                  <c:v>37.15</c:v>
                </c:pt>
                <c:pt idx="8">
                  <c:v>40.4</c:v>
                </c:pt>
                <c:pt idx="9">
                  <c:v>46.9</c:v>
                </c:pt>
                <c:pt idx="10">
                  <c:v>52.7</c:v>
                </c:pt>
                <c:pt idx="11">
                  <c:v>99.84</c:v>
                </c:pt>
                <c:pt idx="12">
                  <c:v>116.42</c:v>
                </c:pt>
                <c:pt idx="13">
                  <c:v>184.7</c:v>
                </c:pt>
                <c:pt idx="14">
                  <c:v>244.06</c:v>
                </c:pt>
                <c:pt idx="15">
                  <c:v>908</c:v>
                </c:pt>
                <c:pt idx="16">
                  <c:v>1323.98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2EE4-4281-8DA6-E7E14A59898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0.51661</cdr:x>
      <cdr:y>0.12781</cdr:y>
    </cdr:from>
    <cdr:to>
      <cdr:x>0.74069</cdr:x>
      <cdr:y>0.41345</cdr:y>
    </cdr:to>
    <cdr:cxnSp>
      <cdr:nvCxnSpPr>
        <cdr:cNvPr id="5" name="直接箭头连接符 4">
          <a:extLst>
            <a:ext xmlns:a="http://schemas.openxmlformats.org/drawingml/2006/main"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flipV="1">
          <a:off x="3388142" y="391088"/>
          <a:ext cx="1469609" cy="874065"/>
        </a:xfrm>
        <a:prstGeom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cdr:style>
    </cdr:cxnSp>
  </cdr:relSizeAnchor>
  <cdr:relSizeAnchor xmlns:cdr="http://schemas.openxmlformats.org/drawingml/2006/chartDrawing">
    <cdr:from>
      <cdr:x>0.56034</cdr:x>
      <cdr:y>0.23956</cdr:y>
    </cdr:from>
    <cdr:to>
      <cdr:x>0.69585</cdr:x>
      <cdr:y>0.31181</cdr:y>
    </cdr:to>
    <cdr:sp>
      <cdr:nvSpPr>
        <cdr:cNvPr id="7" name="椭圆 6">
          <a:extLst>
            <a:ext xmlns:a="http://schemas.openxmlformats.org/drawingml/2006/main"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rot="19772879">
          <a:off x="3674963" y="733059"/>
          <a:ext cx="888734" cy="221087"/>
        </a:xfrm>
        <a:prstGeom prst="ellipse">
          <a:avLst/>
        </a:prstGeom>
        <a:solidFill>
          <a:srgbClr val="FFC000"/>
        </a:solidFill>
        <a:ln w="12700">
          <a:noFill/>
        </a:ln>
      </cdr:spPr>
      <cdr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cdr:style>
      <cdr:txBody>
        <a:bodyPr vertOverflow="clip" anchor="ctr"/>
        <a:lstStyle/>
        <a:p>
          <a:pPr algn="ctr"/>
          <a:r>
            <a:rPr lang="en-US" altLang="zh-CN" sz="800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8.5%</a:t>
          </a:r>
          <a:endParaRPr lang="zh-CN" sz="800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0.20778</cdr:x>
      <cdr:y>0.32723</cdr:y>
    </cdr:from>
    <cdr:to>
      <cdr:x>0.44117</cdr:x>
      <cdr:y>0.59048</cdr:y>
    </cdr:to>
    <cdr:grpSp>
      <cdr:nvGrpSpPr>
        <cdr:cNvPr id="10" name="组合 9">
          <a:extLst>
            <a:ext xmlns:a="http://schemas.openxmlformats.org/drawingml/2006/main"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rot="1783323">
          <a:off x="1285861" y="944612"/>
          <a:ext cx="1444383" cy="759927"/>
          <a:chOff x="2941750" y="1922133"/>
          <a:chExt cx="1196788" cy="814928"/>
        </a:xfrm>
      </cdr:grpSpPr>
      <cdr:cxnSp>
        <cdr:nvCxnSpPr>
          <cdr:cNvPr id="11" name="直接箭头连接符 10">
            <a:extLst>
              <a:ext xmlns:a="http://schemas.openxmlformats.org/drawingml/2006/main"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rot="19816677" flipV="1">
            <a:off x="2941750" y="1969551"/>
            <a:ext cx="1196788" cy="555475"/>
          </a:xfrm>
          <a:prstGeom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cdr:style>
      </cdr:cxnSp>
      <cdr:sp>
        <cdr:nvSpPr>
          <cdr:cNvPr id="12" name="椭圆 11">
            <a:extLst>
              <a:ext xmlns:a="http://schemas.openxmlformats.org/drawingml/2006/main"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rot="18358947">
            <a:off x="3075309" y="2241999"/>
            <a:ext cx="814928" cy="175195"/>
          </a:xfrm>
          <a:prstGeom prst="ellipse">
            <a:avLst/>
          </a:prstGeom>
          <a:solidFill>
            <a:srgbClr val="FFC000"/>
          </a:solidFill>
          <a:ln w="12700">
            <a:noFill/>
          </a:ln>
        </cdr:spPr>
        <cdr:style>
          <a:lnRef idx="2">
            <a:schemeClr val="accent1">
              <a:shade val="15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cdr:style>
        <cdr:txBody>
          <a:bodyPr vertOverflow="clip" anchor="ctr"/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7.6%</a:t>
            </a:r>
            <a:endParaRPr lang="zh-CN" sz="800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7B52B-7C96-4E0A-B2BA-7EBC329DD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hengzhoubz</cp:lastModifiedBy>
  <cp:revision>2</cp:revision>
  <dcterms:created xsi:type="dcterms:W3CDTF">2023-11-06T03:16:00Z</dcterms:created>
  <dcterms:modified xsi:type="dcterms:W3CDTF">2023-11-06T03:16:00Z</dcterms:modified>
</cp:coreProperties>
</file>