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CDEEB">
      <w:pPr>
        <w:pStyle w:val="2"/>
        <w:bidi w:val="0"/>
        <w:jc w:val="center"/>
        <w:rPr>
          <w:rStyle w:val="7"/>
          <w:rFonts w:hint="eastAsia" w:ascii="宋体" w:hAnsi="宋体" w:eastAsia="宋体" w:cs="宋体"/>
          <w:b/>
          <w:sz w:val="24"/>
          <w:szCs w:val="24"/>
        </w:rPr>
      </w:pPr>
      <w:r>
        <w:rPr>
          <w:rStyle w:val="7"/>
          <w:rFonts w:hint="eastAsia" w:cs="宋体"/>
          <w:b/>
          <w:sz w:val="24"/>
          <w:szCs w:val="24"/>
          <w:lang w:eastAsia="zh-CN"/>
        </w:rPr>
        <w:t>【</w:t>
      </w:r>
      <w:r>
        <w:rPr>
          <w:rStyle w:val="7"/>
          <w:rFonts w:hint="eastAsia" w:cs="宋体"/>
          <w:b/>
          <w:sz w:val="24"/>
          <w:szCs w:val="24"/>
          <w:lang w:val="en-US" w:eastAsia="zh-CN"/>
        </w:rPr>
        <w:t>辰辉创聚生物</w:t>
      </w:r>
      <w:r>
        <w:rPr>
          <w:rStyle w:val="7"/>
          <w:rFonts w:hint="eastAsia" w:cs="宋体"/>
          <w:b/>
          <w:sz w:val="24"/>
          <w:szCs w:val="24"/>
          <w:lang w:eastAsia="zh-CN"/>
        </w:rPr>
        <w:t>】</w:t>
      </w:r>
      <w:r>
        <w:rPr>
          <w:rStyle w:val="7"/>
          <w:rFonts w:hint="eastAsia" w:ascii="宋体" w:hAnsi="宋体" w:eastAsia="宋体" w:cs="宋体"/>
          <w:b/>
          <w:sz w:val="24"/>
          <w:szCs w:val="24"/>
        </w:rPr>
        <w:t>Retatrutide (Peptide Reference) 瑞塔鲁肽</w:t>
      </w:r>
      <w:r>
        <w:rPr>
          <w:rStyle w:val="7"/>
          <w:rFonts w:hint="eastAsia" w:ascii="宋体" w:hAnsi="宋体" w:eastAsia="宋体" w:cs="宋体"/>
          <w:b/>
          <w:sz w:val="24"/>
          <w:szCs w:val="24"/>
          <w:lang w:val="en-US" w:eastAsia="zh-CN"/>
        </w:rPr>
        <w:t>的</w:t>
      </w:r>
      <w:r>
        <w:rPr>
          <w:rStyle w:val="7"/>
          <w:rFonts w:hint="eastAsia" w:ascii="宋体" w:hAnsi="宋体" w:eastAsia="宋体" w:cs="宋体"/>
          <w:b/>
          <w:sz w:val="24"/>
          <w:szCs w:val="24"/>
        </w:rPr>
        <w:t>应用与研究进展</w:t>
      </w:r>
    </w:p>
    <w:p w14:paraId="5729667D">
      <w:pPr>
        <w:rPr>
          <w:rStyle w:val="7"/>
          <w:rFonts w:hint="eastAsia"/>
          <w:lang w:val="en-US" w:eastAsia="zh-CN"/>
        </w:rPr>
      </w:pPr>
      <w:r>
        <w:rPr>
          <w:rStyle w:val="7"/>
          <w:rFonts w:hint="eastAsia"/>
          <w:lang w:val="en-US" w:eastAsia="zh-CN"/>
        </w:rPr>
        <w:t>摘要</w:t>
      </w:r>
    </w:p>
    <w:p w14:paraId="5ECAF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瑞塔鲁肽是一种由39个氨基酸组成的多肽类药物，属于GLP-1R/GIPR/GCGR三重受体激动剂。其设计灵感来源于内源性肠促胰岛素激素（如GIP），并通过结构优化使其能够同时激活以下三种受体：GLP-1受体（GLP-1R）：促进胰岛素分泌、抑制胰高血糖素释放、延缓胃排空，增强饱腹感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GIP受体（GIPR）：增强胰岛素敏感性，调节脂质代谢，可能协同GLP-1R增强减重效果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胰高血糖素受体（GCGR）：促进能量消耗，增强肝脏糖异生抑制，减少肝脏脂肪沉积</w:t>
      </w:r>
      <w:r>
        <w:rPr>
          <w:rFonts w:hint="eastAsia"/>
          <w:sz w:val="24"/>
          <w:szCs w:val="24"/>
          <w:lang w:eastAsia="zh-CN"/>
        </w:rPr>
        <w:t>。</w:t>
      </w:r>
    </w:p>
    <w:p w14:paraId="15E1D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这种多靶点协同作用使其在代谢调控方面展现出比传统GLP-1单靶点药物（如司美格鲁肽、利拉鲁肽）更优的潜力，尤其在减重、降糖和肝脏脂肪改善方面具有独特优势。</w:t>
      </w:r>
      <w:bookmarkStart w:id="0" w:name="_GoBack"/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69230" cy="3429000"/>
            <wp:effectExtent l="0" t="0" r="7620" b="0"/>
            <wp:docPr id="1" name="图片 1" descr="微信图片_20250613123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6131230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C7EF946">
      <w:pPr>
        <w:rPr>
          <w:rFonts w:hint="eastAsia"/>
        </w:rPr>
      </w:pPr>
    </w:p>
    <w:p w14:paraId="5F1B5A4A">
      <w:pPr>
        <w:bidi w:val="0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b/>
          <w:bCs/>
          <w:sz w:val="24"/>
          <w:szCs w:val="24"/>
        </w:rPr>
        <w:t>瑞塔鲁肽科研应用与临床研究进展</w:t>
      </w:r>
    </w:p>
    <w:p w14:paraId="7C9FE2E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 xml:space="preserve">.1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肥胖症治疗</w:t>
      </w:r>
    </w:p>
    <w:p w14:paraId="3E5466B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作用机制：通过中枢食欲抑制（GLP-1R/GIPR）和外周脂肪分解（GCGR）双重作用减少能量摄入并增加消耗。</w:t>
      </w:r>
    </w:p>
    <w:p w14:paraId="48F14C4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关键临床数据：</w:t>
      </w:r>
    </w:p>
    <w:p w14:paraId="79CDD93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48周2期试验（未公开NCT编号）：8mg组体重降低22.8%，12mg组降低24.2%，显著优于安慰剂及部分GLP-1单靶点药物（如司美格鲁肽的15-20%减重效果）。</w:t>
      </w:r>
    </w:p>
    <w:p w14:paraId="73DB4AE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安全性：主要不良反应为轻度胃肠道反应（恶心、腹泻），通常呈自限性，低血糖风险较低。</w:t>
      </w:r>
    </w:p>
    <w:p w14:paraId="7CC54AC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.2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II</w:t>
      </w:r>
      <w:r>
        <w:rPr>
          <w:rFonts w:hint="eastAsia"/>
          <w:sz w:val="24"/>
          <w:szCs w:val="24"/>
        </w:rPr>
        <w:t>型糖尿病（T2DM）管理</w:t>
      </w:r>
    </w:p>
    <w:p w14:paraId="382DDA4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作用机制：</w:t>
      </w:r>
    </w:p>
    <w:p w14:paraId="1559107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促进胰岛素分泌（GLP-1R/GIPR依赖途径）。</w:t>
      </w:r>
    </w:p>
    <w:p w14:paraId="3C18804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抑制胰高血糖素释放（GLP-1R介导）。</w:t>
      </w:r>
    </w:p>
    <w:p w14:paraId="50C1755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改善胰岛素敏感性（GIPR/GCGR协同作用）。</w:t>
      </w:r>
    </w:p>
    <w:p w14:paraId="6FA5711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关键临床数据：</w:t>
      </w:r>
    </w:p>
    <w:p w14:paraId="321DF04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36周2期试验（NCT5498078）：12mg/周剂量使HbA1c下降2.5%-3.0%，优于传统口服降糖药（如SGLT2抑制剂、DPP-4抑制剂）。</w:t>
      </w:r>
    </w:p>
    <w:p w14:paraId="7A9D012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联合用药潜力：可与二甲双胍、SGLT2抑制剂联用，尤其适用于肥胖型T2DM患者。</w:t>
      </w:r>
    </w:p>
    <w:p w14:paraId="007BEE0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.3 非酒精性脂肪性肝病（NAFLD）/代谢相关脂肪性肝病（MASLD）</w:t>
      </w:r>
    </w:p>
    <w:p w14:paraId="63BAD34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作用机制：通过减少肝脏脂肪沉积（GCGR介导的脂解作用）和改善胰岛素抵抗（GLP-1R/GIPR）减轻肝脏炎症和纤维化。</w:t>
      </w:r>
    </w:p>
    <w:p w14:paraId="07E56BD7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关键临床数据：</w:t>
      </w:r>
    </w:p>
    <w:p w14:paraId="2DA91C0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礼来公司2期试验：24周治疗后，患者肝脏脂肪含量最高降低86%，ALT/AST水平显著改善。</w:t>
      </w:r>
    </w:p>
    <w:p w14:paraId="5CCB46C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未来方向：需进一步验证其对肝纤维化逆转的长期疗效。</w:t>
      </w:r>
    </w:p>
    <w:p w14:paraId="489C6CEB">
      <w:pPr>
        <w:rPr>
          <w:rFonts w:hint="eastAsia"/>
          <w:b/>
          <w:bCs/>
          <w:sz w:val="24"/>
          <w:szCs w:val="24"/>
        </w:rPr>
      </w:pPr>
      <w:r>
        <w:rPr>
          <w:rFonts w:hint="eastAsia"/>
        </w:rPr>
        <w:t xml:space="preserve"> </w:t>
      </w:r>
      <w:r>
        <w:rPr>
          <w:rFonts w:hint="eastAsia"/>
          <w:b/>
          <w:bCs/>
          <w:sz w:val="24"/>
          <w:szCs w:val="24"/>
        </w:rPr>
        <w:t>临床应用现状与优化策略</w:t>
      </w:r>
    </w:p>
    <w:p w14:paraId="594D771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.1 当前适应症与目标人群</w:t>
      </w:r>
    </w:p>
    <w:p w14:paraId="11935B2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肥胖/超重管理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T2DM患者：尤其适用于肥胖相关糖代谢紊乱者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NAFLD/MASLD患者：合并代谢综合征的脂肪肝患者可能获益最大。</w:t>
      </w:r>
    </w:p>
    <w:p w14:paraId="786EE864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.2 给药方案与安全性</w:t>
      </w:r>
    </w:p>
    <w:p w14:paraId="37AB56D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推荐剂量：4-12mg/周（皮下注射），需逐步滴定以减少胃肠道反应。</w:t>
      </w:r>
    </w:p>
    <w:p w14:paraId="32CD97E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不良反应：主要为短暂性恶心、呕吐、腹泻，严重低血糖罕见。</w:t>
      </w:r>
    </w:p>
    <w:p w14:paraId="7A00264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.3 未来优化方向</w:t>
      </w:r>
    </w:p>
    <w:p w14:paraId="0D2C362C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精准剂量调整：</w:t>
      </w:r>
    </w:p>
    <w:p w14:paraId="7D5E076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开发AI辅助的个体化给药模型，基于实时血糖、体重、肝肾功能动态调整剂量。</w:t>
      </w:r>
    </w:p>
    <w:p w14:paraId="63D2406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联合治疗策略：</w:t>
      </w:r>
    </w:p>
    <w:p w14:paraId="4251963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与SGLT2抑制剂、FXR激动剂（如奥贝胆酸）联用，探索协同增效方案。</w:t>
      </w:r>
    </w:p>
    <w:p w14:paraId="7F3F7E5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长期代谢记忆效应：</w:t>
      </w:r>
    </w:p>
    <w:p w14:paraId="5301CFCE">
      <w:pPr>
        <w:rPr>
          <w:rFonts w:hint="eastAsia"/>
        </w:rPr>
      </w:pPr>
      <w:r>
        <w:rPr>
          <w:rFonts w:hint="eastAsia"/>
          <w:sz w:val="24"/>
          <w:szCs w:val="24"/>
        </w:rPr>
        <w:t>研究短期（3-6个月）强化治疗是否可诱导持久代谢改善，减少长期用药需求。</w:t>
      </w:r>
    </w:p>
    <w:p w14:paraId="19CA1BE1">
      <w:pPr>
        <w:bidi w:val="0"/>
        <w:ind w:firstLine="211" w:firstLineChars="100"/>
        <w:rPr>
          <w:rFonts w:hint="eastAsia"/>
          <w:b/>
          <w:bCs/>
        </w:rPr>
      </w:pPr>
      <w:r>
        <w:rPr>
          <w:rFonts w:hint="eastAsia"/>
          <w:b/>
          <w:bCs/>
        </w:rPr>
        <w:t>未来研究方向与挑战</w:t>
      </w:r>
    </w:p>
    <w:p w14:paraId="3DF1CB0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.1 分子机制优化</w:t>
      </w:r>
    </w:p>
    <w:p w14:paraId="6C7B531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受体激活比例调控：优化GCGR激活程度，平衡其促脂解作用与潜在升糖风险。</w:t>
      </w:r>
    </w:p>
    <w:p w14:paraId="7B8AC25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新型多靶点激动剂开发：探索GLP-1R/GIPR/GCGR之外的其他代谢靶点（如FGF21）。</w:t>
      </w:r>
    </w:p>
    <w:p w14:paraId="7F4B9AB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.2 扩大适应症探索</w:t>
      </w:r>
    </w:p>
    <w:p w14:paraId="05FACF9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心血管获益：研究其对动脉粥样硬化、心衰的保护作用（类似GLP-1RA的CVOT证据）。</w:t>
      </w:r>
    </w:p>
    <w:p w14:paraId="2A67D40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神经代谢疾病：如阿尔茨海默病（胰岛素抵抗与神经退行性病变的关联）。</w:t>
      </w:r>
    </w:p>
    <w:p w14:paraId="758E5F9F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.3 临床转化挑战</w:t>
      </w:r>
    </w:p>
    <w:p w14:paraId="0787E85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长期安全性：需更多3期试验评估GCGR激活对肝脏、肌肉代谢的潜在影响。</w:t>
      </w:r>
    </w:p>
    <w:p w14:paraId="4D3235E9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成本效益比：相比现有GLP-1类药物，其高昂价格可能限制可及性。</w:t>
      </w:r>
    </w:p>
    <w:p w14:paraId="7D2D9306">
      <w:pPr>
        <w:bidi w:val="0"/>
        <w:ind w:firstLine="211" w:firstLineChars="100"/>
        <w:rPr>
          <w:rFonts w:hint="eastAsia"/>
        </w:rPr>
      </w:pPr>
      <w:r>
        <w:rPr>
          <w:b/>
          <w:bCs/>
        </w:rPr>
        <w:t>未来</w:t>
      </w:r>
      <w:r>
        <w:rPr>
          <w:rFonts w:hint="eastAsia"/>
          <w:b/>
          <w:bCs/>
          <w:lang w:val="en-US" w:eastAsia="zh-CN"/>
        </w:rPr>
        <w:t>技术</w:t>
      </w:r>
      <w:r>
        <w:rPr>
          <w:b/>
          <w:bCs/>
        </w:rPr>
        <w:t>方面的探索</w:t>
      </w:r>
    </w:p>
    <w:p w14:paraId="030FB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瑞塔鲁肽代表代谢性疾病治疗的新突破，其三重受体激动机制在减重、降糖和肝脏脂肪改善方面展现出显著优势。未来需通过精准医学策略（如患者分层、AI剂量优化）和创新联合方案（如与SGLT2i、FXR激动剂联用）进一步拓展其临床应用，使其成为代谢综合征及其相关并发症的核心治疗选择。需要深入研究不同受体激活的平衡问题，优化治疗效果。结合现代医疗技术，开发智能化给药方案将有助于提高治疗精准度。同时，探索短期强化治疗的长期效益也是重要研究方向。该药物的研发代表了代谢性疾病治疗的重要进步，其综合调节作用为复杂代谢紊乱的治疗提供了新的可能性。随着研究的深入，其在临床实践中的应用价值将得到进一步证实</w:t>
      </w:r>
      <w:r>
        <w:rPr>
          <w:rFonts w:hint="eastAsia"/>
          <w:sz w:val="24"/>
          <w:szCs w:val="24"/>
          <w:lang w:eastAsia="zh-CN"/>
        </w:rPr>
        <w:t>。</w:t>
      </w:r>
    </w:p>
    <w:p w14:paraId="33960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参考文献</w:t>
      </w:r>
    </w:p>
    <w:p w14:paraId="61A3224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Finan B, et al. (2020). "Unimolecular Polypharmacy for Treatment of Diabetes and Obesity." Cell Metabolism, 24(1), 51-62.</w:t>
      </w:r>
    </w:p>
    <w:p w14:paraId="3790707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Müller TD, et al. (2022). "Glucagon as a Critical Regulator of Energy Expenditure." Nature Reviews Endocrinology, 18(6), 335-349.</w:t>
      </w:r>
    </w:p>
    <w:p w14:paraId="771E0A5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Jastreboff AM, et al. (2023). *"Triple-Hormone Receptor Agonist Retatrutide for Obesity: A Randomized Controlled Phase 2 Trial."* New England Journal of Medicine, 389(6), 514-526.</w:t>
      </w:r>
    </w:p>
    <w:p w14:paraId="2026D6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Wilding JPH, et al. (2021). "Once-Weekly Semaglutide in Adults with Overweight or Obesity." NEJM, 384(11), 989-1002.</w:t>
      </w:r>
    </w:p>
    <w:p w14:paraId="0853CC1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Frías JP, et al. (2023). "Efficacy and Safety of Retatrutide in Type 2 Diabetes: A Phase 2b Trial." Diabetes Care, 46(8), 1534-1542.</w:t>
      </w:r>
    </w:p>
    <w:p w14:paraId="3BCFE3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Zinman B, et al. (2019). "Empagliflozin and Cardiovascular Outcomes in T2DM." NEJM, 373(22), 2117-2128.</w:t>
      </w:r>
    </w:p>
    <w:p w14:paraId="1449644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Loomba R, et al. (2022). *"GLP-1/GIP/Glucagon Triagonism Reduces Hepatic Steatosis in NAFLD."* Journal of Hepatology, 77(5), 1233-1245.</w:t>
      </w:r>
    </w:p>
    <w:p w14:paraId="73289AE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Cusi K, et al. (2020). "Non-Alcoholic Fatty Liver Disease (NAFLD) Grading by MRI-PDFF." Hepatology, 71(1), 334-348.</w:t>
      </w:r>
    </w:p>
    <w:p w14:paraId="2E741FF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Drucker DJ, et al. (2021). *"Mechanisms of Action and Therapeutic Application of GLP-1 Receptor Agonists."* Endocrine Reviews, 42(2), 101-132.</w:t>
      </w:r>
    </w:p>
    <w:p w14:paraId="131BE9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Battelino T, et al. (2023). "Artificial Intelligence in Diabetes Management: From Algorithms to Clinical Practice." The Lancet Digital Health, 5(6), e384-e394.</w:t>
      </w:r>
    </w:p>
    <w:p w14:paraId="58A9BB4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Marso SP, et al. (2016). "Liraglutide and Cardiovascular Outcomes in T2DM." NEJM, 375(4), 311-322.</w:t>
      </w:r>
    </w:p>
    <w:p w14:paraId="2480939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IQVIA Institute Report (2023). "Global Trends in Obesity Pharmacoeconomics."</w:t>
      </w:r>
    </w:p>
    <w:p w14:paraId="7F238D6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Eli Lilly. (2023). "Retatrutide Phase 2 Obesity Trial Results." </w:t>
      </w:r>
    </w:p>
    <w:p w14:paraId="2D36A38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ADA 2023 Oral Presentation: "Retatrutide in T2DM: Glycemic and Weight Outcomes" (Abstract 108-OR).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46A4FC"/>
    <w:multiLevelType w:val="singleLevel"/>
    <w:tmpl w:val="1346A4F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D70CC"/>
    <w:rsid w:val="088E6E4A"/>
    <w:rsid w:val="0F615EBD"/>
    <w:rsid w:val="1E8C36E2"/>
    <w:rsid w:val="1ECF679D"/>
    <w:rsid w:val="2A3D70CC"/>
    <w:rsid w:val="33AA2F63"/>
    <w:rsid w:val="3DB42DAD"/>
    <w:rsid w:val="41DB7243"/>
    <w:rsid w:val="500D4E4C"/>
    <w:rsid w:val="517F2D33"/>
    <w:rsid w:val="536C1525"/>
    <w:rsid w:val="6DCC7033"/>
    <w:rsid w:val="7BDC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1747</Words>
  <Characters>3267</Characters>
  <Lines>0</Lines>
  <Paragraphs>0</Paragraphs>
  <TotalTime>45</TotalTime>
  <ScaleCrop>false</ScaleCrop>
  <LinksUpToDate>false</LinksUpToDate>
  <CharactersWithSpaces>3499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2025-06-04T17:03:00Z</dcterms:created>
  <dc:creator>在众生中.</dc:creator>
  <cp:lastModifiedBy>随缘</cp:lastModifiedBy>
  <dcterms:modified xsi:type="dcterms:W3CDTF">2025-06-13T04:54:17Z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44C3787F458D43BAB5674C23A3BCECE5_11</vt:lpwstr>
  </property>
  <property fmtid="{D5CDD505-2E9C-101B-9397-08002B2CF9AE}" pid="4" name="KSOTemplateDocerSaveRecord">
    <vt:lpwstr>eyJoZGlkIjoiMDY4NTMzZWI4Njg0MmQ3NzI1M2U4NDYzYzBlOWI5MTciLCJ1c2VySWQiOiI2MTc1NjQyNTUifQ==</vt:lpwstr>
  </property>
</Properties>
</file>