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0A743D7">
      <w:pPr>
        <w:pStyle w:val="31"/>
        <w:spacing w:line="240" w:lineRule="auto"/>
        <w:ind w:firstLine="600"/>
        <w:jc w:val="center"/>
        <w:textAlignment w:val="center"/>
      </w:pPr>
      <w:r>
        <w:rPr>
          <w:rFonts w:ascii="黑体" w:hAnsi="黑体" w:eastAsia="黑体" w:cs="黑体"/>
          <w:b/>
          <w:color w:val="000000"/>
          <w:sz w:val="44"/>
        </w:rPr>
        <w:t>2025年执业药师真题含答案</w:t>
      </w:r>
    </w:p>
    <w:p w14:paraId="3B75E55F">
      <w:pPr>
        <w:spacing w:line="240" w:lineRule="auto"/>
        <w:ind w:firstLine="600"/>
        <w:rPr>
          <w:sz w:val="28"/>
        </w:rPr>
      </w:pPr>
      <w:bookmarkStart w:id="0" w:name="_GoBack"/>
      <w:bookmarkEnd w:id="0"/>
      <w:r>
        <w:rPr>
          <w:rFonts w:ascii="黑体" w:hAnsi="黑体" w:eastAsia="黑体" w:cs="黑体"/>
          <w:color w:val="000000"/>
          <w:sz w:val="28"/>
        </w:rPr>
        <w:t xml:space="preserve"> 药学专业知识（一）</w:t>
      </w:r>
    </w:p>
    <w:p w14:paraId="5D7EC74C">
      <w:pPr>
        <w:spacing w:line="240" w:lineRule="auto"/>
        <w:ind w:firstLine="600"/>
        <w:rPr>
          <w:sz w:val="28"/>
        </w:rPr>
      </w:pPr>
      <w:r>
        <w:rPr>
          <w:rFonts w:ascii="黑体" w:hAnsi="黑体" w:eastAsia="黑体" w:cs="黑体"/>
          <w:color w:val="000000"/>
          <w:sz w:val="28"/>
        </w:rPr>
        <w:t>1. 关于药品命名的说法，正确的是（  ）</w:t>
      </w:r>
    </w:p>
    <w:p w14:paraId="5E33CF5B">
      <w:pPr>
        <w:spacing w:line="240" w:lineRule="auto"/>
        <w:ind w:firstLine="600"/>
        <w:rPr>
          <w:sz w:val="28"/>
        </w:rPr>
      </w:pPr>
      <w:r>
        <w:rPr>
          <w:rFonts w:ascii="黑体" w:hAnsi="黑体" w:eastAsia="黑体" w:cs="黑体"/>
          <w:color w:val="000000"/>
          <w:sz w:val="28"/>
        </w:rPr>
        <w:t>A. 药品不能申请商品名</w:t>
      </w:r>
    </w:p>
    <w:p w14:paraId="1F4D3E94">
      <w:pPr>
        <w:spacing w:line="240" w:lineRule="auto"/>
        <w:ind w:firstLine="600"/>
        <w:rPr>
          <w:sz w:val="28"/>
        </w:rPr>
      </w:pPr>
      <w:r>
        <w:rPr>
          <w:rFonts w:ascii="黑体" w:hAnsi="黑体" w:eastAsia="黑体" w:cs="黑体"/>
          <w:color w:val="000000"/>
          <w:sz w:val="28"/>
        </w:rPr>
        <w:t>B. 药品通用名可以申请专利和行政保护</w:t>
      </w:r>
    </w:p>
    <w:p w14:paraId="2C7168E9">
      <w:pPr>
        <w:spacing w:line="240" w:lineRule="auto"/>
        <w:ind w:firstLine="600"/>
        <w:rPr>
          <w:sz w:val="28"/>
        </w:rPr>
      </w:pPr>
      <w:r>
        <w:rPr>
          <w:rFonts w:ascii="黑体" w:hAnsi="黑体" w:eastAsia="黑体" w:cs="黑体"/>
          <w:color w:val="000000"/>
          <w:sz w:val="28"/>
        </w:rPr>
        <w:t>C. 药品化学名是国际非专利药品名称</w:t>
      </w:r>
    </w:p>
    <w:p w14:paraId="5B9459AA">
      <w:pPr>
        <w:spacing w:line="240" w:lineRule="auto"/>
        <w:ind w:firstLine="600"/>
        <w:rPr>
          <w:sz w:val="28"/>
        </w:rPr>
      </w:pPr>
      <w:r>
        <w:rPr>
          <w:rFonts w:ascii="黑体" w:hAnsi="黑体" w:eastAsia="黑体" w:cs="黑体"/>
          <w:color w:val="000000"/>
          <w:sz w:val="28"/>
        </w:rPr>
        <w:t>D. 制剂一般采用商品名加剂型名</w:t>
      </w:r>
    </w:p>
    <w:p w14:paraId="2CD4463C">
      <w:pPr>
        <w:spacing w:line="240" w:lineRule="auto"/>
        <w:ind w:firstLine="600"/>
        <w:rPr>
          <w:sz w:val="28"/>
        </w:rPr>
      </w:pPr>
      <w:r>
        <w:rPr>
          <w:rFonts w:ascii="黑体" w:hAnsi="黑体" w:eastAsia="黑体" w:cs="黑体"/>
          <w:color w:val="000000"/>
          <w:sz w:val="28"/>
        </w:rPr>
        <w:t>E. 药典中使用的名称是药品通用名</w:t>
      </w:r>
    </w:p>
    <w:p w14:paraId="2AF0C4EF">
      <w:pPr>
        <w:spacing w:line="240" w:lineRule="auto"/>
        <w:ind w:firstLine="600"/>
        <w:rPr>
          <w:sz w:val="28"/>
        </w:rPr>
      </w:pPr>
      <w:r>
        <w:rPr>
          <w:rFonts w:ascii="黑体" w:hAnsi="黑体" w:eastAsia="黑体" w:cs="黑体"/>
          <w:color w:val="000000"/>
          <w:sz w:val="28"/>
        </w:rPr>
        <w:t>答案：E</w:t>
      </w:r>
    </w:p>
    <w:p w14:paraId="06B5847C">
      <w:pPr>
        <w:spacing w:line="240" w:lineRule="auto"/>
        <w:ind w:firstLine="600"/>
        <w:rPr>
          <w:sz w:val="28"/>
        </w:rPr>
      </w:pPr>
      <w:r>
        <w:rPr>
          <w:rFonts w:ascii="黑体" w:hAnsi="黑体" w:eastAsia="黑体" w:cs="黑体"/>
          <w:color w:val="000000"/>
          <w:sz w:val="28"/>
        </w:rPr>
        <w:t>解析：药品可以申请商品名，A 错误；药品通用名不能申请专利和行政保护，B 错误；国际非专利药品名称是通用名，不是化学名，C 错误；制剂一般采用通用名加剂型名，D 错误；药典中使用的名称是药品通用名，E 正确。</w:t>
      </w:r>
    </w:p>
    <w:p w14:paraId="0B14A378">
      <w:pPr>
        <w:spacing w:line="240" w:lineRule="auto"/>
        <w:ind w:firstLine="600"/>
        <w:rPr>
          <w:sz w:val="28"/>
        </w:rPr>
      </w:pPr>
      <w:r>
        <w:rPr>
          <w:rFonts w:ascii="黑体" w:hAnsi="黑体" w:eastAsia="黑体" w:cs="黑体"/>
          <w:color w:val="000000"/>
          <w:sz w:val="28"/>
        </w:rPr>
        <w:t>2. 属于非卤代的苯氧戊酸衍生物的降血脂药物是（  ）</w:t>
      </w:r>
    </w:p>
    <w:p w14:paraId="6FD52805">
      <w:pPr>
        <w:spacing w:line="240" w:lineRule="auto"/>
        <w:ind w:firstLine="600"/>
        <w:rPr>
          <w:sz w:val="28"/>
        </w:rPr>
      </w:pPr>
      <w:r>
        <w:rPr>
          <w:rFonts w:ascii="黑体" w:hAnsi="黑体" w:eastAsia="黑体" w:cs="黑体"/>
          <w:color w:val="000000"/>
          <w:sz w:val="28"/>
        </w:rPr>
        <w:t>A. 氯贝丁酯</w:t>
      </w:r>
    </w:p>
    <w:p w14:paraId="34B85996">
      <w:pPr>
        <w:spacing w:line="240" w:lineRule="auto"/>
        <w:ind w:firstLine="600"/>
        <w:rPr>
          <w:sz w:val="28"/>
        </w:rPr>
      </w:pPr>
      <w:r>
        <w:rPr>
          <w:rFonts w:ascii="黑体" w:hAnsi="黑体" w:eastAsia="黑体" w:cs="黑体"/>
          <w:color w:val="000000"/>
          <w:sz w:val="28"/>
        </w:rPr>
        <w:t>B. 非诺贝特</w:t>
      </w:r>
    </w:p>
    <w:p w14:paraId="2358741C">
      <w:pPr>
        <w:spacing w:line="240" w:lineRule="auto"/>
        <w:ind w:firstLine="600"/>
        <w:rPr>
          <w:sz w:val="28"/>
        </w:rPr>
      </w:pPr>
      <w:r>
        <w:rPr>
          <w:rFonts w:ascii="黑体" w:hAnsi="黑体" w:eastAsia="黑体" w:cs="黑体"/>
          <w:color w:val="000000"/>
          <w:sz w:val="28"/>
        </w:rPr>
        <w:t>C. 辛伐他汀</w:t>
      </w:r>
    </w:p>
    <w:p w14:paraId="450CB641">
      <w:pPr>
        <w:spacing w:line="240" w:lineRule="auto"/>
        <w:ind w:firstLine="600"/>
        <w:rPr>
          <w:sz w:val="28"/>
        </w:rPr>
      </w:pPr>
      <w:r>
        <w:rPr>
          <w:rFonts w:ascii="黑体" w:hAnsi="黑体" w:eastAsia="黑体" w:cs="黑体"/>
          <w:color w:val="000000"/>
          <w:sz w:val="28"/>
        </w:rPr>
        <w:t>D. 吉非罗齐</w:t>
      </w:r>
    </w:p>
    <w:p w14:paraId="6E89E164">
      <w:pPr>
        <w:spacing w:line="240" w:lineRule="auto"/>
        <w:ind w:firstLine="600"/>
        <w:rPr>
          <w:sz w:val="28"/>
        </w:rPr>
      </w:pPr>
      <w:r>
        <w:rPr>
          <w:rFonts w:ascii="黑体" w:hAnsi="黑体" w:eastAsia="黑体" w:cs="黑体"/>
          <w:color w:val="000000"/>
          <w:sz w:val="28"/>
        </w:rPr>
        <w:t>E. 氟伐他汀</w:t>
      </w:r>
    </w:p>
    <w:p w14:paraId="26D79A96">
      <w:pPr>
        <w:spacing w:line="240" w:lineRule="auto"/>
        <w:ind w:firstLine="600"/>
        <w:rPr>
          <w:sz w:val="28"/>
        </w:rPr>
      </w:pPr>
      <w:r>
        <w:rPr>
          <w:rFonts w:ascii="黑体" w:hAnsi="黑体" w:eastAsia="黑体" w:cs="黑体"/>
          <w:color w:val="000000"/>
          <w:sz w:val="28"/>
        </w:rPr>
        <w:t>答案：D</w:t>
      </w:r>
    </w:p>
    <w:p w14:paraId="01BFC93D">
      <w:pPr>
        <w:spacing w:line="240" w:lineRule="auto"/>
        <w:ind w:firstLine="600"/>
        <w:rPr>
          <w:sz w:val="28"/>
        </w:rPr>
      </w:pPr>
      <w:r>
        <w:rPr>
          <w:rFonts w:ascii="黑体" w:hAnsi="黑体" w:eastAsia="黑体" w:cs="黑体"/>
          <w:color w:val="000000"/>
          <w:sz w:val="28"/>
        </w:rPr>
        <w:t>解析：氯贝丁酯是卤代的苯氧乙酸衍生物，A 错误；非诺贝特是卤代的苯氧戊酸衍生物，B 错误；辛伐他汀属于他汀类降血脂药，C 错误；吉非罗齐是非卤代的苯氧戊酸衍生物，D 正确；氟伐他汀是他汀类降血脂药，E 错误。</w:t>
      </w:r>
    </w:p>
    <w:p w14:paraId="1FDBA799">
      <w:pPr>
        <w:spacing w:line="240" w:lineRule="auto"/>
        <w:ind w:firstLine="600"/>
        <w:rPr>
          <w:sz w:val="28"/>
        </w:rPr>
      </w:pPr>
      <w:r>
        <w:rPr>
          <w:rFonts w:ascii="黑体" w:hAnsi="黑体" w:eastAsia="黑体" w:cs="黑体"/>
          <w:color w:val="000000"/>
          <w:sz w:val="28"/>
        </w:rPr>
        <w:t>3. 关于药物经皮吸收及其影响因素的说法，错误的是（  ）</w:t>
      </w:r>
    </w:p>
    <w:p w14:paraId="35948D1E">
      <w:pPr>
        <w:spacing w:line="240" w:lineRule="auto"/>
        <w:ind w:firstLine="600"/>
        <w:rPr>
          <w:sz w:val="28"/>
        </w:rPr>
      </w:pPr>
      <w:r>
        <w:rPr>
          <w:rFonts w:ascii="黑体" w:hAnsi="黑体" w:eastAsia="黑体" w:cs="黑体"/>
          <w:color w:val="000000"/>
          <w:sz w:val="28"/>
        </w:rPr>
        <w:t>A. 药物在皮肤内蓄积作用有利于皮肤疾病的治疗</w:t>
      </w:r>
    </w:p>
    <w:p w14:paraId="375AF3E0">
      <w:pPr>
        <w:spacing w:line="240" w:lineRule="auto"/>
        <w:ind w:firstLine="600"/>
        <w:rPr>
          <w:sz w:val="28"/>
        </w:rPr>
      </w:pPr>
      <w:r>
        <w:rPr>
          <w:rFonts w:ascii="黑体" w:hAnsi="黑体" w:eastAsia="黑体" w:cs="黑体"/>
          <w:color w:val="000000"/>
          <w:sz w:val="28"/>
        </w:rPr>
        <w:t>B. 汗液可使角质层水化从而增大角质层的通透性</w:t>
      </w:r>
    </w:p>
    <w:p w14:paraId="40399C91">
      <w:pPr>
        <w:spacing w:line="240" w:lineRule="auto"/>
        <w:ind w:firstLine="600"/>
        <w:rPr>
          <w:sz w:val="28"/>
        </w:rPr>
      </w:pPr>
      <w:r>
        <w:rPr>
          <w:rFonts w:ascii="黑体" w:hAnsi="黑体" w:eastAsia="黑体" w:cs="黑体"/>
          <w:color w:val="000000"/>
          <w:sz w:val="28"/>
        </w:rPr>
        <w:t>C. 皮肤给药只能发挥局部治疗作用</w:t>
      </w:r>
    </w:p>
    <w:p w14:paraId="52EE8BAE">
      <w:pPr>
        <w:spacing w:line="240" w:lineRule="auto"/>
        <w:ind w:firstLine="600"/>
        <w:rPr>
          <w:sz w:val="28"/>
        </w:rPr>
      </w:pPr>
      <w:r>
        <w:rPr>
          <w:rFonts w:ascii="黑体" w:hAnsi="黑体" w:eastAsia="黑体" w:cs="黑体"/>
          <w:color w:val="000000"/>
          <w:sz w:val="28"/>
        </w:rPr>
        <w:t>D. 真皮上部存在毛细血管系统，药物到达真皮即可很快地被吸收</w:t>
      </w:r>
    </w:p>
    <w:p w14:paraId="14C19A11">
      <w:pPr>
        <w:spacing w:line="240" w:lineRule="auto"/>
        <w:ind w:firstLine="600"/>
        <w:rPr>
          <w:sz w:val="28"/>
        </w:rPr>
      </w:pPr>
      <w:r>
        <w:rPr>
          <w:rFonts w:ascii="黑体" w:hAnsi="黑体" w:eastAsia="黑体" w:cs="黑体"/>
          <w:color w:val="000000"/>
          <w:sz w:val="28"/>
        </w:rPr>
        <w:t>E. 药物经皮肤附属器的吸收不是经皮吸收的主要途径</w:t>
      </w:r>
    </w:p>
    <w:p w14:paraId="1C025B96">
      <w:pPr>
        <w:spacing w:line="240" w:lineRule="auto"/>
        <w:ind w:firstLine="600"/>
        <w:rPr>
          <w:sz w:val="28"/>
        </w:rPr>
      </w:pPr>
      <w:r>
        <w:rPr>
          <w:rFonts w:ascii="黑体" w:hAnsi="黑体" w:eastAsia="黑体" w:cs="黑体"/>
          <w:color w:val="000000"/>
          <w:sz w:val="28"/>
        </w:rPr>
        <w:t>答案：C</w:t>
      </w:r>
    </w:p>
    <w:p w14:paraId="20F160FC">
      <w:pPr>
        <w:spacing w:line="240" w:lineRule="auto"/>
        <w:ind w:firstLine="600"/>
        <w:rPr>
          <w:sz w:val="28"/>
        </w:rPr>
      </w:pPr>
      <w:r>
        <w:rPr>
          <w:rFonts w:ascii="黑体" w:hAnsi="黑体" w:eastAsia="黑体" w:cs="黑体"/>
          <w:color w:val="000000"/>
          <w:sz w:val="28"/>
        </w:rPr>
        <w:t>解析：药物在皮肤内蓄积作用有利于皮肤疾病的治疗，A 正确；汗液可使角质层水化从而增大角质层的通透性，B 正确；皮肤给药不仅可以发挥局部治疗作用，也可发挥全身治疗作用，C 错误；真皮上部存在毛细血管系统，药物到达真皮即可很快地被吸收，D 正确；药物经皮肤附属器的吸收不是经皮吸收的主要途径，E 正确。</w:t>
      </w:r>
    </w:p>
    <w:p w14:paraId="4025C436">
      <w:pPr>
        <w:spacing w:line="240" w:lineRule="auto"/>
        <w:ind w:firstLine="600"/>
        <w:rPr>
          <w:sz w:val="28"/>
        </w:rPr>
      </w:pPr>
      <w:r>
        <w:rPr>
          <w:rFonts w:ascii="黑体" w:hAnsi="黑体" w:eastAsia="黑体" w:cs="黑体"/>
          <w:color w:val="000000"/>
          <w:sz w:val="28"/>
        </w:rPr>
        <w:t>4. 关于眼用制剂的说法，错误的是（  ）</w:t>
      </w:r>
    </w:p>
    <w:p w14:paraId="342E9C4A">
      <w:pPr>
        <w:spacing w:line="240" w:lineRule="auto"/>
        <w:ind w:firstLine="600"/>
        <w:rPr>
          <w:sz w:val="28"/>
        </w:rPr>
      </w:pPr>
      <w:r>
        <w:rPr>
          <w:rFonts w:ascii="黑体" w:hAnsi="黑体" w:eastAsia="黑体" w:cs="黑体"/>
          <w:color w:val="000000"/>
          <w:sz w:val="28"/>
        </w:rPr>
        <w:t>A. 滴眼液应与泪液等渗</w:t>
      </w:r>
    </w:p>
    <w:p w14:paraId="41288C85">
      <w:pPr>
        <w:spacing w:line="240" w:lineRule="auto"/>
        <w:ind w:firstLine="600"/>
        <w:rPr>
          <w:sz w:val="28"/>
        </w:rPr>
      </w:pPr>
      <w:r>
        <w:rPr>
          <w:rFonts w:ascii="黑体" w:hAnsi="黑体" w:eastAsia="黑体" w:cs="黑体"/>
          <w:color w:val="000000"/>
          <w:sz w:val="28"/>
        </w:rPr>
        <w:t>B. 混悬型滴眼液用前需充分混匀</w:t>
      </w:r>
    </w:p>
    <w:p w14:paraId="0B17CF41">
      <w:pPr>
        <w:spacing w:line="240" w:lineRule="auto"/>
        <w:ind w:firstLine="600"/>
        <w:rPr>
          <w:sz w:val="28"/>
        </w:rPr>
      </w:pPr>
      <w:r>
        <w:rPr>
          <w:rFonts w:ascii="黑体" w:hAnsi="黑体" w:eastAsia="黑体" w:cs="黑体"/>
          <w:color w:val="000000"/>
          <w:sz w:val="28"/>
        </w:rPr>
        <w:t>C. 增大滴眼液的黏度，有利于提高药效</w:t>
      </w:r>
    </w:p>
    <w:p w14:paraId="002F4237">
      <w:pPr>
        <w:spacing w:line="240" w:lineRule="auto"/>
        <w:ind w:firstLine="600"/>
        <w:rPr>
          <w:sz w:val="28"/>
        </w:rPr>
      </w:pPr>
      <w:r>
        <w:rPr>
          <w:rFonts w:ascii="黑体" w:hAnsi="黑体" w:eastAsia="黑体" w:cs="黑体"/>
          <w:color w:val="000000"/>
          <w:sz w:val="28"/>
        </w:rPr>
        <w:t>D. 用于手术后的眼用制剂必须保证无菌，应加入适量抑菌剂</w:t>
      </w:r>
    </w:p>
    <w:p w14:paraId="313CC275">
      <w:pPr>
        <w:spacing w:line="240" w:lineRule="auto"/>
        <w:ind w:firstLine="600"/>
        <w:rPr>
          <w:sz w:val="28"/>
        </w:rPr>
      </w:pPr>
      <w:r>
        <w:rPr>
          <w:rFonts w:ascii="黑体" w:hAnsi="黑体" w:eastAsia="黑体" w:cs="黑体"/>
          <w:color w:val="000000"/>
          <w:sz w:val="28"/>
        </w:rPr>
        <w:t>E. 为减小刺激性，滴眼液应使用缓冲液调节溶液的 pH，使其在生理耐受范围</w:t>
      </w:r>
    </w:p>
    <w:p w14:paraId="2F228164">
      <w:pPr>
        <w:spacing w:line="240" w:lineRule="auto"/>
        <w:ind w:firstLine="600"/>
        <w:rPr>
          <w:sz w:val="28"/>
        </w:rPr>
      </w:pPr>
      <w:r>
        <w:rPr>
          <w:rFonts w:ascii="黑体" w:hAnsi="黑体" w:eastAsia="黑体" w:cs="黑体"/>
          <w:color w:val="000000"/>
          <w:sz w:val="28"/>
        </w:rPr>
        <w:t>答案：D</w:t>
      </w:r>
    </w:p>
    <w:p w14:paraId="26334DC8">
      <w:pPr>
        <w:spacing w:line="240" w:lineRule="auto"/>
        <w:ind w:firstLine="600"/>
        <w:rPr>
          <w:sz w:val="28"/>
        </w:rPr>
      </w:pPr>
      <w:r>
        <w:rPr>
          <w:rFonts w:ascii="黑体" w:hAnsi="黑体" w:eastAsia="黑体" w:cs="黑体"/>
          <w:color w:val="000000"/>
          <w:sz w:val="28"/>
        </w:rPr>
        <w:t>解析：用于手术后的眼用制剂必须保证无菌，且不得加入抑菌剂，D 错误。其余选项均正确，滴眼液应与泪液等渗，A 正确；混悬型滴眼液用前需充分混匀，B 正确；增大滴眼液的黏度，有利于提高药效，C 正确；为减小刺激性，滴眼液应使用缓冲液调节溶液的 pH，使其在生理耐受范围，E 正确。</w:t>
      </w:r>
    </w:p>
    <w:p w14:paraId="16A76EF7">
      <w:pPr>
        <w:spacing w:line="240" w:lineRule="auto"/>
        <w:ind w:firstLine="600"/>
        <w:rPr>
          <w:sz w:val="28"/>
        </w:rPr>
      </w:pPr>
      <w:r>
        <w:rPr>
          <w:rFonts w:ascii="黑体" w:hAnsi="黑体" w:eastAsia="黑体" w:cs="黑体"/>
          <w:color w:val="000000"/>
          <w:sz w:val="28"/>
        </w:rPr>
        <w:t>5. 药物的剂型对药物的吸收有很大影响，下列剂型中，药物吸收最慢的是（  ）</w:t>
      </w:r>
    </w:p>
    <w:p w14:paraId="420A2392">
      <w:pPr>
        <w:spacing w:line="240" w:lineRule="auto"/>
        <w:ind w:firstLine="600"/>
        <w:rPr>
          <w:sz w:val="28"/>
        </w:rPr>
      </w:pPr>
      <w:r>
        <w:rPr>
          <w:rFonts w:ascii="黑体" w:hAnsi="黑体" w:eastAsia="黑体" w:cs="黑体"/>
          <w:color w:val="000000"/>
          <w:sz w:val="28"/>
        </w:rPr>
        <w:t>A. 溶液剂</w:t>
      </w:r>
    </w:p>
    <w:p w14:paraId="052F1E39">
      <w:pPr>
        <w:spacing w:line="240" w:lineRule="auto"/>
        <w:ind w:firstLine="600"/>
        <w:rPr>
          <w:sz w:val="28"/>
        </w:rPr>
      </w:pPr>
      <w:r>
        <w:rPr>
          <w:rFonts w:ascii="黑体" w:hAnsi="黑体" w:eastAsia="黑体" w:cs="黑体"/>
          <w:color w:val="000000"/>
          <w:sz w:val="28"/>
        </w:rPr>
        <w:t>B. 散剂</w:t>
      </w:r>
    </w:p>
    <w:p w14:paraId="7155941E">
      <w:pPr>
        <w:spacing w:line="240" w:lineRule="auto"/>
        <w:ind w:firstLine="600"/>
        <w:rPr>
          <w:sz w:val="28"/>
        </w:rPr>
      </w:pPr>
      <w:r>
        <w:rPr>
          <w:rFonts w:ascii="黑体" w:hAnsi="黑体" w:eastAsia="黑体" w:cs="黑体"/>
          <w:color w:val="000000"/>
          <w:sz w:val="28"/>
        </w:rPr>
        <w:t>C. 胶囊剂</w:t>
      </w:r>
    </w:p>
    <w:p w14:paraId="58D767BD">
      <w:pPr>
        <w:spacing w:line="240" w:lineRule="auto"/>
        <w:ind w:firstLine="600"/>
        <w:rPr>
          <w:sz w:val="28"/>
        </w:rPr>
      </w:pPr>
      <w:r>
        <w:rPr>
          <w:rFonts w:ascii="黑体" w:hAnsi="黑体" w:eastAsia="黑体" w:cs="黑体"/>
          <w:color w:val="000000"/>
          <w:sz w:val="28"/>
        </w:rPr>
        <w:t>D. 包衣片</w:t>
      </w:r>
    </w:p>
    <w:p w14:paraId="0EA640DA">
      <w:pPr>
        <w:spacing w:line="240" w:lineRule="auto"/>
        <w:ind w:firstLine="600"/>
        <w:rPr>
          <w:sz w:val="28"/>
        </w:rPr>
      </w:pPr>
      <w:r>
        <w:rPr>
          <w:rFonts w:ascii="黑体" w:hAnsi="黑体" w:eastAsia="黑体" w:cs="黑体"/>
          <w:color w:val="000000"/>
          <w:sz w:val="28"/>
        </w:rPr>
        <w:t>E. 混悬液</w:t>
      </w:r>
    </w:p>
    <w:p w14:paraId="5BA78DA7">
      <w:pPr>
        <w:spacing w:line="240" w:lineRule="auto"/>
        <w:ind w:firstLine="600"/>
        <w:rPr>
          <w:sz w:val="28"/>
        </w:rPr>
      </w:pPr>
      <w:r>
        <w:rPr>
          <w:rFonts w:ascii="黑体" w:hAnsi="黑体" w:eastAsia="黑体" w:cs="黑体"/>
          <w:color w:val="000000"/>
          <w:sz w:val="28"/>
        </w:rPr>
        <w:t>答案：D</w:t>
      </w:r>
    </w:p>
    <w:p w14:paraId="67F78E22">
      <w:pPr>
        <w:spacing w:line="240" w:lineRule="auto"/>
        <w:ind w:firstLine="600"/>
        <w:rPr>
          <w:sz w:val="28"/>
        </w:rPr>
      </w:pPr>
      <w:r>
        <w:rPr>
          <w:rFonts w:ascii="黑体" w:hAnsi="黑体" w:eastAsia="黑体" w:cs="黑体"/>
          <w:color w:val="000000"/>
          <w:sz w:val="28"/>
        </w:rPr>
        <w:t>解析：一般来说，药物吸收速度为：溶液剂＞混悬剂＞散剂＞胶囊剂＞片剂＞包衣片。所以药物吸收最慢的是包衣片，D 正确。</w:t>
      </w:r>
    </w:p>
    <w:p w14:paraId="7C02E2EB">
      <w:pPr>
        <w:spacing w:line="240" w:lineRule="auto"/>
        <w:ind w:firstLine="600"/>
        <w:rPr>
          <w:sz w:val="28"/>
        </w:rPr>
      </w:pPr>
      <w:r>
        <w:rPr>
          <w:rFonts w:ascii="黑体" w:hAnsi="黑体" w:eastAsia="黑体" w:cs="黑体"/>
          <w:color w:val="000000"/>
          <w:sz w:val="28"/>
        </w:rPr>
        <w:t xml:space="preserve"> 药学专业知识（二）</w:t>
      </w:r>
    </w:p>
    <w:p w14:paraId="6A0BA629">
      <w:pPr>
        <w:spacing w:line="240" w:lineRule="auto"/>
        <w:ind w:firstLine="600"/>
        <w:rPr>
          <w:sz w:val="28"/>
        </w:rPr>
      </w:pPr>
      <w:r>
        <w:rPr>
          <w:rFonts w:ascii="黑体" w:hAnsi="黑体" w:eastAsia="黑体" w:cs="黑体"/>
          <w:color w:val="000000"/>
          <w:sz w:val="28"/>
        </w:rPr>
        <w:t>6. 患者，男，56 岁，有高血压病史 4 年。体检：血压 156/96mmHg，心率 96 次/分，律齐，无杂音。医生处方依那普利片控制血压。该药物属于（  ）</w:t>
      </w:r>
    </w:p>
    <w:p w14:paraId="28188DA3">
      <w:pPr>
        <w:spacing w:line="240" w:lineRule="auto"/>
        <w:ind w:firstLine="600"/>
        <w:rPr>
          <w:sz w:val="28"/>
        </w:rPr>
      </w:pPr>
      <w:r>
        <w:rPr>
          <w:rFonts w:ascii="黑体" w:hAnsi="黑体" w:eastAsia="黑体" w:cs="黑体"/>
          <w:color w:val="000000"/>
          <w:sz w:val="28"/>
        </w:rPr>
        <w:t>A. 血管紧张素Ⅱ受体阻断剂</w:t>
      </w:r>
    </w:p>
    <w:p w14:paraId="4EA54FAB">
      <w:pPr>
        <w:spacing w:line="240" w:lineRule="auto"/>
        <w:ind w:firstLine="600"/>
        <w:rPr>
          <w:sz w:val="28"/>
        </w:rPr>
      </w:pPr>
      <w:r>
        <w:rPr>
          <w:rFonts w:ascii="黑体" w:hAnsi="黑体" w:eastAsia="黑体" w:cs="黑体"/>
          <w:color w:val="000000"/>
          <w:sz w:val="28"/>
        </w:rPr>
        <w:t>B. β受体阻断剂</w:t>
      </w:r>
    </w:p>
    <w:p w14:paraId="43094117">
      <w:pPr>
        <w:spacing w:line="240" w:lineRule="auto"/>
        <w:ind w:firstLine="600"/>
        <w:rPr>
          <w:sz w:val="28"/>
        </w:rPr>
      </w:pPr>
      <w:r>
        <w:rPr>
          <w:rFonts w:ascii="黑体" w:hAnsi="黑体" w:eastAsia="黑体" w:cs="黑体"/>
          <w:color w:val="000000"/>
          <w:sz w:val="28"/>
        </w:rPr>
        <w:t>C. 血管紧张素转换酶抑制剂</w:t>
      </w:r>
    </w:p>
    <w:p w14:paraId="1A4AAD10">
      <w:pPr>
        <w:spacing w:line="240" w:lineRule="auto"/>
        <w:ind w:firstLine="600"/>
        <w:rPr>
          <w:sz w:val="28"/>
        </w:rPr>
      </w:pPr>
      <w:r>
        <w:rPr>
          <w:rFonts w:ascii="黑体" w:hAnsi="黑体" w:eastAsia="黑体" w:cs="黑体"/>
          <w:color w:val="000000"/>
          <w:sz w:val="28"/>
        </w:rPr>
        <w:t>D. 钙通道阻滞剂</w:t>
      </w:r>
    </w:p>
    <w:p w14:paraId="3CBC0822">
      <w:pPr>
        <w:spacing w:line="240" w:lineRule="auto"/>
        <w:ind w:firstLine="600"/>
        <w:rPr>
          <w:sz w:val="28"/>
        </w:rPr>
      </w:pPr>
      <w:r>
        <w:rPr>
          <w:rFonts w:ascii="黑体" w:hAnsi="黑体" w:eastAsia="黑体" w:cs="黑体"/>
          <w:color w:val="000000"/>
          <w:sz w:val="28"/>
        </w:rPr>
        <w:t>E. 利尿剂</w:t>
      </w:r>
    </w:p>
    <w:p w14:paraId="04C98786">
      <w:pPr>
        <w:spacing w:line="240" w:lineRule="auto"/>
        <w:ind w:firstLine="600"/>
        <w:rPr>
          <w:sz w:val="28"/>
        </w:rPr>
      </w:pPr>
      <w:r>
        <w:rPr>
          <w:rFonts w:ascii="黑体" w:hAnsi="黑体" w:eastAsia="黑体" w:cs="黑体"/>
          <w:color w:val="000000"/>
          <w:sz w:val="28"/>
        </w:rPr>
        <w:t>答案：C</w:t>
      </w:r>
    </w:p>
    <w:p w14:paraId="6584449A">
      <w:pPr>
        <w:spacing w:line="240" w:lineRule="auto"/>
        <w:ind w:firstLine="600"/>
        <w:rPr>
          <w:sz w:val="28"/>
        </w:rPr>
      </w:pPr>
      <w:r>
        <w:rPr>
          <w:rFonts w:ascii="黑体" w:hAnsi="黑体" w:eastAsia="黑体" w:cs="黑体"/>
          <w:color w:val="000000"/>
          <w:sz w:val="28"/>
        </w:rPr>
        <w:t>解析：依那普利属于血管紧张素转换酶抑制剂（ACEI），C 正确。血管紧张素Ⅱ受体阻断剂如氯沙坦等，A 错误；β受体阻断剂如普萘洛尔等，B 错误；钙通道阻滞剂如硝苯地平等，D 错误；利尿剂如氢氯噻嗪等，E 错误。</w:t>
      </w:r>
    </w:p>
    <w:p w14:paraId="6A0FBD7E">
      <w:pPr>
        <w:spacing w:line="240" w:lineRule="auto"/>
        <w:ind w:firstLine="600"/>
        <w:rPr>
          <w:sz w:val="28"/>
        </w:rPr>
      </w:pPr>
      <w:r>
        <w:rPr>
          <w:rFonts w:ascii="黑体" w:hAnsi="黑体" w:eastAsia="黑体" w:cs="黑体"/>
          <w:color w:val="000000"/>
          <w:sz w:val="28"/>
        </w:rPr>
        <w:t>7. 治疗指数窄，使用过程中应监测国际标准化比值（INR），并将其稳定控制在 2.0～3.0 的药品是（  ）</w:t>
      </w:r>
    </w:p>
    <w:p w14:paraId="4CD025AD">
      <w:pPr>
        <w:spacing w:line="240" w:lineRule="auto"/>
        <w:ind w:firstLine="600"/>
        <w:rPr>
          <w:sz w:val="28"/>
        </w:rPr>
      </w:pPr>
      <w:r>
        <w:rPr>
          <w:rFonts w:ascii="黑体" w:hAnsi="黑体" w:eastAsia="黑体" w:cs="黑体"/>
          <w:color w:val="000000"/>
          <w:sz w:val="28"/>
        </w:rPr>
        <w:t>A. 华法林</w:t>
      </w:r>
    </w:p>
    <w:p w14:paraId="6BB3DF79">
      <w:pPr>
        <w:spacing w:line="240" w:lineRule="auto"/>
        <w:ind w:firstLine="600"/>
        <w:rPr>
          <w:sz w:val="28"/>
        </w:rPr>
      </w:pPr>
      <w:r>
        <w:rPr>
          <w:rFonts w:ascii="黑体" w:hAnsi="黑体" w:eastAsia="黑体" w:cs="黑体"/>
          <w:color w:val="000000"/>
          <w:sz w:val="28"/>
        </w:rPr>
        <w:t>B. 肝素</w:t>
      </w:r>
    </w:p>
    <w:p w14:paraId="78A0A2E8">
      <w:pPr>
        <w:spacing w:line="240" w:lineRule="auto"/>
        <w:ind w:firstLine="600"/>
        <w:rPr>
          <w:sz w:val="28"/>
        </w:rPr>
      </w:pPr>
      <w:r>
        <w:rPr>
          <w:rFonts w:ascii="黑体" w:hAnsi="黑体" w:eastAsia="黑体" w:cs="黑体"/>
          <w:color w:val="000000"/>
          <w:sz w:val="28"/>
        </w:rPr>
        <w:t>C. 依诺肝素</w:t>
      </w:r>
    </w:p>
    <w:p w14:paraId="6DAAAF42">
      <w:pPr>
        <w:spacing w:line="240" w:lineRule="auto"/>
        <w:ind w:firstLine="600"/>
        <w:rPr>
          <w:sz w:val="28"/>
        </w:rPr>
      </w:pPr>
      <w:r>
        <w:rPr>
          <w:rFonts w:ascii="黑体" w:hAnsi="黑体" w:eastAsia="黑体" w:cs="黑体"/>
          <w:color w:val="000000"/>
          <w:sz w:val="28"/>
        </w:rPr>
        <w:t>D. 氯吡格雷</w:t>
      </w:r>
    </w:p>
    <w:p w14:paraId="68269155">
      <w:pPr>
        <w:spacing w:line="240" w:lineRule="auto"/>
        <w:ind w:firstLine="600"/>
        <w:rPr>
          <w:sz w:val="28"/>
        </w:rPr>
      </w:pPr>
      <w:r>
        <w:rPr>
          <w:rFonts w:ascii="黑体" w:hAnsi="黑体" w:eastAsia="黑体" w:cs="黑体"/>
          <w:color w:val="000000"/>
          <w:sz w:val="28"/>
        </w:rPr>
        <w:t>E. 达比加群酯</w:t>
      </w:r>
    </w:p>
    <w:p w14:paraId="2C1962D2">
      <w:pPr>
        <w:spacing w:line="240" w:lineRule="auto"/>
        <w:ind w:firstLine="600"/>
        <w:rPr>
          <w:sz w:val="28"/>
        </w:rPr>
      </w:pPr>
      <w:r>
        <w:rPr>
          <w:rFonts w:ascii="黑体" w:hAnsi="黑体" w:eastAsia="黑体" w:cs="黑体"/>
          <w:color w:val="000000"/>
          <w:sz w:val="28"/>
        </w:rPr>
        <w:t>答案：A</w:t>
      </w:r>
    </w:p>
    <w:p w14:paraId="0BC58FDD">
      <w:pPr>
        <w:spacing w:line="240" w:lineRule="auto"/>
        <w:ind w:firstLine="600"/>
        <w:rPr>
          <w:sz w:val="28"/>
        </w:rPr>
      </w:pPr>
      <w:r>
        <w:rPr>
          <w:rFonts w:ascii="黑体" w:hAnsi="黑体" w:eastAsia="黑体" w:cs="黑体"/>
          <w:color w:val="000000"/>
          <w:sz w:val="28"/>
        </w:rPr>
        <w:t>解析：华法林治疗指数窄，使用过程中应监测国际标准化比值（INR），并将其稳定控制在 2.0～3.0，A 正确。肝素和依诺肝素主要监测活化部分凝血活酶时间（APTT），B、C 错误；氯吡格雷主要监测血小板功能，D 错误；达比加群酯一般无需常规监测凝血指标，E 错误。</w:t>
      </w:r>
    </w:p>
    <w:p w14:paraId="321B18ED">
      <w:pPr>
        <w:spacing w:line="240" w:lineRule="auto"/>
        <w:ind w:firstLine="600"/>
        <w:rPr>
          <w:sz w:val="28"/>
        </w:rPr>
      </w:pPr>
      <w:r>
        <w:rPr>
          <w:rFonts w:ascii="黑体" w:hAnsi="黑体" w:eastAsia="黑体" w:cs="黑体"/>
          <w:color w:val="000000"/>
          <w:sz w:val="28"/>
        </w:rPr>
        <w:t>8. 患者，女，45 岁，因强直性脊柱炎住院，同时伴有胃溃疡、高血压及糖尿病，药师审核医嘱，发现应当禁用的药品是（  ）</w:t>
      </w:r>
    </w:p>
    <w:p w14:paraId="340A355E">
      <w:pPr>
        <w:spacing w:line="240" w:lineRule="auto"/>
        <w:ind w:firstLine="600"/>
        <w:rPr>
          <w:sz w:val="28"/>
        </w:rPr>
      </w:pPr>
      <w:r>
        <w:rPr>
          <w:rFonts w:ascii="黑体" w:hAnsi="黑体" w:eastAsia="黑体" w:cs="黑体"/>
          <w:color w:val="000000"/>
          <w:sz w:val="28"/>
        </w:rPr>
        <w:t>A. 硝苯地平</w:t>
      </w:r>
    </w:p>
    <w:p w14:paraId="2AC6543B">
      <w:pPr>
        <w:spacing w:line="240" w:lineRule="auto"/>
        <w:ind w:firstLine="600"/>
        <w:rPr>
          <w:sz w:val="28"/>
        </w:rPr>
      </w:pPr>
      <w:r>
        <w:rPr>
          <w:rFonts w:ascii="黑体" w:hAnsi="黑体" w:eastAsia="黑体" w:cs="黑体"/>
          <w:color w:val="000000"/>
          <w:sz w:val="28"/>
        </w:rPr>
        <w:t>B. 双氯芬酸</w:t>
      </w:r>
    </w:p>
    <w:p w14:paraId="707BEB26">
      <w:pPr>
        <w:spacing w:line="240" w:lineRule="auto"/>
        <w:ind w:firstLine="600"/>
        <w:rPr>
          <w:sz w:val="28"/>
        </w:rPr>
      </w:pPr>
      <w:r>
        <w:rPr>
          <w:rFonts w:ascii="黑体" w:hAnsi="黑体" w:eastAsia="黑体" w:cs="黑体"/>
          <w:color w:val="000000"/>
          <w:sz w:val="28"/>
        </w:rPr>
        <w:t>C. 雷尼替丁</w:t>
      </w:r>
    </w:p>
    <w:p w14:paraId="68E1B972">
      <w:pPr>
        <w:spacing w:line="240" w:lineRule="auto"/>
        <w:ind w:firstLine="600"/>
        <w:rPr>
          <w:sz w:val="28"/>
        </w:rPr>
      </w:pPr>
      <w:r>
        <w:rPr>
          <w:rFonts w:ascii="黑体" w:hAnsi="黑体" w:eastAsia="黑体" w:cs="黑体"/>
          <w:color w:val="000000"/>
          <w:sz w:val="28"/>
        </w:rPr>
        <w:t>D. 格列齐特</w:t>
      </w:r>
    </w:p>
    <w:p w14:paraId="377F5F16">
      <w:pPr>
        <w:spacing w:line="240" w:lineRule="auto"/>
        <w:ind w:firstLine="600"/>
        <w:rPr>
          <w:sz w:val="28"/>
        </w:rPr>
      </w:pPr>
      <w:r>
        <w:rPr>
          <w:rFonts w:ascii="黑体" w:hAnsi="黑体" w:eastAsia="黑体" w:cs="黑体"/>
          <w:color w:val="000000"/>
          <w:sz w:val="28"/>
        </w:rPr>
        <w:t>E. 二甲双胍</w:t>
      </w:r>
    </w:p>
    <w:p w14:paraId="325938F3">
      <w:pPr>
        <w:spacing w:line="240" w:lineRule="auto"/>
        <w:ind w:firstLine="600"/>
        <w:rPr>
          <w:sz w:val="28"/>
        </w:rPr>
      </w:pPr>
      <w:r>
        <w:rPr>
          <w:rFonts w:ascii="黑体" w:hAnsi="黑体" w:eastAsia="黑体" w:cs="黑体"/>
          <w:color w:val="000000"/>
          <w:sz w:val="28"/>
        </w:rPr>
        <w:t>答案：B</w:t>
      </w:r>
    </w:p>
    <w:p w14:paraId="78453709">
      <w:pPr>
        <w:spacing w:line="240" w:lineRule="auto"/>
        <w:ind w:firstLine="600"/>
        <w:rPr>
          <w:sz w:val="28"/>
        </w:rPr>
      </w:pPr>
      <w:r>
        <w:rPr>
          <w:rFonts w:ascii="黑体" w:hAnsi="黑体" w:eastAsia="黑体" w:cs="黑体"/>
          <w:color w:val="000000"/>
          <w:sz w:val="28"/>
        </w:rPr>
        <w:t>解析：双氯芬酸属于非甾体抗炎药，可加重胃溃疡患者的胃肠道反应，该患者有胃溃疡，应禁用双氯芬酸，B 正确。硝苯地平用于治疗高血压，A 错误；雷尼替丁可用于治疗胃溃疡，C 错误；格列齐特和二甲双胍用于治疗糖尿病，D、E 错误。</w:t>
      </w:r>
    </w:p>
    <w:p w14:paraId="3DBDE28B">
      <w:pPr>
        <w:spacing w:line="240" w:lineRule="auto"/>
        <w:ind w:firstLine="600"/>
        <w:rPr>
          <w:sz w:val="28"/>
        </w:rPr>
      </w:pPr>
      <w:r>
        <w:rPr>
          <w:rFonts w:ascii="黑体" w:hAnsi="黑体" w:eastAsia="黑体" w:cs="黑体"/>
          <w:color w:val="000000"/>
          <w:sz w:val="28"/>
        </w:rPr>
        <w:t>9. 长期应用不但加速自身代谢，而且可加速其他合用药物代谢的肝药酶诱导剂是（  ）</w:t>
      </w:r>
    </w:p>
    <w:p w14:paraId="36FEBD44">
      <w:pPr>
        <w:spacing w:line="240" w:lineRule="auto"/>
        <w:ind w:firstLine="600"/>
        <w:rPr>
          <w:sz w:val="28"/>
        </w:rPr>
      </w:pPr>
      <w:r>
        <w:rPr>
          <w:rFonts w:ascii="黑体" w:hAnsi="黑体" w:eastAsia="黑体" w:cs="黑体"/>
          <w:color w:val="000000"/>
          <w:sz w:val="28"/>
        </w:rPr>
        <w:t>A. 苯巴比妥</w:t>
      </w:r>
    </w:p>
    <w:p w14:paraId="0367B87C">
      <w:pPr>
        <w:spacing w:line="240" w:lineRule="auto"/>
        <w:ind w:firstLine="600"/>
        <w:rPr>
          <w:sz w:val="28"/>
        </w:rPr>
      </w:pPr>
      <w:r>
        <w:rPr>
          <w:rFonts w:ascii="黑体" w:hAnsi="黑体" w:eastAsia="黑体" w:cs="黑体"/>
          <w:color w:val="000000"/>
          <w:sz w:val="28"/>
        </w:rPr>
        <w:t>B. 地西泮</w:t>
      </w:r>
    </w:p>
    <w:p w14:paraId="6634001E">
      <w:pPr>
        <w:spacing w:line="240" w:lineRule="auto"/>
        <w:ind w:firstLine="600"/>
        <w:rPr>
          <w:sz w:val="28"/>
        </w:rPr>
      </w:pPr>
      <w:r>
        <w:rPr>
          <w:rFonts w:ascii="黑体" w:hAnsi="黑体" w:eastAsia="黑体" w:cs="黑体"/>
          <w:color w:val="000000"/>
          <w:sz w:val="28"/>
        </w:rPr>
        <w:t>C. 唑吡坦</w:t>
      </w:r>
    </w:p>
    <w:p w14:paraId="2B1D3095">
      <w:pPr>
        <w:spacing w:line="240" w:lineRule="auto"/>
        <w:ind w:firstLine="600"/>
        <w:rPr>
          <w:sz w:val="28"/>
        </w:rPr>
      </w:pPr>
      <w:r>
        <w:rPr>
          <w:rFonts w:ascii="黑体" w:hAnsi="黑体" w:eastAsia="黑体" w:cs="黑体"/>
          <w:color w:val="000000"/>
          <w:sz w:val="28"/>
        </w:rPr>
        <w:t>D. 佐匹克隆</w:t>
      </w:r>
    </w:p>
    <w:p w14:paraId="2CEE83F0">
      <w:pPr>
        <w:spacing w:line="240" w:lineRule="auto"/>
        <w:ind w:firstLine="600"/>
        <w:rPr>
          <w:sz w:val="28"/>
        </w:rPr>
      </w:pPr>
      <w:r>
        <w:rPr>
          <w:rFonts w:ascii="黑体" w:hAnsi="黑体" w:eastAsia="黑体" w:cs="黑体"/>
          <w:color w:val="000000"/>
          <w:sz w:val="28"/>
        </w:rPr>
        <w:t>E. 阿普唑仑</w:t>
      </w:r>
    </w:p>
    <w:p w14:paraId="0881AD00">
      <w:pPr>
        <w:spacing w:line="240" w:lineRule="auto"/>
        <w:ind w:firstLine="600"/>
        <w:rPr>
          <w:sz w:val="28"/>
        </w:rPr>
      </w:pPr>
      <w:r>
        <w:rPr>
          <w:rFonts w:ascii="黑体" w:hAnsi="黑体" w:eastAsia="黑体" w:cs="黑体"/>
          <w:color w:val="000000"/>
          <w:sz w:val="28"/>
        </w:rPr>
        <w:t>答案：A</w:t>
      </w:r>
    </w:p>
    <w:p w14:paraId="201E898B">
      <w:pPr>
        <w:spacing w:line="240" w:lineRule="auto"/>
        <w:ind w:firstLine="600"/>
        <w:rPr>
          <w:sz w:val="28"/>
        </w:rPr>
      </w:pPr>
      <w:r>
        <w:rPr>
          <w:rFonts w:ascii="黑体" w:hAnsi="黑体" w:eastAsia="黑体" w:cs="黑体"/>
          <w:color w:val="000000"/>
          <w:sz w:val="28"/>
        </w:rPr>
        <w:t>解析：苯巴比妥是肝药酶诱导剂，长期应用不但加速自身代谢，而且可加速其他合用药物代谢，A 正确。地西泮、唑吡坦、佐匹克隆、阿普唑仑不属于肝药酶诱导剂，B、C、D、E 错误。</w:t>
      </w:r>
    </w:p>
    <w:p w14:paraId="2C463117">
      <w:pPr>
        <w:spacing w:line="240" w:lineRule="auto"/>
        <w:ind w:firstLine="600"/>
        <w:rPr>
          <w:sz w:val="28"/>
        </w:rPr>
      </w:pPr>
      <w:r>
        <w:rPr>
          <w:rFonts w:ascii="黑体" w:hAnsi="黑体" w:eastAsia="黑体" w:cs="黑体"/>
          <w:color w:val="000000"/>
          <w:sz w:val="28"/>
        </w:rPr>
        <w:t>10. 患者，女，28 岁，妊娠 27 周，头晕 3 天。入院查体：血压 160/100mmHg，诊断为妊娠高血压。应选用的药物是（  ）</w:t>
      </w:r>
    </w:p>
    <w:p w14:paraId="0BDB27F5">
      <w:pPr>
        <w:spacing w:line="240" w:lineRule="auto"/>
        <w:ind w:firstLine="600"/>
        <w:rPr>
          <w:sz w:val="28"/>
        </w:rPr>
      </w:pPr>
      <w:r>
        <w:rPr>
          <w:rFonts w:ascii="黑体" w:hAnsi="黑体" w:eastAsia="黑体" w:cs="黑体"/>
          <w:color w:val="000000"/>
          <w:sz w:val="28"/>
        </w:rPr>
        <w:t>A. 福辛普利</w:t>
      </w:r>
    </w:p>
    <w:p w14:paraId="752DA1A5">
      <w:pPr>
        <w:spacing w:line="240" w:lineRule="auto"/>
        <w:ind w:firstLine="600"/>
        <w:rPr>
          <w:sz w:val="28"/>
        </w:rPr>
      </w:pPr>
      <w:r>
        <w:rPr>
          <w:rFonts w:ascii="黑体" w:hAnsi="黑体" w:eastAsia="黑体" w:cs="黑体"/>
          <w:color w:val="000000"/>
          <w:sz w:val="28"/>
        </w:rPr>
        <w:t>B. 卡托普利</w:t>
      </w:r>
    </w:p>
    <w:p w14:paraId="4CF548EE">
      <w:pPr>
        <w:spacing w:line="240" w:lineRule="auto"/>
        <w:ind w:firstLine="600"/>
        <w:rPr>
          <w:sz w:val="28"/>
        </w:rPr>
      </w:pPr>
      <w:r>
        <w:rPr>
          <w:rFonts w:ascii="黑体" w:hAnsi="黑体" w:eastAsia="黑体" w:cs="黑体"/>
          <w:color w:val="000000"/>
          <w:sz w:val="28"/>
        </w:rPr>
        <w:t>C. 缬沙坦</w:t>
      </w:r>
    </w:p>
    <w:p w14:paraId="2CE6974C">
      <w:pPr>
        <w:spacing w:line="240" w:lineRule="auto"/>
        <w:ind w:firstLine="600"/>
        <w:rPr>
          <w:sz w:val="28"/>
        </w:rPr>
      </w:pPr>
      <w:r>
        <w:rPr>
          <w:rFonts w:ascii="黑体" w:hAnsi="黑体" w:eastAsia="黑体" w:cs="黑体"/>
          <w:color w:val="000000"/>
          <w:sz w:val="28"/>
        </w:rPr>
        <w:t>D. 拉贝洛尔</w:t>
      </w:r>
    </w:p>
    <w:p w14:paraId="01E7A248">
      <w:pPr>
        <w:spacing w:line="240" w:lineRule="auto"/>
        <w:ind w:firstLine="600"/>
        <w:rPr>
          <w:sz w:val="28"/>
        </w:rPr>
      </w:pPr>
      <w:r>
        <w:rPr>
          <w:rFonts w:ascii="黑体" w:hAnsi="黑体" w:eastAsia="黑体" w:cs="黑体"/>
          <w:color w:val="000000"/>
          <w:sz w:val="28"/>
        </w:rPr>
        <w:t>E. 特拉唑嗪</w:t>
      </w:r>
    </w:p>
    <w:p w14:paraId="54E95DA8">
      <w:pPr>
        <w:spacing w:line="240" w:lineRule="auto"/>
        <w:ind w:firstLine="600"/>
        <w:rPr>
          <w:sz w:val="28"/>
        </w:rPr>
      </w:pPr>
      <w:r>
        <w:rPr>
          <w:rFonts w:ascii="黑体" w:hAnsi="黑体" w:eastAsia="黑体" w:cs="黑体"/>
          <w:color w:val="000000"/>
          <w:sz w:val="28"/>
        </w:rPr>
        <w:t>答案：D</w:t>
      </w:r>
    </w:p>
    <w:p w14:paraId="0912F087">
      <w:pPr>
        <w:spacing w:line="240" w:lineRule="auto"/>
        <w:ind w:firstLine="600"/>
        <w:rPr>
          <w:sz w:val="28"/>
        </w:rPr>
      </w:pPr>
      <w:r>
        <w:rPr>
          <w:rFonts w:ascii="黑体" w:hAnsi="黑体" w:eastAsia="黑体" w:cs="黑体"/>
          <w:color w:val="000000"/>
          <w:sz w:val="28"/>
        </w:rPr>
        <w:t>解析：福辛普利、卡托普利属于 ACEI，缬沙坦属于 ARB，ACEI 和 ARB 可引起胎儿畸形，妊娠期禁用，A、B、C 错误。特拉唑嗪主要用于治疗良性前列腺增生和高血压，不用于妊娠期高血压，E 错误。拉贝洛尔是妊娠高血压的常用药物，D 正确。</w:t>
      </w:r>
    </w:p>
    <w:p w14:paraId="5BF9810E">
      <w:pPr>
        <w:spacing w:line="240" w:lineRule="auto"/>
        <w:ind w:firstLine="600"/>
        <w:rPr>
          <w:sz w:val="28"/>
        </w:rPr>
      </w:pPr>
      <w:r>
        <w:rPr>
          <w:rFonts w:ascii="黑体" w:hAnsi="黑体" w:eastAsia="黑体" w:cs="黑体"/>
          <w:color w:val="000000"/>
          <w:sz w:val="28"/>
        </w:rPr>
        <w:t xml:space="preserve"> 药学综合知识与技能</w:t>
      </w:r>
    </w:p>
    <w:p w14:paraId="74EA01D0">
      <w:pPr>
        <w:spacing w:line="240" w:lineRule="auto"/>
        <w:ind w:firstLine="600"/>
        <w:rPr>
          <w:sz w:val="28"/>
        </w:rPr>
      </w:pPr>
      <w:r>
        <w:rPr>
          <w:rFonts w:ascii="黑体" w:hAnsi="黑体" w:eastAsia="黑体" w:cs="黑体"/>
          <w:color w:val="000000"/>
          <w:sz w:val="28"/>
        </w:rPr>
        <w:t>11. 患者，男，65 岁，患有骨质疏松症，医生开具阿仑膦酸钠片 70mg，每周 1 次。药师应告知患者服药的注意事项，错误的是（  ）</w:t>
      </w:r>
    </w:p>
    <w:p w14:paraId="2960DF8A">
      <w:pPr>
        <w:spacing w:line="240" w:lineRule="auto"/>
        <w:ind w:firstLine="600"/>
        <w:rPr>
          <w:sz w:val="28"/>
        </w:rPr>
      </w:pPr>
      <w:r>
        <w:rPr>
          <w:rFonts w:ascii="黑体" w:hAnsi="黑体" w:eastAsia="黑体" w:cs="黑体"/>
          <w:color w:val="000000"/>
          <w:sz w:val="28"/>
        </w:rPr>
        <w:t>A. 早餐前至少半小时用 200ml 温开水送服</w:t>
      </w:r>
    </w:p>
    <w:p w14:paraId="4F9D34D1">
      <w:pPr>
        <w:spacing w:line="240" w:lineRule="auto"/>
        <w:ind w:firstLine="600"/>
        <w:rPr>
          <w:sz w:val="28"/>
        </w:rPr>
      </w:pPr>
      <w:r>
        <w:rPr>
          <w:rFonts w:ascii="黑体" w:hAnsi="黑体" w:eastAsia="黑体" w:cs="黑体"/>
          <w:color w:val="000000"/>
          <w:sz w:val="28"/>
        </w:rPr>
        <w:t>B. 服药后至少 30 分钟内保持立位或坐位，禁止卧位</w:t>
      </w:r>
    </w:p>
    <w:p w14:paraId="6D314840">
      <w:pPr>
        <w:spacing w:line="240" w:lineRule="auto"/>
        <w:ind w:firstLine="600"/>
        <w:rPr>
          <w:sz w:val="28"/>
        </w:rPr>
      </w:pPr>
      <w:r>
        <w:rPr>
          <w:rFonts w:ascii="黑体" w:hAnsi="黑体" w:eastAsia="黑体" w:cs="黑体"/>
          <w:color w:val="000000"/>
          <w:sz w:val="28"/>
        </w:rPr>
        <w:t>C. 不要咀嚼或吮吸药片</w:t>
      </w:r>
    </w:p>
    <w:p w14:paraId="520421A1">
      <w:pPr>
        <w:spacing w:line="240" w:lineRule="auto"/>
        <w:ind w:firstLine="600"/>
        <w:rPr>
          <w:sz w:val="28"/>
        </w:rPr>
      </w:pPr>
      <w:r>
        <w:rPr>
          <w:rFonts w:ascii="黑体" w:hAnsi="黑体" w:eastAsia="黑体" w:cs="黑体"/>
          <w:color w:val="000000"/>
          <w:sz w:val="28"/>
        </w:rPr>
        <w:t>D. 可以同时饮用牛奶、咖啡等饮料</w:t>
      </w:r>
    </w:p>
    <w:p w14:paraId="1EB84594">
      <w:pPr>
        <w:spacing w:line="240" w:lineRule="auto"/>
        <w:ind w:firstLine="600"/>
        <w:rPr>
          <w:sz w:val="28"/>
        </w:rPr>
      </w:pPr>
      <w:r>
        <w:rPr>
          <w:rFonts w:ascii="黑体" w:hAnsi="黑体" w:eastAsia="黑体" w:cs="黑体"/>
          <w:color w:val="000000"/>
          <w:sz w:val="28"/>
        </w:rPr>
        <w:t>E. 出现吞咽困难、胸骨后疼痛等症状，应及时就医</w:t>
      </w:r>
    </w:p>
    <w:p w14:paraId="160ABA6E">
      <w:pPr>
        <w:spacing w:line="240" w:lineRule="auto"/>
        <w:ind w:firstLine="600"/>
        <w:rPr>
          <w:sz w:val="28"/>
        </w:rPr>
      </w:pPr>
      <w:r>
        <w:rPr>
          <w:rFonts w:ascii="黑体" w:hAnsi="黑体" w:eastAsia="黑体" w:cs="黑体"/>
          <w:color w:val="000000"/>
          <w:sz w:val="28"/>
        </w:rPr>
        <w:t>答案：D</w:t>
      </w:r>
    </w:p>
    <w:p w14:paraId="66BEC72D">
      <w:pPr>
        <w:spacing w:line="240" w:lineRule="auto"/>
        <w:ind w:firstLine="600"/>
        <w:rPr>
          <w:sz w:val="28"/>
        </w:rPr>
      </w:pPr>
      <w:r>
        <w:rPr>
          <w:rFonts w:ascii="黑体" w:hAnsi="黑体" w:eastAsia="黑体" w:cs="黑体"/>
          <w:color w:val="000000"/>
          <w:sz w:val="28"/>
        </w:rPr>
        <w:t>解析：服用阿仑膦酸钠片时，不能同时饮用牛奶、咖啡等饮料，因为这些饮料会影响药物的吸收，D 错误。其余选项均正确，早餐前至少半小时用 200ml 温开水送服，A 正确；服药后至少 30 分钟内保持立位或坐位，禁止卧位，B 正确；不要咀嚼或吮吸药片，C 正确；出现吞咽困难、胸骨后疼痛等症状，应及时就医，E 正确。</w:t>
      </w:r>
    </w:p>
    <w:p w14:paraId="3E69107B">
      <w:pPr>
        <w:spacing w:line="240" w:lineRule="auto"/>
        <w:ind w:firstLine="600"/>
        <w:rPr>
          <w:sz w:val="28"/>
        </w:rPr>
      </w:pPr>
      <w:r>
        <w:rPr>
          <w:rFonts w:ascii="黑体" w:hAnsi="黑体" w:eastAsia="黑体" w:cs="黑体"/>
          <w:color w:val="000000"/>
          <w:sz w:val="28"/>
        </w:rPr>
        <w:t>12. 患者，女，28 岁，妊娠 32 周，因全身水肿及头痛就诊，诊断为妊娠期高血压疾病。下列药物中，可用于治疗该患者的是（  ）</w:t>
      </w:r>
    </w:p>
    <w:p w14:paraId="40C96234">
      <w:pPr>
        <w:spacing w:line="240" w:lineRule="auto"/>
        <w:ind w:firstLine="600"/>
        <w:rPr>
          <w:sz w:val="28"/>
        </w:rPr>
      </w:pPr>
      <w:r>
        <w:rPr>
          <w:rFonts w:ascii="黑体" w:hAnsi="黑体" w:eastAsia="黑体" w:cs="黑体"/>
          <w:color w:val="000000"/>
          <w:sz w:val="28"/>
        </w:rPr>
        <w:t>A. 卡托普利</w:t>
      </w:r>
    </w:p>
    <w:p w14:paraId="0B23D46B">
      <w:pPr>
        <w:spacing w:line="240" w:lineRule="auto"/>
        <w:ind w:firstLine="600"/>
        <w:rPr>
          <w:sz w:val="28"/>
        </w:rPr>
      </w:pPr>
      <w:r>
        <w:rPr>
          <w:rFonts w:ascii="黑体" w:hAnsi="黑体" w:eastAsia="黑体" w:cs="黑体"/>
          <w:color w:val="000000"/>
          <w:sz w:val="28"/>
        </w:rPr>
        <w:t>B. 硝苯地平</w:t>
      </w:r>
    </w:p>
    <w:p w14:paraId="2E1C19AC">
      <w:pPr>
        <w:spacing w:line="240" w:lineRule="auto"/>
        <w:ind w:firstLine="600"/>
        <w:rPr>
          <w:sz w:val="28"/>
        </w:rPr>
      </w:pPr>
      <w:r>
        <w:rPr>
          <w:rFonts w:ascii="黑体" w:hAnsi="黑体" w:eastAsia="黑体" w:cs="黑体"/>
          <w:color w:val="000000"/>
          <w:sz w:val="28"/>
        </w:rPr>
        <w:t>C. 缬沙坦</w:t>
      </w:r>
    </w:p>
    <w:p w14:paraId="751C4E50">
      <w:pPr>
        <w:spacing w:line="240" w:lineRule="auto"/>
        <w:ind w:firstLine="600"/>
        <w:rPr>
          <w:sz w:val="28"/>
        </w:rPr>
      </w:pPr>
      <w:r>
        <w:rPr>
          <w:rFonts w:ascii="黑体" w:hAnsi="黑体" w:eastAsia="黑体" w:cs="黑体"/>
          <w:color w:val="000000"/>
          <w:sz w:val="28"/>
        </w:rPr>
        <w:t>D. 美托洛尔</w:t>
      </w:r>
    </w:p>
    <w:p w14:paraId="68ED1AB2">
      <w:pPr>
        <w:spacing w:line="240" w:lineRule="auto"/>
        <w:ind w:firstLine="600"/>
        <w:rPr>
          <w:sz w:val="28"/>
        </w:rPr>
      </w:pPr>
      <w:r>
        <w:rPr>
          <w:rFonts w:ascii="黑体" w:hAnsi="黑体" w:eastAsia="黑体" w:cs="黑体"/>
          <w:color w:val="000000"/>
          <w:sz w:val="28"/>
        </w:rPr>
        <w:t>E. 氢氯噻嗪</w:t>
      </w:r>
    </w:p>
    <w:p w14:paraId="47776396">
      <w:pPr>
        <w:spacing w:line="240" w:lineRule="auto"/>
        <w:ind w:firstLine="600"/>
        <w:rPr>
          <w:sz w:val="28"/>
        </w:rPr>
      </w:pPr>
      <w:r>
        <w:rPr>
          <w:rFonts w:ascii="黑体" w:hAnsi="黑体" w:eastAsia="黑体" w:cs="黑体"/>
          <w:color w:val="000000"/>
          <w:sz w:val="28"/>
        </w:rPr>
        <w:t>答案：B</w:t>
      </w:r>
    </w:p>
    <w:p w14:paraId="550CFEDC">
      <w:pPr>
        <w:spacing w:line="240" w:lineRule="auto"/>
        <w:ind w:firstLine="600"/>
        <w:rPr>
          <w:sz w:val="28"/>
        </w:rPr>
      </w:pPr>
      <w:r>
        <w:rPr>
          <w:rFonts w:ascii="黑体" w:hAnsi="黑体" w:eastAsia="黑体" w:cs="黑体"/>
          <w:color w:val="000000"/>
          <w:sz w:val="28"/>
        </w:rPr>
        <w:t>解析：卡托普利和缬沙坦属于 ACEI 和 ARB，可引起胎儿畸形，妊娠期禁用，A、C 错误。美托洛尔可影响胎儿的生长发育，妊娠期慎用，D 错误。氢氯噻嗪可引起胎儿电解质紊乱，妊娠期慎用，E 错误。硝苯地平可用于治疗妊娠期高血压疾病，B 正确。</w:t>
      </w:r>
    </w:p>
    <w:p w14:paraId="7AFDC7B0">
      <w:pPr>
        <w:spacing w:line="240" w:lineRule="auto"/>
        <w:ind w:firstLine="600"/>
        <w:rPr>
          <w:sz w:val="28"/>
        </w:rPr>
      </w:pPr>
      <w:r>
        <w:rPr>
          <w:rFonts w:ascii="黑体" w:hAnsi="黑体" w:eastAsia="黑体" w:cs="黑体"/>
          <w:color w:val="000000"/>
          <w:sz w:val="28"/>
        </w:rPr>
        <w:t>13. 下列关于老年人用药的说法，错误的是（  ）</w:t>
      </w:r>
    </w:p>
    <w:p w14:paraId="20B86195">
      <w:pPr>
        <w:spacing w:line="240" w:lineRule="auto"/>
        <w:ind w:firstLine="600"/>
        <w:rPr>
          <w:sz w:val="28"/>
        </w:rPr>
      </w:pPr>
      <w:r>
        <w:rPr>
          <w:rFonts w:ascii="黑体" w:hAnsi="黑体" w:eastAsia="黑体" w:cs="黑体"/>
          <w:color w:val="000000"/>
          <w:sz w:val="28"/>
        </w:rPr>
        <w:t>A. 老年人肝肾功能减退，用药时应调整剂量</w:t>
      </w:r>
    </w:p>
    <w:p w14:paraId="7FE07B84">
      <w:pPr>
        <w:spacing w:line="240" w:lineRule="auto"/>
        <w:ind w:firstLine="600"/>
        <w:rPr>
          <w:sz w:val="28"/>
        </w:rPr>
      </w:pPr>
      <w:r>
        <w:rPr>
          <w:rFonts w:ascii="黑体" w:hAnsi="黑体" w:eastAsia="黑体" w:cs="黑体"/>
          <w:color w:val="000000"/>
          <w:sz w:val="28"/>
        </w:rPr>
        <w:t>B. 老年人对药物的耐受性降低，用药时应从小剂量开始</w:t>
      </w:r>
    </w:p>
    <w:p w14:paraId="59676489">
      <w:pPr>
        <w:spacing w:line="240" w:lineRule="auto"/>
        <w:ind w:firstLine="600"/>
        <w:rPr>
          <w:sz w:val="28"/>
        </w:rPr>
      </w:pPr>
      <w:r>
        <w:rPr>
          <w:rFonts w:ascii="黑体" w:hAnsi="黑体" w:eastAsia="黑体" w:cs="黑体"/>
          <w:color w:val="000000"/>
          <w:sz w:val="28"/>
        </w:rPr>
        <w:t>C. 老年人记忆力减退，用药时应做好用药记录</w:t>
      </w:r>
    </w:p>
    <w:p w14:paraId="1276E721">
      <w:pPr>
        <w:spacing w:line="240" w:lineRule="auto"/>
        <w:ind w:firstLine="600"/>
        <w:rPr>
          <w:sz w:val="28"/>
        </w:rPr>
      </w:pPr>
      <w:r>
        <w:rPr>
          <w:rFonts w:ascii="黑体" w:hAnsi="黑体" w:eastAsia="黑体" w:cs="黑体"/>
          <w:color w:val="000000"/>
          <w:sz w:val="28"/>
        </w:rPr>
        <w:t>D. 老年人用药依从性差，应选择使用方便的剂型</w:t>
      </w:r>
    </w:p>
    <w:p w14:paraId="24CA6BB8">
      <w:pPr>
        <w:spacing w:line="240" w:lineRule="auto"/>
        <w:ind w:firstLine="600"/>
        <w:rPr>
          <w:sz w:val="28"/>
        </w:rPr>
      </w:pPr>
      <w:r>
        <w:rPr>
          <w:rFonts w:ascii="黑体" w:hAnsi="黑体" w:eastAsia="黑体" w:cs="黑体"/>
          <w:color w:val="000000"/>
          <w:sz w:val="28"/>
        </w:rPr>
        <w:t>E. 老年人患多种疾病，应尽量联合使用多种药物</w:t>
      </w:r>
    </w:p>
    <w:p w14:paraId="4AB962D0">
      <w:pPr>
        <w:spacing w:line="240" w:lineRule="auto"/>
        <w:ind w:firstLine="600"/>
        <w:rPr>
          <w:sz w:val="28"/>
        </w:rPr>
      </w:pPr>
      <w:r>
        <w:rPr>
          <w:rFonts w:ascii="黑体" w:hAnsi="黑体" w:eastAsia="黑体" w:cs="黑体"/>
          <w:color w:val="000000"/>
          <w:sz w:val="28"/>
        </w:rPr>
        <w:t>答案：E</w:t>
      </w:r>
    </w:p>
    <w:p w14:paraId="069FF53B">
      <w:pPr>
        <w:spacing w:line="240" w:lineRule="auto"/>
        <w:ind w:firstLine="600"/>
        <w:rPr>
          <w:sz w:val="28"/>
        </w:rPr>
      </w:pPr>
      <w:r>
        <w:rPr>
          <w:rFonts w:ascii="黑体" w:hAnsi="黑体" w:eastAsia="黑体" w:cs="黑体"/>
          <w:color w:val="000000"/>
          <w:sz w:val="28"/>
        </w:rPr>
        <w:t>解析：老年人患多种疾病，联合使用多种药物时易发生药物相互作用，增加不良反应的发生风险，应尽量避免联合使用多种药物，E 错误。其余选项均正确，老年人肝肾功能减退，用药时应调整剂量，A 正确；老年人对药物的耐受性降低，用药时应从小剂量开始，B 正确；老年人记忆力减退，用药时应做好用药记录，C 正确；老年人用药依从性差，应选择使用方便的剂型，D 正确。</w:t>
      </w:r>
    </w:p>
    <w:p w14:paraId="0BF4D775">
      <w:pPr>
        <w:spacing w:line="240" w:lineRule="auto"/>
        <w:ind w:firstLine="600"/>
        <w:rPr>
          <w:sz w:val="28"/>
        </w:rPr>
      </w:pPr>
      <w:r>
        <w:rPr>
          <w:rFonts w:ascii="黑体" w:hAnsi="黑体" w:eastAsia="黑体" w:cs="黑体"/>
          <w:color w:val="000000"/>
          <w:sz w:val="28"/>
        </w:rPr>
        <w:t>14. 患者，男，50 岁，诊断为高血压、冠心病。医师处方，氨氯地平片 10mg po qd；美托洛尔缓释片 47.5mg po qd；贝那普利片 20mg po qd；阿司匹林肠溶片 100mg po qd。该患者用药中，用法错误的是（  ）</w:t>
      </w:r>
    </w:p>
    <w:p w14:paraId="682FC686">
      <w:pPr>
        <w:spacing w:line="240" w:lineRule="auto"/>
        <w:ind w:firstLine="600"/>
        <w:rPr>
          <w:sz w:val="28"/>
        </w:rPr>
      </w:pPr>
      <w:r>
        <w:rPr>
          <w:rFonts w:ascii="黑体" w:hAnsi="黑体" w:eastAsia="黑体" w:cs="黑体"/>
          <w:color w:val="000000"/>
          <w:sz w:val="28"/>
        </w:rPr>
        <w:t>A. 氨氯地平片</w:t>
      </w:r>
    </w:p>
    <w:p w14:paraId="3C0FD08C">
      <w:pPr>
        <w:spacing w:line="240" w:lineRule="auto"/>
        <w:ind w:firstLine="600"/>
        <w:rPr>
          <w:sz w:val="28"/>
        </w:rPr>
      </w:pPr>
      <w:r>
        <w:rPr>
          <w:rFonts w:ascii="黑体" w:hAnsi="黑体" w:eastAsia="黑体" w:cs="黑体"/>
          <w:color w:val="000000"/>
          <w:sz w:val="28"/>
        </w:rPr>
        <w:t>B. 美托洛尔缓释片</w:t>
      </w:r>
    </w:p>
    <w:p w14:paraId="21CC7DD6">
      <w:pPr>
        <w:spacing w:line="240" w:lineRule="auto"/>
        <w:ind w:firstLine="600"/>
        <w:rPr>
          <w:sz w:val="28"/>
        </w:rPr>
      </w:pPr>
      <w:r>
        <w:rPr>
          <w:rFonts w:ascii="黑体" w:hAnsi="黑体" w:eastAsia="黑体" w:cs="黑体"/>
          <w:color w:val="000000"/>
          <w:sz w:val="28"/>
        </w:rPr>
        <w:t>C. 贝那普利片</w:t>
      </w:r>
    </w:p>
    <w:p w14:paraId="16A04560">
      <w:pPr>
        <w:spacing w:line="240" w:lineRule="auto"/>
        <w:ind w:firstLine="600"/>
        <w:rPr>
          <w:sz w:val="28"/>
        </w:rPr>
      </w:pPr>
      <w:r>
        <w:rPr>
          <w:rFonts w:ascii="黑体" w:hAnsi="黑体" w:eastAsia="黑体" w:cs="黑体"/>
          <w:color w:val="000000"/>
          <w:sz w:val="28"/>
        </w:rPr>
        <w:t>D. 阿司匹林肠溶片</w:t>
      </w:r>
    </w:p>
    <w:p w14:paraId="5B909964">
      <w:pPr>
        <w:spacing w:line="240" w:lineRule="auto"/>
        <w:ind w:firstLine="600"/>
        <w:rPr>
          <w:sz w:val="28"/>
        </w:rPr>
      </w:pPr>
      <w:r>
        <w:rPr>
          <w:rFonts w:ascii="黑体" w:hAnsi="黑体" w:eastAsia="黑体" w:cs="黑体"/>
          <w:color w:val="000000"/>
          <w:sz w:val="28"/>
        </w:rPr>
        <w:t>E. 以上均无错误</w:t>
      </w:r>
    </w:p>
    <w:p w14:paraId="60182C18">
      <w:pPr>
        <w:spacing w:line="240" w:lineRule="auto"/>
        <w:ind w:firstLine="600"/>
        <w:rPr>
          <w:sz w:val="28"/>
        </w:rPr>
      </w:pPr>
      <w:r>
        <w:rPr>
          <w:rFonts w:ascii="黑体" w:hAnsi="黑体" w:eastAsia="黑体" w:cs="黑体"/>
          <w:color w:val="000000"/>
          <w:sz w:val="28"/>
        </w:rPr>
        <w:t>答案：无符合答案选项</w:t>
      </w:r>
    </w:p>
    <w:p w14:paraId="1D4AA562">
      <w:pPr>
        <w:spacing w:line="240" w:lineRule="auto"/>
        <w:ind w:firstLine="600"/>
        <w:rPr>
          <w:sz w:val="28"/>
        </w:rPr>
      </w:pPr>
      <w:r>
        <w:rPr>
          <w:rFonts w:ascii="黑体" w:hAnsi="黑体" w:eastAsia="黑体" w:cs="黑体"/>
          <w:color w:val="000000"/>
          <w:sz w:val="28"/>
        </w:rPr>
        <w:t>解析：氨氯地平片 10mg po qd（口服，每日 1 次）、美托洛尔缓释片 47.5mg po qd（口服，每日 1 次）、贝那普利片 20mg po qd（口服，每日 1 次）、阿司匹林肠溶片 100mg po qd（口服，每日 1 次），这些用法均正确。</w:t>
      </w:r>
    </w:p>
    <w:p w14:paraId="4680FCB3">
      <w:pPr>
        <w:spacing w:line="240" w:lineRule="auto"/>
        <w:ind w:firstLine="600"/>
        <w:rPr>
          <w:sz w:val="28"/>
        </w:rPr>
      </w:pPr>
      <w:r>
        <w:rPr>
          <w:rFonts w:ascii="黑体" w:hAnsi="黑体" w:eastAsia="黑体" w:cs="黑体"/>
          <w:color w:val="000000"/>
          <w:sz w:val="28"/>
        </w:rPr>
        <w:t>15. 患者，女，30 岁，因感冒发热，自行服用阿司匹林后出现恶心、呕吐、上腹部疼痛等症状。该患者可能出现了（  ）</w:t>
      </w:r>
    </w:p>
    <w:p w14:paraId="286387D8">
      <w:pPr>
        <w:spacing w:line="240" w:lineRule="auto"/>
        <w:ind w:firstLine="600"/>
        <w:rPr>
          <w:sz w:val="28"/>
        </w:rPr>
      </w:pPr>
      <w:r>
        <w:rPr>
          <w:rFonts w:ascii="黑体" w:hAnsi="黑体" w:eastAsia="黑体" w:cs="黑体"/>
          <w:color w:val="000000"/>
          <w:sz w:val="28"/>
        </w:rPr>
        <w:t>A. 过敏反应</w:t>
      </w:r>
    </w:p>
    <w:p w14:paraId="1234FE72">
      <w:pPr>
        <w:spacing w:line="240" w:lineRule="auto"/>
        <w:ind w:firstLine="600"/>
        <w:rPr>
          <w:sz w:val="28"/>
        </w:rPr>
      </w:pPr>
      <w:r>
        <w:rPr>
          <w:rFonts w:ascii="黑体" w:hAnsi="黑体" w:eastAsia="黑体" w:cs="黑体"/>
          <w:color w:val="000000"/>
          <w:sz w:val="28"/>
        </w:rPr>
        <w:t>B. 胃肠道反应</w:t>
      </w:r>
    </w:p>
    <w:p w14:paraId="514CE858">
      <w:pPr>
        <w:spacing w:line="240" w:lineRule="auto"/>
        <w:ind w:firstLine="600"/>
        <w:rPr>
          <w:sz w:val="28"/>
        </w:rPr>
      </w:pPr>
      <w:r>
        <w:rPr>
          <w:rFonts w:ascii="黑体" w:hAnsi="黑体" w:eastAsia="黑体" w:cs="黑体"/>
          <w:color w:val="000000"/>
          <w:sz w:val="28"/>
        </w:rPr>
        <w:t>C. 肝损害</w:t>
      </w:r>
    </w:p>
    <w:p w14:paraId="4C5E3A5D">
      <w:pPr>
        <w:spacing w:line="240" w:lineRule="auto"/>
        <w:ind w:firstLine="600"/>
        <w:rPr>
          <w:sz w:val="28"/>
        </w:rPr>
      </w:pPr>
      <w:r>
        <w:rPr>
          <w:rFonts w:ascii="黑体" w:hAnsi="黑体" w:eastAsia="黑体" w:cs="黑体"/>
          <w:color w:val="000000"/>
          <w:sz w:val="28"/>
        </w:rPr>
        <w:t>D. 肾损害</w:t>
      </w:r>
    </w:p>
    <w:p w14:paraId="4CBDF074">
      <w:pPr>
        <w:spacing w:line="240" w:lineRule="auto"/>
        <w:ind w:firstLine="600"/>
        <w:rPr>
          <w:sz w:val="28"/>
        </w:rPr>
      </w:pPr>
      <w:r>
        <w:rPr>
          <w:rFonts w:ascii="黑体" w:hAnsi="黑体" w:eastAsia="黑体" w:cs="黑体"/>
          <w:color w:val="000000"/>
          <w:sz w:val="28"/>
        </w:rPr>
        <w:t>E. 水杨酸反应</w:t>
      </w:r>
    </w:p>
    <w:p w14:paraId="218F2CE6">
      <w:pPr>
        <w:spacing w:line="240" w:lineRule="auto"/>
        <w:ind w:firstLine="600"/>
        <w:rPr>
          <w:sz w:val="28"/>
        </w:rPr>
      </w:pPr>
      <w:r>
        <w:rPr>
          <w:rFonts w:ascii="黑体" w:hAnsi="黑体" w:eastAsia="黑体" w:cs="黑体"/>
          <w:color w:val="000000"/>
          <w:sz w:val="28"/>
        </w:rPr>
        <w:t>答案：B</w:t>
      </w:r>
    </w:p>
    <w:p w14:paraId="2670902B">
      <w:pPr>
        <w:spacing w:line="240" w:lineRule="auto"/>
        <w:ind w:firstLine="600"/>
        <w:rPr>
          <w:sz w:val="28"/>
        </w:rPr>
      </w:pPr>
      <w:r>
        <w:rPr>
          <w:rFonts w:ascii="黑体" w:hAnsi="黑体" w:eastAsia="黑体" w:cs="黑体"/>
          <w:color w:val="000000"/>
          <w:sz w:val="28"/>
        </w:rPr>
        <w:t>解析：阿司匹林常见的不良反应为胃肠道反应，如恶心、呕吐、上腹部疼痛等，该患者服用阿司匹林后出现这些症状，可能是出现了胃肠道反应，B 正确。过敏反应表现为皮疹、瘙痒、呼吸困难等，A 错误；肝损害可出现肝功能异常等表现，C 错误；肾损害可出现血尿、蛋白尿等表现，D 错误；水杨酸反应表现为头痛、眩晕、耳鸣、视力和听力减退等，E 错误。</w:t>
      </w:r>
    </w:p>
    <w:p w14:paraId="4467A238">
      <w:pPr>
        <w:spacing w:line="240" w:lineRule="auto"/>
        <w:ind w:firstLine="600"/>
        <w:rPr>
          <w:sz w:val="28"/>
        </w:rPr>
      </w:pPr>
      <w:r>
        <w:rPr>
          <w:rFonts w:ascii="黑体" w:hAnsi="黑体" w:eastAsia="黑体" w:cs="黑体"/>
          <w:color w:val="000000"/>
          <w:sz w:val="28"/>
        </w:rPr>
        <w:t xml:space="preserve"> 药事管理与法规</w:t>
      </w:r>
    </w:p>
    <w:p w14:paraId="25A2C3E1">
      <w:pPr>
        <w:spacing w:line="240" w:lineRule="auto"/>
        <w:ind w:firstLine="600"/>
        <w:rPr>
          <w:sz w:val="28"/>
        </w:rPr>
      </w:pPr>
      <w:r>
        <w:rPr>
          <w:rFonts w:ascii="黑体" w:hAnsi="黑体" w:eastAsia="黑体" w:cs="黑体"/>
          <w:color w:val="000000"/>
          <w:sz w:val="28"/>
        </w:rPr>
        <w:t>16. 根据《药品管理法》，下列情形中不属于假药的是（  ）</w:t>
      </w:r>
    </w:p>
    <w:p w14:paraId="5504C0DE">
      <w:pPr>
        <w:spacing w:line="240" w:lineRule="auto"/>
        <w:ind w:firstLine="600"/>
        <w:rPr>
          <w:sz w:val="28"/>
        </w:rPr>
      </w:pPr>
      <w:r>
        <w:rPr>
          <w:rFonts w:ascii="黑体" w:hAnsi="黑体" w:eastAsia="黑体" w:cs="黑体"/>
          <w:color w:val="000000"/>
          <w:sz w:val="28"/>
        </w:rPr>
        <w:t>A. 药品所含成份与国家药品标准规定的成份不符</w:t>
      </w:r>
    </w:p>
    <w:p w14:paraId="2D58FCC4">
      <w:pPr>
        <w:spacing w:line="240" w:lineRule="auto"/>
        <w:ind w:firstLine="600"/>
        <w:rPr>
          <w:sz w:val="28"/>
        </w:rPr>
      </w:pPr>
      <w:r>
        <w:rPr>
          <w:rFonts w:ascii="黑体" w:hAnsi="黑体" w:eastAsia="黑体" w:cs="黑体"/>
          <w:color w:val="000000"/>
          <w:sz w:val="28"/>
        </w:rPr>
        <w:t>B. 以非药品冒充药品或者以他种药品冒充此种药品</w:t>
      </w:r>
    </w:p>
    <w:p w14:paraId="7468ACD6">
      <w:pPr>
        <w:spacing w:line="240" w:lineRule="auto"/>
        <w:ind w:firstLine="600"/>
        <w:rPr>
          <w:sz w:val="28"/>
        </w:rPr>
      </w:pPr>
      <w:r>
        <w:rPr>
          <w:rFonts w:ascii="黑体" w:hAnsi="黑体" w:eastAsia="黑体" w:cs="黑体"/>
          <w:color w:val="000000"/>
          <w:sz w:val="28"/>
        </w:rPr>
        <w:t>C. 变质的药品</w:t>
      </w:r>
    </w:p>
    <w:p w14:paraId="47A16E32">
      <w:pPr>
        <w:spacing w:line="240" w:lineRule="auto"/>
        <w:ind w:firstLine="600"/>
        <w:rPr>
          <w:sz w:val="28"/>
        </w:rPr>
      </w:pPr>
      <w:r>
        <w:rPr>
          <w:rFonts w:ascii="黑体" w:hAnsi="黑体" w:eastAsia="黑体" w:cs="黑体"/>
          <w:color w:val="000000"/>
          <w:sz w:val="28"/>
        </w:rPr>
        <w:t>D. 药品所标明的适应症或者功能主治超出规定范围</w:t>
      </w:r>
    </w:p>
    <w:p w14:paraId="43BDA206">
      <w:pPr>
        <w:spacing w:line="240" w:lineRule="auto"/>
        <w:ind w:firstLine="600"/>
        <w:rPr>
          <w:sz w:val="28"/>
        </w:rPr>
      </w:pPr>
      <w:r>
        <w:rPr>
          <w:rFonts w:ascii="黑体" w:hAnsi="黑体" w:eastAsia="黑体" w:cs="黑体"/>
          <w:color w:val="000000"/>
          <w:sz w:val="28"/>
        </w:rPr>
        <w:t>E. 被污染的药品</w:t>
      </w:r>
    </w:p>
    <w:p w14:paraId="0B279F14">
      <w:pPr>
        <w:spacing w:line="240" w:lineRule="auto"/>
        <w:ind w:firstLine="600"/>
        <w:rPr>
          <w:sz w:val="28"/>
        </w:rPr>
      </w:pPr>
      <w:r>
        <w:rPr>
          <w:rFonts w:ascii="黑体" w:hAnsi="黑体" w:eastAsia="黑体" w:cs="黑体"/>
          <w:color w:val="000000"/>
          <w:sz w:val="28"/>
        </w:rPr>
        <w:t>答案：E</w:t>
      </w:r>
    </w:p>
    <w:p w14:paraId="43982627">
      <w:pPr>
        <w:spacing w:line="240" w:lineRule="auto"/>
        <w:ind w:firstLine="600"/>
        <w:rPr>
          <w:sz w:val="28"/>
        </w:rPr>
      </w:pPr>
      <w:r>
        <w:rPr>
          <w:rFonts w:ascii="黑体" w:hAnsi="黑体" w:eastAsia="黑体" w:cs="黑体"/>
          <w:color w:val="000000"/>
          <w:sz w:val="28"/>
        </w:rPr>
        <w:t>解析：被污染的药品属于劣药，不属于假药，E 正确。药品所含成份与国家药品标准规定的成份不符、以非药品冒充药品或者以他种药品冒充此种药品、变质的药品、药品所标明的适应症或者功能主治超出规定范围均属于假药，A、B、C、D 错误。</w:t>
      </w:r>
    </w:p>
    <w:p w14:paraId="4B71625A">
      <w:pPr>
        <w:spacing w:line="240" w:lineRule="auto"/>
        <w:ind w:firstLine="600"/>
        <w:rPr>
          <w:sz w:val="28"/>
        </w:rPr>
      </w:pPr>
      <w:r>
        <w:rPr>
          <w:rFonts w:ascii="黑体" w:hAnsi="黑体" w:eastAsia="黑体" w:cs="黑体"/>
          <w:color w:val="000000"/>
          <w:sz w:val="28"/>
        </w:rPr>
        <w:t>17. 根据《药品经营质量管理规范》，关于药品零售企业拆零销售管理的说法，错误的是（  ）</w:t>
      </w:r>
    </w:p>
    <w:p w14:paraId="7A36B900">
      <w:pPr>
        <w:spacing w:line="240" w:lineRule="auto"/>
        <w:ind w:firstLine="600"/>
        <w:rPr>
          <w:sz w:val="28"/>
        </w:rPr>
      </w:pPr>
      <w:r>
        <w:rPr>
          <w:rFonts w:ascii="黑体" w:hAnsi="黑体" w:eastAsia="黑体" w:cs="黑体"/>
          <w:color w:val="000000"/>
          <w:sz w:val="28"/>
        </w:rPr>
        <w:t>A. 负责药品拆零销售的人员应经过专门培训，方能从事拆零销售工作</w:t>
      </w:r>
    </w:p>
    <w:p w14:paraId="461555E5">
      <w:pPr>
        <w:spacing w:line="240" w:lineRule="auto"/>
        <w:ind w:firstLine="600"/>
        <w:rPr>
          <w:sz w:val="28"/>
        </w:rPr>
      </w:pPr>
      <w:r>
        <w:rPr>
          <w:rFonts w:ascii="黑体" w:hAnsi="黑体" w:eastAsia="黑体" w:cs="黑体"/>
          <w:color w:val="000000"/>
          <w:sz w:val="28"/>
        </w:rPr>
        <w:t>B. 药品拆零销售期间，应保留原包装和说明书</w:t>
      </w:r>
    </w:p>
    <w:p w14:paraId="36F261C3">
      <w:pPr>
        <w:spacing w:line="240" w:lineRule="auto"/>
        <w:ind w:firstLine="600"/>
        <w:rPr>
          <w:sz w:val="28"/>
        </w:rPr>
      </w:pPr>
      <w:r>
        <w:rPr>
          <w:rFonts w:ascii="黑体" w:hAnsi="黑体" w:eastAsia="黑体" w:cs="黑体"/>
          <w:color w:val="000000"/>
          <w:sz w:val="28"/>
        </w:rPr>
        <w:t>C. 药品拆零销售应提供药品说明书原件</w:t>
      </w:r>
    </w:p>
    <w:p w14:paraId="3757BB1C">
      <w:pPr>
        <w:spacing w:line="240" w:lineRule="auto"/>
        <w:ind w:firstLine="600"/>
        <w:rPr>
          <w:sz w:val="28"/>
        </w:rPr>
      </w:pPr>
      <w:r>
        <w:rPr>
          <w:rFonts w:ascii="黑体" w:hAnsi="黑体" w:eastAsia="黑体" w:cs="黑体"/>
          <w:color w:val="000000"/>
          <w:sz w:val="28"/>
        </w:rPr>
        <w:t>D. 拆零销售的药品应集中存放于拆零专柜或者专区</w:t>
      </w:r>
    </w:p>
    <w:p w14:paraId="304D2CEC">
      <w:pPr>
        <w:spacing w:line="240" w:lineRule="auto"/>
        <w:ind w:firstLine="600"/>
        <w:rPr>
          <w:sz w:val="28"/>
        </w:rPr>
      </w:pPr>
      <w:r>
        <w:rPr>
          <w:rFonts w:ascii="黑体" w:hAnsi="黑体" w:eastAsia="黑体" w:cs="黑体"/>
          <w:color w:val="000000"/>
          <w:sz w:val="28"/>
        </w:rPr>
        <w:t>E. 拆零销售期间，应做好拆零销售记录</w:t>
      </w:r>
    </w:p>
    <w:p w14:paraId="6E2B6662">
      <w:pPr>
        <w:spacing w:line="240" w:lineRule="auto"/>
        <w:ind w:firstLine="600"/>
        <w:rPr>
          <w:sz w:val="28"/>
        </w:rPr>
      </w:pPr>
      <w:r>
        <w:rPr>
          <w:rFonts w:ascii="黑体" w:hAnsi="黑体" w:eastAsia="黑体" w:cs="黑体"/>
          <w:color w:val="000000"/>
          <w:sz w:val="28"/>
        </w:rPr>
        <w:t>答案：C</w:t>
      </w:r>
    </w:p>
    <w:p w14:paraId="62C2C01F">
      <w:pPr>
        <w:spacing w:line="240" w:lineRule="auto"/>
        <w:ind w:firstLine="600"/>
        <w:rPr>
          <w:sz w:val="28"/>
        </w:rPr>
      </w:pPr>
      <w:r>
        <w:rPr>
          <w:rFonts w:ascii="黑体" w:hAnsi="黑体" w:eastAsia="黑体" w:cs="黑体"/>
          <w:color w:val="000000"/>
          <w:sz w:val="28"/>
        </w:rPr>
        <w:t>解析：药品拆零销售应提供药品说明书复印件，而不是原件，C 错误。其余选项均正确，负责药品拆零销售的人员应经过专门培训，方能从事拆零销售工作，A 正确；药品拆零销售期间，应保留原包装和说明书，B 正确；拆零销售的药品应集中存放于拆零专柜或者专区，D 正确；拆零销售期间，应做好拆零销售记录，E 正确。</w:t>
      </w:r>
    </w:p>
    <w:p w14:paraId="4C71F400">
      <w:pPr>
        <w:spacing w:line="240" w:lineRule="auto"/>
        <w:ind w:firstLine="600"/>
        <w:rPr>
          <w:sz w:val="28"/>
        </w:rPr>
      </w:pPr>
      <w:r>
        <w:rPr>
          <w:rFonts w:ascii="黑体" w:hAnsi="黑体" w:eastAsia="黑体" w:cs="黑体"/>
          <w:color w:val="000000"/>
          <w:sz w:val="28"/>
        </w:rPr>
        <w:t>18. 根据《麻醉药品和精神药品管理条例》，关于麻醉药品和精神药品定点批发企业应具备条件的说法，错误的是（  ）</w:t>
      </w:r>
    </w:p>
    <w:p w14:paraId="329CF29A">
      <w:pPr>
        <w:spacing w:line="240" w:lineRule="auto"/>
        <w:ind w:firstLine="600"/>
        <w:rPr>
          <w:sz w:val="28"/>
        </w:rPr>
      </w:pPr>
      <w:r>
        <w:rPr>
          <w:rFonts w:ascii="黑体" w:hAnsi="黑体" w:eastAsia="黑体" w:cs="黑体"/>
          <w:color w:val="000000"/>
          <w:sz w:val="28"/>
        </w:rPr>
        <w:t>A. 具有符合条例规定的麻醉药品和精神药品储存条件</w:t>
      </w:r>
    </w:p>
    <w:p w14:paraId="3ED67033">
      <w:pPr>
        <w:spacing w:line="240" w:lineRule="auto"/>
        <w:ind w:firstLine="600"/>
        <w:rPr>
          <w:sz w:val="28"/>
        </w:rPr>
      </w:pPr>
      <w:r>
        <w:rPr>
          <w:rFonts w:ascii="黑体" w:hAnsi="黑体" w:eastAsia="黑体" w:cs="黑体"/>
          <w:color w:val="000000"/>
          <w:sz w:val="28"/>
        </w:rPr>
        <w:t>B. 单位及其工作人员 5 年内没有违反有关禁毒的法律、行政法规规定的行为</w:t>
      </w:r>
    </w:p>
    <w:p w14:paraId="1BB077A2">
      <w:pPr>
        <w:spacing w:line="240" w:lineRule="auto"/>
        <w:ind w:firstLine="600"/>
        <w:rPr>
          <w:sz w:val="28"/>
        </w:rPr>
      </w:pPr>
      <w:r>
        <w:rPr>
          <w:rFonts w:ascii="黑体" w:hAnsi="黑体" w:eastAsia="黑体" w:cs="黑体"/>
          <w:color w:val="000000"/>
          <w:sz w:val="28"/>
        </w:rPr>
        <w:t>C. 具有保证供应责任区域内医疗机构所需麻醉药品和第一类精神药品的能力</w:t>
      </w:r>
    </w:p>
    <w:p w14:paraId="4417F1EB">
      <w:pPr>
        <w:spacing w:line="240" w:lineRule="auto"/>
        <w:ind w:firstLine="600"/>
        <w:rPr>
          <w:sz w:val="28"/>
        </w:rPr>
      </w:pPr>
      <w:r>
        <w:rPr>
          <w:rFonts w:ascii="黑体" w:hAnsi="黑体" w:eastAsia="黑体" w:cs="黑体"/>
          <w:color w:val="000000"/>
          <w:sz w:val="28"/>
        </w:rPr>
        <w:t>D. 具有保证麻醉药品和第一类精神药品安全经营的管理制度</w:t>
      </w:r>
    </w:p>
    <w:p w14:paraId="44FB81F8">
      <w:pPr>
        <w:spacing w:line="240" w:lineRule="auto"/>
        <w:ind w:firstLine="600"/>
        <w:rPr>
          <w:sz w:val="28"/>
        </w:rPr>
      </w:pPr>
      <w:r>
        <w:rPr>
          <w:rFonts w:ascii="黑体" w:hAnsi="黑体" w:eastAsia="黑体" w:cs="黑体"/>
          <w:color w:val="000000"/>
          <w:sz w:val="28"/>
        </w:rPr>
        <w:t>E. 有通过网络实施企业安全管理和向药品监督管理部门报告经营信息的能力</w:t>
      </w:r>
    </w:p>
    <w:p w14:paraId="4A374AA3">
      <w:pPr>
        <w:spacing w:line="240" w:lineRule="auto"/>
        <w:ind w:firstLine="600"/>
        <w:rPr>
          <w:sz w:val="28"/>
        </w:rPr>
      </w:pPr>
      <w:r>
        <w:rPr>
          <w:rFonts w:ascii="黑体" w:hAnsi="黑体" w:eastAsia="黑体" w:cs="黑体"/>
          <w:color w:val="000000"/>
          <w:sz w:val="28"/>
        </w:rPr>
        <w:t>答案：B</w:t>
      </w:r>
    </w:p>
    <w:p w14:paraId="00B5AB1C">
      <w:pPr>
        <w:spacing w:line="240" w:lineRule="auto"/>
        <w:ind w:firstLine="600"/>
        <w:rPr>
          <w:sz w:val="28"/>
        </w:rPr>
      </w:pPr>
      <w:r>
        <w:rPr>
          <w:rFonts w:ascii="黑体" w:hAnsi="黑体" w:eastAsia="黑体" w:cs="黑体"/>
          <w:color w:val="000000"/>
          <w:sz w:val="28"/>
        </w:rPr>
        <w:t>解析：单位及其工作人员 2 年内没有违反有关禁毒的法律、行政法规规定的行为，而不是 5 年，B 错误。其余选项均正确，具有符合条例规定的麻醉药品和精神药品储存条件，A 正确；具有保证供应责任区域内医疗机构所需麻醉药品和第一类精神药品的能力，C 正确；具有保证麻醉药品和第一类精神药品安全经营的管理制度，D 正确；有通过网络实施企业安全管理和向药品监督管理部门报告经营信息的能力，E 正确。</w:t>
      </w:r>
    </w:p>
    <w:p w14:paraId="63BCF6C0">
      <w:pPr>
        <w:spacing w:line="240" w:lineRule="auto"/>
        <w:ind w:firstLine="600"/>
        <w:rPr>
          <w:sz w:val="28"/>
        </w:rPr>
      </w:pPr>
      <w:r>
        <w:rPr>
          <w:rFonts w:ascii="黑体" w:hAnsi="黑体" w:eastAsia="黑体" w:cs="黑体"/>
          <w:color w:val="000000"/>
          <w:sz w:val="28"/>
        </w:rPr>
        <w:t>19. 根据《药品不良反应报告和监测管理办法》，药品生产、经营企业和医疗机构发现或者获知新的、严重的药品不良反应，应当在（  ）日内报告。</w:t>
      </w:r>
    </w:p>
    <w:p w14:paraId="35348D81">
      <w:pPr>
        <w:spacing w:line="240" w:lineRule="auto"/>
        <w:ind w:firstLine="600"/>
        <w:rPr>
          <w:sz w:val="28"/>
        </w:rPr>
      </w:pPr>
      <w:r>
        <w:rPr>
          <w:rFonts w:ascii="黑体" w:hAnsi="黑体" w:eastAsia="黑体" w:cs="黑体"/>
          <w:color w:val="000000"/>
          <w:sz w:val="28"/>
        </w:rPr>
        <w:t>A. 3</w:t>
      </w:r>
    </w:p>
    <w:p w14:paraId="665EAF9A">
      <w:pPr>
        <w:spacing w:line="240" w:lineRule="auto"/>
        <w:ind w:firstLine="600"/>
        <w:rPr>
          <w:sz w:val="28"/>
        </w:rPr>
      </w:pPr>
      <w:r>
        <w:rPr>
          <w:rFonts w:ascii="黑体" w:hAnsi="黑体" w:eastAsia="黑体" w:cs="黑体"/>
          <w:color w:val="000000"/>
          <w:sz w:val="28"/>
        </w:rPr>
        <w:t>B. 5</w:t>
      </w:r>
    </w:p>
    <w:p w14:paraId="698EDB62">
      <w:pPr>
        <w:spacing w:line="240" w:lineRule="auto"/>
        <w:ind w:firstLine="600"/>
        <w:rPr>
          <w:sz w:val="28"/>
        </w:rPr>
      </w:pPr>
      <w:r>
        <w:rPr>
          <w:rFonts w:ascii="黑体" w:hAnsi="黑体" w:eastAsia="黑体" w:cs="黑体"/>
          <w:color w:val="000000"/>
          <w:sz w:val="28"/>
        </w:rPr>
        <w:t>C. 7</w:t>
      </w:r>
    </w:p>
    <w:p w14:paraId="00E7687A">
      <w:pPr>
        <w:spacing w:line="240" w:lineRule="auto"/>
        <w:ind w:firstLine="600"/>
        <w:rPr>
          <w:sz w:val="28"/>
        </w:rPr>
      </w:pPr>
      <w:r>
        <w:rPr>
          <w:rFonts w:ascii="黑体" w:hAnsi="黑体" w:eastAsia="黑体" w:cs="黑体"/>
          <w:color w:val="000000"/>
          <w:sz w:val="28"/>
        </w:rPr>
        <w:t>D. 15</w:t>
      </w:r>
    </w:p>
    <w:p w14:paraId="5739668E">
      <w:pPr>
        <w:spacing w:line="240" w:lineRule="auto"/>
        <w:ind w:firstLine="600"/>
        <w:rPr>
          <w:sz w:val="28"/>
        </w:rPr>
      </w:pPr>
      <w:r>
        <w:rPr>
          <w:rFonts w:ascii="黑体" w:hAnsi="黑体" w:eastAsia="黑体" w:cs="黑体"/>
          <w:color w:val="000000"/>
          <w:sz w:val="28"/>
        </w:rPr>
        <w:t>E. 30</w:t>
      </w:r>
    </w:p>
    <w:p w14:paraId="05E3FE18">
      <w:pPr>
        <w:spacing w:line="240" w:lineRule="auto"/>
        <w:ind w:firstLine="600"/>
        <w:rPr>
          <w:sz w:val="28"/>
        </w:rPr>
      </w:pPr>
      <w:r>
        <w:rPr>
          <w:rFonts w:ascii="黑体" w:hAnsi="黑体" w:eastAsia="黑体" w:cs="黑体"/>
          <w:color w:val="000000"/>
          <w:sz w:val="28"/>
        </w:rPr>
        <w:t>答案：D</w:t>
      </w:r>
    </w:p>
    <w:p w14:paraId="1ECEAFAF">
      <w:pPr>
        <w:spacing w:line="240" w:lineRule="auto"/>
        <w:ind w:firstLine="600"/>
        <w:rPr>
          <w:sz w:val="28"/>
        </w:rPr>
      </w:pPr>
      <w:r>
        <w:rPr>
          <w:rFonts w:ascii="黑体" w:hAnsi="黑体" w:eastAsia="黑体" w:cs="黑体"/>
          <w:color w:val="000000"/>
          <w:sz w:val="28"/>
        </w:rPr>
        <w:t>解析：药品生产、经营企业和医疗机构发现或者获知新的、严重的药品不良反应，应当在 15 日内报告，D 正确。</w:t>
      </w:r>
    </w:p>
    <w:p w14:paraId="7DF375F6">
      <w:pPr>
        <w:spacing w:line="240" w:lineRule="auto"/>
        <w:ind w:firstLine="600"/>
        <w:rPr>
          <w:sz w:val="28"/>
        </w:rPr>
      </w:pPr>
      <w:r>
        <w:rPr>
          <w:rFonts w:ascii="黑体" w:hAnsi="黑体" w:eastAsia="黑体" w:cs="黑体"/>
          <w:color w:val="000000"/>
          <w:sz w:val="28"/>
        </w:rPr>
        <w:t>20. 根据《药品注册管理办法》，下列药品注册类别中，属于新药申请的是（  ）</w:t>
      </w:r>
    </w:p>
    <w:p w14:paraId="7EEA3623">
      <w:pPr>
        <w:spacing w:line="240" w:lineRule="auto"/>
        <w:ind w:firstLine="600"/>
        <w:rPr>
          <w:sz w:val="28"/>
        </w:rPr>
      </w:pPr>
      <w:r>
        <w:rPr>
          <w:rFonts w:ascii="黑体" w:hAnsi="黑体" w:eastAsia="黑体" w:cs="黑体"/>
          <w:color w:val="000000"/>
          <w:sz w:val="28"/>
        </w:rPr>
        <w:t>A. 仿制药申请</w:t>
      </w:r>
    </w:p>
    <w:p w14:paraId="7A0C7802">
      <w:pPr>
        <w:spacing w:line="240" w:lineRule="auto"/>
        <w:ind w:firstLine="600"/>
        <w:rPr>
          <w:sz w:val="28"/>
        </w:rPr>
      </w:pPr>
      <w:r>
        <w:rPr>
          <w:rFonts w:ascii="黑体" w:hAnsi="黑体" w:eastAsia="黑体" w:cs="黑体"/>
          <w:color w:val="000000"/>
          <w:sz w:val="28"/>
        </w:rPr>
        <w:t>B. 进口药品申请</w:t>
      </w:r>
    </w:p>
    <w:p w14:paraId="0529396F">
      <w:pPr>
        <w:spacing w:line="240" w:lineRule="auto"/>
        <w:ind w:firstLine="600"/>
        <w:rPr>
          <w:sz w:val="28"/>
        </w:rPr>
      </w:pPr>
      <w:r>
        <w:rPr>
          <w:rFonts w:ascii="黑体" w:hAnsi="黑体" w:eastAsia="黑体" w:cs="黑体"/>
          <w:color w:val="000000"/>
          <w:sz w:val="28"/>
        </w:rPr>
        <w:t>C. 补充申请</w:t>
      </w:r>
    </w:p>
    <w:p w14:paraId="09D68389">
      <w:pPr>
        <w:spacing w:line="240" w:lineRule="auto"/>
        <w:ind w:firstLine="600"/>
        <w:rPr>
          <w:sz w:val="28"/>
        </w:rPr>
      </w:pPr>
      <w:r>
        <w:rPr>
          <w:rFonts w:ascii="黑体" w:hAnsi="黑体" w:eastAsia="黑体" w:cs="黑体"/>
          <w:color w:val="000000"/>
          <w:sz w:val="28"/>
        </w:rPr>
        <w:t>D. 再注册申请</w:t>
      </w:r>
    </w:p>
    <w:p w14:paraId="1C8B6256">
      <w:pPr>
        <w:spacing w:line="240" w:lineRule="auto"/>
        <w:ind w:firstLine="600"/>
        <w:rPr>
          <w:sz w:val="28"/>
        </w:rPr>
      </w:pPr>
      <w:r>
        <w:rPr>
          <w:rFonts w:ascii="黑体" w:hAnsi="黑体" w:eastAsia="黑体" w:cs="黑体"/>
          <w:color w:val="000000"/>
          <w:sz w:val="28"/>
        </w:rPr>
        <w:t>E. 境内外均未上市的药品的申请</w:t>
      </w:r>
    </w:p>
    <w:p w14:paraId="42F83658">
      <w:pPr>
        <w:spacing w:line="240" w:lineRule="auto"/>
        <w:ind w:firstLine="600"/>
        <w:rPr>
          <w:sz w:val="28"/>
        </w:rPr>
      </w:pPr>
      <w:r>
        <w:rPr>
          <w:rFonts w:ascii="黑体" w:hAnsi="黑体" w:eastAsia="黑体" w:cs="黑体"/>
          <w:color w:val="000000"/>
          <w:sz w:val="28"/>
        </w:rPr>
        <w:t>答案：E</w:t>
      </w:r>
    </w:p>
    <w:p w14:paraId="45B6DC14">
      <w:pPr>
        <w:spacing w:line="240" w:lineRule="auto"/>
        <w:ind w:firstLine="600"/>
        <w:rPr>
          <w:sz w:val="28"/>
        </w:rPr>
      </w:pPr>
      <w:r>
        <w:rPr>
          <w:rFonts w:ascii="黑体" w:hAnsi="黑体" w:eastAsia="黑体" w:cs="黑体"/>
          <w:color w:val="000000"/>
          <w:sz w:val="28"/>
        </w:rPr>
        <w:t>解析：境内外均未上市的药品的申请属于新药申请，E 正确。仿制药申请是指生产国家药品监督管理局已批准上市的，已有国家标准的药品的注册申请，A 错误；进口药品申请是指在境外生产的药品在中国境内上市销售的注册申请，B 错误；补充申请是指新药申请、仿制药申请或者进口药品申请经批准后，改变、增加或者取消原批准事项或者内容的注册申请，C 错误；再注册申请是指药品批准证明文件有效期满后申请人拟继续生产或者进口该药品的注册申请，D 错误。</w:t>
      </w:r>
    </w:p>
    <w:p w14:paraId="6A10C661">
      <w:pPr>
        <w:spacing w:line="240" w:lineRule="auto"/>
        <w:ind w:firstLine="600"/>
        <w:rPr>
          <w:sz w:val="28"/>
        </w:rPr>
      </w:pPr>
      <w:r>
        <w:rPr>
          <w:rFonts w:ascii="黑体" w:hAnsi="黑体" w:eastAsia="黑体" w:cs="黑体"/>
          <w:color w:val="000000"/>
          <w:sz w:val="28"/>
        </w:rPr>
        <w:t xml:space="preserve"> 更多题目</w:t>
      </w:r>
    </w:p>
    <w:p w14:paraId="168F72D4">
      <w:pPr>
        <w:spacing w:line="240" w:lineRule="auto"/>
        <w:ind w:firstLine="600"/>
        <w:rPr>
          <w:sz w:val="28"/>
        </w:rPr>
      </w:pPr>
      <w:r>
        <w:rPr>
          <w:rFonts w:ascii="黑体" w:hAnsi="黑体" w:eastAsia="黑体" w:cs="黑体"/>
          <w:color w:val="000000"/>
          <w:sz w:val="28"/>
        </w:rPr>
        <w:t>21. 关于药物化学结构修饰的说法，错误的是（  ）</w:t>
      </w:r>
    </w:p>
    <w:p w14:paraId="256198C3">
      <w:pPr>
        <w:spacing w:line="240" w:lineRule="auto"/>
        <w:ind w:firstLine="600"/>
        <w:rPr>
          <w:sz w:val="28"/>
        </w:rPr>
      </w:pPr>
      <w:r>
        <w:rPr>
          <w:rFonts w:ascii="黑体" w:hAnsi="黑体" w:eastAsia="黑体" w:cs="黑体"/>
          <w:color w:val="000000"/>
          <w:sz w:val="28"/>
        </w:rPr>
        <w:t>A. 药物化学结构修饰可以提高药物的稳定性</w:t>
      </w:r>
    </w:p>
    <w:p w14:paraId="31B1A678">
      <w:pPr>
        <w:spacing w:line="240" w:lineRule="auto"/>
        <w:ind w:firstLine="600"/>
        <w:rPr>
          <w:sz w:val="28"/>
        </w:rPr>
      </w:pPr>
      <w:r>
        <w:rPr>
          <w:rFonts w:ascii="黑体" w:hAnsi="黑体" w:eastAsia="黑体" w:cs="黑体"/>
          <w:color w:val="000000"/>
          <w:sz w:val="28"/>
        </w:rPr>
        <w:t>B. 药物化学结构修饰可以改善药物的溶解性</w:t>
      </w:r>
    </w:p>
    <w:p w14:paraId="2E683E51">
      <w:pPr>
        <w:spacing w:line="240" w:lineRule="auto"/>
        <w:ind w:firstLine="600"/>
        <w:rPr>
          <w:sz w:val="28"/>
        </w:rPr>
      </w:pPr>
      <w:r>
        <w:rPr>
          <w:rFonts w:ascii="黑体" w:hAnsi="黑体" w:eastAsia="黑体" w:cs="黑体"/>
          <w:color w:val="000000"/>
          <w:sz w:val="28"/>
        </w:rPr>
        <w:t>C. 药物化学结构修饰可以降低药物的毒副作用</w:t>
      </w:r>
    </w:p>
    <w:p w14:paraId="42E1AEE5">
      <w:pPr>
        <w:spacing w:line="240" w:lineRule="auto"/>
        <w:ind w:firstLine="600"/>
        <w:rPr>
          <w:sz w:val="28"/>
        </w:rPr>
      </w:pPr>
      <w:r>
        <w:rPr>
          <w:rFonts w:ascii="黑体" w:hAnsi="黑体" w:eastAsia="黑体" w:cs="黑体"/>
          <w:color w:val="000000"/>
          <w:sz w:val="28"/>
        </w:rPr>
        <w:t>D. 药物化学结构修饰可以改变药物的作用靶点</w:t>
      </w:r>
    </w:p>
    <w:p w14:paraId="0500C8AF">
      <w:pPr>
        <w:spacing w:line="240" w:lineRule="auto"/>
        <w:ind w:firstLine="600"/>
        <w:rPr>
          <w:sz w:val="28"/>
        </w:rPr>
      </w:pPr>
      <w:r>
        <w:rPr>
          <w:rFonts w:ascii="黑体" w:hAnsi="黑体" w:eastAsia="黑体" w:cs="黑体"/>
          <w:color w:val="000000"/>
          <w:sz w:val="28"/>
        </w:rPr>
        <w:t>E. 药物化学结构修饰可以延长药物的作用时间</w:t>
      </w:r>
    </w:p>
    <w:p w14:paraId="568932BA">
      <w:pPr>
        <w:spacing w:line="240" w:lineRule="auto"/>
        <w:ind w:firstLine="600"/>
        <w:rPr>
          <w:sz w:val="28"/>
        </w:rPr>
      </w:pPr>
      <w:r>
        <w:rPr>
          <w:rFonts w:ascii="黑体" w:hAnsi="黑体" w:eastAsia="黑体" w:cs="黑体"/>
          <w:color w:val="000000"/>
          <w:sz w:val="28"/>
        </w:rPr>
        <w:t>答案：D</w:t>
      </w:r>
    </w:p>
    <w:p w14:paraId="31F875EA">
      <w:pPr>
        <w:spacing w:line="240" w:lineRule="auto"/>
        <w:ind w:firstLine="600"/>
        <w:rPr>
          <w:sz w:val="28"/>
        </w:rPr>
      </w:pPr>
      <w:r>
        <w:rPr>
          <w:rFonts w:ascii="黑体" w:hAnsi="黑体" w:eastAsia="黑体" w:cs="黑体"/>
          <w:color w:val="000000"/>
          <w:sz w:val="28"/>
        </w:rPr>
        <w:t>解析：药物化学结构修饰一般不会改变药物的作用靶点，主要是在不改变药物基本作用机制的前提下，对药物的理化性质、药代动力学性质等进行改善，如提高稳定性、改善溶解性、降低毒副作用、延长作用时间等。所以 D 选项说法错误，A、B、C、E 选项说法正确。</w:t>
      </w:r>
    </w:p>
    <w:p w14:paraId="555F5325">
      <w:pPr>
        <w:spacing w:line="240" w:lineRule="auto"/>
        <w:ind w:firstLine="600"/>
        <w:rPr>
          <w:sz w:val="28"/>
        </w:rPr>
      </w:pPr>
      <w:r>
        <w:rPr>
          <w:rFonts w:ascii="黑体" w:hAnsi="黑体" w:eastAsia="黑体" w:cs="黑体"/>
          <w:color w:val="000000"/>
          <w:sz w:val="28"/>
        </w:rPr>
        <w:t>22. 下列药物中，属于前体药物的是（  ）</w:t>
      </w:r>
    </w:p>
    <w:p w14:paraId="440270F6">
      <w:pPr>
        <w:spacing w:line="240" w:lineRule="auto"/>
        <w:ind w:firstLine="600"/>
        <w:rPr>
          <w:sz w:val="28"/>
        </w:rPr>
      </w:pPr>
      <w:r>
        <w:rPr>
          <w:rFonts w:ascii="黑体" w:hAnsi="黑体" w:eastAsia="黑体" w:cs="黑体"/>
          <w:color w:val="000000"/>
          <w:sz w:val="28"/>
        </w:rPr>
        <w:t>A. 阿莫西林</w:t>
      </w:r>
    </w:p>
    <w:p w14:paraId="7ACCD6F6">
      <w:pPr>
        <w:spacing w:line="240" w:lineRule="auto"/>
        <w:ind w:firstLine="600"/>
        <w:rPr>
          <w:sz w:val="28"/>
        </w:rPr>
      </w:pPr>
      <w:r>
        <w:rPr>
          <w:rFonts w:ascii="黑体" w:hAnsi="黑体" w:eastAsia="黑体" w:cs="黑体"/>
          <w:color w:val="000000"/>
          <w:sz w:val="28"/>
        </w:rPr>
        <w:t>B. 阿司匹林</w:t>
      </w:r>
    </w:p>
    <w:p w14:paraId="31723849">
      <w:pPr>
        <w:spacing w:line="240" w:lineRule="auto"/>
        <w:ind w:firstLine="600"/>
        <w:rPr>
          <w:sz w:val="28"/>
        </w:rPr>
      </w:pPr>
      <w:r>
        <w:rPr>
          <w:rFonts w:ascii="黑体" w:hAnsi="黑体" w:eastAsia="黑体" w:cs="黑体"/>
          <w:color w:val="000000"/>
          <w:sz w:val="28"/>
        </w:rPr>
        <w:t>C. 地西泮</w:t>
      </w:r>
    </w:p>
    <w:p w14:paraId="00B20B66">
      <w:pPr>
        <w:spacing w:line="240" w:lineRule="auto"/>
        <w:ind w:firstLine="600"/>
        <w:rPr>
          <w:sz w:val="28"/>
        </w:rPr>
      </w:pPr>
      <w:r>
        <w:rPr>
          <w:rFonts w:ascii="黑体" w:hAnsi="黑体" w:eastAsia="黑体" w:cs="黑体"/>
          <w:color w:val="000000"/>
          <w:sz w:val="28"/>
        </w:rPr>
        <w:t>D. 舒林酸</w:t>
      </w:r>
    </w:p>
    <w:p w14:paraId="45E995E9">
      <w:pPr>
        <w:spacing w:line="240" w:lineRule="auto"/>
        <w:ind w:firstLine="600"/>
        <w:rPr>
          <w:sz w:val="28"/>
        </w:rPr>
      </w:pPr>
      <w:r>
        <w:rPr>
          <w:rFonts w:ascii="黑体" w:hAnsi="黑体" w:eastAsia="黑体" w:cs="黑体"/>
          <w:color w:val="000000"/>
          <w:sz w:val="28"/>
        </w:rPr>
        <w:t>E. 布洛芬</w:t>
      </w:r>
    </w:p>
    <w:p w14:paraId="1362E3C9">
      <w:pPr>
        <w:spacing w:line="240" w:lineRule="auto"/>
        <w:ind w:firstLine="600"/>
        <w:rPr>
          <w:sz w:val="28"/>
        </w:rPr>
      </w:pPr>
      <w:r>
        <w:rPr>
          <w:rFonts w:ascii="黑体" w:hAnsi="黑体" w:eastAsia="黑体" w:cs="黑体"/>
          <w:color w:val="000000"/>
          <w:sz w:val="28"/>
        </w:rPr>
        <w:t>答案：D</w:t>
      </w:r>
    </w:p>
    <w:p w14:paraId="429526F5">
      <w:pPr>
        <w:spacing w:line="240" w:lineRule="auto"/>
        <w:ind w:firstLine="600"/>
        <w:rPr>
          <w:sz w:val="28"/>
        </w:rPr>
      </w:pPr>
      <w:r>
        <w:rPr>
          <w:rFonts w:ascii="黑体" w:hAnsi="黑体" w:eastAsia="黑体" w:cs="黑体"/>
          <w:color w:val="000000"/>
          <w:sz w:val="28"/>
        </w:rPr>
        <w:t>解析：舒林酸是前体药物，它在体内经肝代谢，甲基亚砜基被还原为甲硫基后才产生生物活性。阿莫西林、阿司匹林、地西泮、布洛芬都不是前体药物。所以答案是 D。</w:t>
      </w:r>
    </w:p>
    <w:p w14:paraId="0F1A6FB8">
      <w:pPr>
        <w:spacing w:line="240" w:lineRule="auto"/>
        <w:ind w:firstLine="600"/>
        <w:rPr>
          <w:sz w:val="28"/>
        </w:rPr>
      </w:pPr>
      <w:r>
        <w:rPr>
          <w:rFonts w:ascii="黑体" w:hAnsi="黑体" w:eastAsia="黑体" w:cs="黑体"/>
          <w:color w:val="000000"/>
          <w:sz w:val="28"/>
        </w:rPr>
        <w:t>23. 下列关于药物溶解度的说法，正确的是（  ）</w:t>
      </w:r>
    </w:p>
    <w:p w14:paraId="3A53F63E">
      <w:pPr>
        <w:spacing w:line="240" w:lineRule="auto"/>
        <w:ind w:firstLine="600"/>
        <w:rPr>
          <w:sz w:val="28"/>
        </w:rPr>
      </w:pPr>
      <w:r>
        <w:rPr>
          <w:rFonts w:ascii="黑体" w:hAnsi="黑体" w:eastAsia="黑体" w:cs="黑体"/>
          <w:color w:val="000000"/>
          <w:sz w:val="28"/>
        </w:rPr>
        <w:t>A. 药物的溶解度与温度无关</w:t>
      </w:r>
    </w:p>
    <w:p w14:paraId="07825AA5">
      <w:pPr>
        <w:spacing w:line="240" w:lineRule="auto"/>
        <w:ind w:firstLine="600"/>
        <w:rPr>
          <w:sz w:val="28"/>
        </w:rPr>
      </w:pPr>
      <w:r>
        <w:rPr>
          <w:rFonts w:ascii="黑体" w:hAnsi="黑体" w:eastAsia="黑体" w:cs="黑体"/>
          <w:color w:val="000000"/>
          <w:sz w:val="28"/>
        </w:rPr>
        <w:t>B. 药物的溶解度与溶剂的极性无关</w:t>
      </w:r>
    </w:p>
    <w:p w14:paraId="6D7F952C">
      <w:pPr>
        <w:spacing w:line="240" w:lineRule="auto"/>
        <w:ind w:firstLine="600"/>
        <w:rPr>
          <w:sz w:val="28"/>
        </w:rPr>
      </w:pPr>
      <w:r>
        <w:rPr>
          <w:rFonts w:ascii="黑体" w:hAnsi="黑体" w:eastAsia="黑体" w:cs="黑体"/>
          <w:color w:val="000000"/>
          <w:sz w:val="28"/>
        </w:rPr>
        <w:t>C. 药物的溶解度与药物的晶型无关</w:t>
      </w:r>
    </w:p>
    <w:p w14:paraId="5835D069">
      <w:pPr>
        <w:spacing w:line="240" w:lineRule="auto"/>
        <w:ind w:firstLine="600"/>
        <w:rPr>
          <w:sz w:val="28"/>
        </w:rPr>
      </w:pPr>
      <w:r>
        <w:rPr>
          <w:rFonts w:ascii="黑体" w:hAnsi="黑体" w:eastAsia="黑体" w:cs="黑体"/>
          <w:color w:val="000000"/>
          <w:sz w:val="28"/>
        </w:rPr>
        <w:t>D. 增加药物的粒径可以提高药物的溶解度</w:t>
      </w:r>
    </w:p>
    <w:p w14:paraId="0925C655">
      <w:pPr>
        <w:spacing w:line="240" w:lineRule="auto"/>
        <w:ind w:firstLine="600"/>
        <w:rPr>
          <w:sz w:val="28"/>
        </w:rPr>
      </w:pPr>
      <w:r>
        <w:rPr>
          <w:rFonts w:ascii="黑体" w:hAnsi="黑体" w:eastAsia="黑体" w:cs="黑体"/>
          <w:color w:val="000000"/>
          <w:sz w:val="28"/>
        </w:rPr>
        <w:t>E. 加入助溶剂可以增加药物的溶解度</w:t>
      </w:r>
    </w:p>
    <w:p w14:paraId="38C8BEF9">
      <w:pPr>
        <w:spacing w:line="240" w:lineRule="auto"/>
        <w:ind w:firstLine="600"/>
        <w:rPr>
          <w:sz w:val="28"/>
        </w:rPr>
      </w:pPr>
      <w:r>
        <w:rPr>
          <w:rFonts w:ascii="黑体" w:hAnsi="黑体" w:eastAsia="黑体" w:cs="黑体"/>
          <w:color w:val="000000"/>
          <w:sz w:val="28"/>
        </w:rPr>
        <w:t>答案：E</w:t>
      </w:r>
    </w:p>
    <w:p w14:paraId="32332901">
      <w:pPr>
        <w:spacing w:line="240" w:lineRule="auto"/>
        <w:ind w:firstLine="600"/>
        <w:rPr>
          <w:sz w:val="28"/>
        </w:rPr>
      </w:pPr>
      <w:r>
        <w:rPr>
          <w:rFonts w:ascii="黑体" w:hAnsi="黑体" w:eastAsia="黑体" w:cs="黑体"/>
          <w:color w:val="000000"/>
          <w:sz w:val="28"/>
        </w:rPr>
        <w:t>解析：药物的溶解度与温度有关，一般温度升高，溶解度增大，A 错误；药物的溶解度与溶剂的极性有关，极性溶剂易溶解极性药物，非极性溶剂易溶解非极性药物，B 错误；药物的溶解度与药物的晶型有关，不同晶型的药物溶解度可能不同，C 错误；增加药物的粒径会降低药物的溶解度，D 错误；加入助溶剂可以增加药物的溶解度，E 正确。</w:t>
      </w:r>
    </w:p>
    <w:p w14:paraId="3648B313">
      <w:pPr>
        <w:spacing w:line="240" w:lineRule="auto"/>
        <w:ind w:firstLine="600"/>
        <w:rPr>
          <w:sz w:val="28"/>
        </w:rPr>
      </w:pPr>
      <w:r>
        <w:rPr>
          <w:rFonts w:ascii="黑体" w:hAnsi="黑体" w:eastAsia="黑体" w:cs="黑体"/>
          <w:color w:val="000000"/>
          <w:sz w:val="28"/>
        </w:rPr>
        <w:t>24. 下列关于药物制剂稳定性的说法，错误的是（  ）</w:t>
      </w:r>
    </w:p>
    <w:p w14:paraId="4D75609C">
      <w:pPr>
        <w:spacing w:line="240" w:lineRule="auto"/>
        <w:ind w:firstLine="600"/>
        <w:rPr>
          <w:sz w:val="28"/>
        </w:rPr>
      </w:pPr>
      <w:r>
        <w:rPr>
          <w:rFonts w:ascii="黑体" w:hAnsi="黑体" w:eastAsia="黑体" w:cs="黑体"/>
          <w:color w:val="000000"/>
          <w:sz w:val="28"/>
        </w:rPr>
        <w:t>A. 药物制剂的稳定性包括化学稳定性和物理稳定性</w:t>
      </w:r>
    </w:p>
    <w:p w14:paraId="79F07846">
      <w:pPr>
        <w:spacing w:line="240" w:lineRule="auto"/>
        <w:ind w:firstLine="600"/>
        <w:rPr>
          <w:sz w:val="28"/>
        </w:rPr>
      </w:pPr>
      <w:r>
        <w:rPr>
          <w:rFonts w:ascii="黑体" w:hAnsi="黑体" w:eastAsia="黑体" w:cs="黑体"/>
          <w:color w:val="000000"/>
          <w:sz w:val="28"/>
        </w:rPr>
        <w:t>B. 药物的水解反应属于化学稳定性问题</w:t>
      </w:r>
    </w:p>
    <w:p w14:paraId="4023B0C9">
      <w:pPr>
        <w:spacing w:line="240" w:lineRule="auto"/>
        <w:ind w:firstLine="600"/>
        <w:rPr>
          <w:sz w:val="28"/>
        </w:rPr>
      </w:pPr>
      <w:r>
        <w:rPr>
          <w:rFonts w:ascii="黑体" w:hAnsi="黑体" w:eastAsia="黑体" w:cs="黑体"/>
          <w:color w:val="000000"/>
          <w:sz w:val="28"/>
        </w:rPr>
        <w:t>C. 药物的氧化反应属于物理稳定性问题</w:t>
      </w:r>
    </w:p>
    <w:p w14:paraId="21C57707">
      <w:pPr>
        <w:spacing w:line="240" w:lineRule="auto"/>
        <w:ind w:firstLine="600"/>
        <w:rPr>
          <w:sz w:val="28"/>
        </w:rPr>
      </w:pPr>
      <w:r>
        <w:rPr>
          <w:rFonts w:ascii="黑体" w:hAnsi="黑体" w:eastAsia="黑体" w:cs="黑体"/>
          <w:color w:val="000000"/>
          <w:sz w:val="28"/>
        </w:rPr>
        <w:t>D. 影响药物制剂稳定性的外界因素有温度、光线、湿度等</w:t>
      </w:r>
    </w:p>
    <w:p w14:paraId="2E1481C3">
      <w:pPr>
        <w:spacing w:line="240" w:lineRule="auto"/>
        <w:ind w:firstLine="600"/>
        <w:rPr>
          <w:sz w:val="28"/>
        </w:rPr>
      </w:pPr>
      <w:r>
        <w:rPr>
          <w:rFonts w:ascii="黑体" w:hAnsi="黑体" w:eastAsia="黑体" w:cs="黑体"/>
          <w:color w:val="000000"/>
          <w:sz w:val="28"/>
        </w:rPr>
        <w:t>E. 提高药物制剂稳定性的方法有改变剂型、添加抗氧剂等</w:t>
      </w:r>
    </w:p>
    <w:p w14:paraId="31BDA728">
      <w:pPr>
        <w:spacing w:line="240" w:lineRule="auto"/>
        <w:ind w:firstLine="600"/>
        <w:rPr>
          <w:sz w:val="28"/>
        </w:rPr>
      </w:pPr>
      <w:r>
        <w:rPr>
          <w:rFonts w:ascii="黑体" w:hAnsi="黑体" w:eastAsia="黑体" w:cs="黑体"/>
          <w:color w:val="000000"/>
          <w:sz w:val="28"/>
        </w:rPr>
        <w:t>答案：C</w:t>
      </w:r>
    </w:p>
    <w:p w14:paraId="6CD7BE7C">
      <w:pPr>
        <w:spacing w:line="240" w:lineRule="auto"/>
        <w:ind w:firstLine="600"/>
        <w:rPr>
          <w:sz w:val="28"/>
        </w:rPr>
      </w:pPr>
      <w:r>
        <w:rPr>
          <w:rFonts w:ascii="黑体" w:hAnsi="黑体" w:eastAsia="黑体" w:cs="黑体"/>
          <w:color w:val="000000"/>
          <w:sz w:val="28"/>
        </w:rPr>
        <w:t>解析：药物的氧化反应属于化学稳定性问题，而不是物理稳定性问题，C 错误。药物制剂的稳定性包括化学稳定性和物理稳定性，A 正确；药物的水解反应属于化学稳定性问题，B 正确；影响药物制剂稳定性的外界因素有温度、光线、湿度等，D 正确；提高药物制剂稳定性的方法有改变剂型、添加抗氧剂等，E 正确。</w:t>
      </w:r>
    </w:p>
    <w:p w14:paraId="78122CAD">
      <w:pPr>
        <w:spacing w:line="240" w:lineRule="auto"/>
        <w:ind w:firstLine="600"/>
        <w:rPr>
          <w:sz w:val="28"/>
        </w:rPr>
      </w:pPr>
      <w:r>
        <w:rPr>
          <w:rFonts w:ascii="黑体" w:hAnsi="黑体" w:eastAsia="黑体" w:cs="黑体"/>
          <w:color w:val="000000"/>
          <w:sz w:val="28"/>
        </w:rPr>
        <w:t>25. 下列关于药物吸收的说法，错误的是（  ）</w:t>
      </w:r>
    </w:p>
    <w:p w14:paraId="02409CD5">
      <w:pPr>
        <w:spacing w:line="240" w:lineRule="auto"/>
        <w:ind w:firstLine="600"/>
        <w:rPr>
          <w:sz w:val="28"/>
        </w:rPr>
      </w:pPr>
      <w:r>
        <w:rPr>
          <w:rFonts w:ascii="黑体" w:hAnsi="黑体" w:eastAsia="黑体" w:cs="黑体"/>
          <w:color w:val="000000"/>
          <w:sz w:val="28"/>
        </w:rPr>
        <w:t>A. 药物的吸收是指药物从用药部位进入血液循环的过程</w:t>
      </w:r>
    </w:p>
    <w:p w14:paraId="23ECD763">
      <w:pPr>
        <w:spacing w:line="240" w:lineRule="auto"/>
        <w:ind w:firstLine="600"/>
        <w:rPr>
          <w:sz w:val="28"/>
        </w:rPr>
      </w:pPr>
      <w:r>
        <w:rPr>
          <w:rFonts w:ascii="黑体" w:hAnsi="黑体" w:eastAsia="黑体" w:cs="黑体"/>
          <w:color w:val="000000"/>
          <w:sz w:val="28"/>
        </w:rPr>
        <w:t>B. 药物的吸收速度与药物的脂溶性有关</w:t>
      </w:r>
    </w:p>
    <w:p w14:paraId="660DD5D2">
      <w:pPr>
        <w:spacing w:line="240" w:lineRule="auto"/>
        <w:ind w:firstLine="600"/>
        <w:rPr>
          <w:sz w:val="28"/>
        </w:rPr>
      </w:pPr>
      <w:r>
        <w:rPr>
          <w:rFonts w:ascii="黑体" w:hAnsi="黑体" w:eastAsia="黑体" w:cs="黑体"/>
          <w:color w:val="000000"/>
          <w:sz w:val="28"/>
        </w:rPr>
        <w:t>C. 药物的吸收速度与药物的解离度有关</w:t>
      </w:r>
    </w:p>
    <w:p w14:paraId="0FF7342F">
      <w:pPr>
        <w:spacing w:line="240" w:lineRule="auto"/>
        <w:ind w:firstLine="600"/>
        <w:rPr>
          <w:sz w:val="28"/>
        </w:rPr>
      </w:pPr>
      <w:r>
        <w:rPr>
          <w:rFonts w:ascii="黑体" w:hAnsi="黑体" w:eastAsia="黑体" w:cs="黑体"/>
          <w:color w:val="000000"/>
          <w:sz w:val="28"/>
        </w:rPr>
        <w:t>D. 药物的吸收速度与药物的剂型无关</w:t>
      </w:r>
    </w:p>
    <w:p w14:paraId="6276F225">
      <w:pPr>
        <w:spacing w:line="240" w:lineRule="auto"/>
        <w:ind w:firstLine="600"/>
        <w:rPr>
          <w:sz w:val="28"/>
        </w:rPr>
      </w:pPr>
      <w:r>
        <w:rPr>
          <w:rFonts w:ascii="黑体" w:hAnsi="黑体" w:eastAsia="黑体" w:cs="黑体"/>
          <w:color w:val="000000"/>
          <w:sz w:val="28"/>
        </w:rPr>
        <w:t>E. 首过效应会影响药物的吸收</w:t>
      </w:r>
    </w:p>
    <w:p w14:paraId="741D0C68">
      <w:pPr>
        <w:spacing w:line="240" w:lineRule="auto"/>
        <w:ind w:firstLine="600"/>
        <w:rPr>
          <w:sz w:val="28"/>
        </w:rPr>
      </w:pPr>
      <w:r>
        <w:rPr>
          <w:rFonts w:ascii="黑体" w:hAnsi="黑体" w:eastAsia="黑体" w:cs="黑体"/>
          <w:color w:val="000000"/>
          <w:sz w:val="28"/>
        </w:rPr>
        <w:t>答案：D</w:t>
      </w:r>
    </w:p>
    <w:p w14:paraId="303013DA">
      <w:pPr>
        <w:spacing w:line="240" w:lineRule="auto"/>
        <w:ind w:firstLine="600"/>
        <w:rPr>
          <w:sz w:val="28"/>
        </w:rPr>
      </w:pPr>
      <w:r>
        <w:rPr>
          <w:rFonts w:ascii="黑体" w:hAnsi="黑体" w:eastAsia="黑体" w:cs="黑体"/>
          <w:color w:val="000000"/>
          <w:sz w:val="28"/>
        </w:rPr>
        <w:t>解析：药物的吸收速度与药物的剂型有关，不同剂型的药物吸收速度可能不同，如溶液剂吸收速度一般比片剂快，D 错误。药物的吸收是指药物从用药部位进入血液循环的过程，A 正确；药物的吸收速度与药物的脂溶性有关，脂溶性药物易通过生物膜，吸收速度快，B 正确；药物的吸收速度与药物的解离度有关，非解离型药物易通过生物膜，吸收速度快，C 正确；首过效应会影响药物的吸收，使进入血液循环的药量减少，E 正确。</w:t>
      </w:r>
    </w:p>
    <w:p w14:paraId="37DC56C5">
      <w:pPr>
        <w:spacing w:line="240" w:lineRule="auto"/>
        <w:ind w:firstLine="600"/>
        <w:rPr>
          <w:sz w:val="28"/>
        </w:rPr>
      </w:pPr>
      <w:r>
        <w:rPr>
          <w:rFonts w:ascii="黑体" w:hAnsi="黑体" w:eastAsia="黑体" w:cs="黑体"/>
          <w:color w:val="000000"/>
          <w:sz w:val="28"/>
        </w:rPr>
        <w:t>26. 患者，男，60 岁，患有慢性心力衰竭，医生开具地高辛片治疗。下列关于地高辛的说法，错误的是（  ）</w:t>
      </w:r>
    </w:p>
    <w:p w14:paraId="7B7E4193">
      <w:pPr>
        <w:spacing w:line="240" w:lineRule="auto"/>
        <w:ind w:firstLine="600"/>
        <w:rPr>
          <w:sz w:val="28"/>
        </w:rPr>
      </w:pPr>
      <w:r>
        <w:rPr>
          <w:rFonts w:ascii="黑体" w:hAnsi="黑体" w:eastAsia="黑体" w:cs="黑体"/>
          <w:color w:val="000000"/>
          <w:sz w:val="28"/>
        </w:rPr>
        <w:t>A. 地高辛属于强心苷类药物</w:t>
      </w:r>
    </w:p>
    <w:p w14:paraId="22E8630B">
      <w:pPr>
        <w:spacing w:line="240" w:lineRule="auto"/>
        <w:ind w:firstLine="600"/>
        <w:rPr>
          <w:sz w:val="28"/>
        </w:rPr>
      </w:pPr>
      <w:r>
        <w:rPr>
          <w:rFonts w:ascii="黑体" w:hAnsi="黑体" w:eastAsia="黑体" w:cs="黑体"/>
          <w:color w:val="000000"/>
          <w:sz w:val="28"/>
        </w:rPr>
        <w:t>B. 地高辛可增强心肌收缩力</w:t>
      </w:r>
    </w:p>
    <w:p w14:paraId="472E4E69">
      <w:pPr>
        <w:spacing w:line="240" w:lineRule="auto"/>
        <w:ind w:firstLine="600"/>
        <w:rPr>
          <w:sz w:val="28"/>
        </w:rPr>
      </w:pPr>
      <w:r>
        <w:rPr>
          <w:rFonts w:ascii="黑体" w:hAnsi="黑体" w:eastAsia="黑体" w:cs="黑体"/>
          <w:color w:val="000000"/>
          <w:sz w:val="28"/>
        </w:rPr>
        <w:t>C. 地高辛的治疗窗较窄</w:t>
      </w:r>
    </w:p>
    <w:p w14:paraId="7C6DEF02">
      <w:pPr>
        <w:spacing w:line="240" w:lineRule="auto"/>
        <w:ind w:firstLine="600"/>
        <w:rPr>
          <w:sz w:val="28"/>
        </w:rPr>
      </w:pPr>
      <w:r>
        <w:rPr>
          <w:rFonts w:ascii="黑体" w:hAnsi="黑体" w:eastAsia="黑体" w:cs="黑体"/>
          <w:color w:val="000000"/>
          <w:sz w:val="28"/>
        </w:rPr>
        <w:t>D. 地高辛的不良反应与剂量无关</w:t>
      </w:r>
    </w:p>
    <w:p w14:paraId="0ECA4671">
      <w:pPr>
        <w:spacing w:line="240" w:lineRule="auto"/>
        <w:ind w:firstLine="600"/>
        <w:rPr>
          <w:sz w:val="28"/>
        </w:rPr>
      </w:pPr>
      <w:r>
        <w:rPr>
          <w:rFonts w:ascii="黑体" w:hAnsi="黑体" w:eastAsia="黑体" w:cs="黑体"/>
          <w:color w:val="000000"/>
          <w:sz w:val="28"/>
        </w:rPr>
        <w:t>E. 地高辛中毒时可使用苯妥英钠解救</w:t>
      </w:r>
    </w:p>
    <w:p w14:paraId="25CA5EC0">
      <w:pPr>
        <w:spacing w:line="240" w:lineRule="auto"/>
        <w:ind w:firstLine="600"/>
        <w:rPr>
          <w:sz w:val="28"/>
        </w:rPr>
      </w:pPr>
      <w:r>
        <w:rPr>
          <w:rFonts w:ascii="黑体" w:hAnsi="黑体" w:eastAsia="黑体" w:cs="黑体"/>
          <w:color w:val="000000"/>
          <w:sz w:val="28"/>
        </w:rPr>
        <w:t>答案：D</w:t>
      </w:r>
    </w:p>
    <w:p w14:paraId="5DF96BBF">
      <w:pPr>
        <w:spacing w:line="240" w:lineRule="auto"/>
        <w:ind w:firstLine="600"/>
        <w:rPr>
          <w:sz w:val="28"/>
        </w:rPr>
      </w:pPr>
      <w:r>
        <w:rPr>
          <w:rFonts w:ascii="黑体" w:hAnsi="黑体" w:eastAsia="黑体" w:cs="黑体"/>
          <w:color w:val="000000"/>
          <w:sz w:val="28"/>
        </w:rPr>
        <w:t>解析：地高辛的不良反应与剂量有关，剂量过大易发生中毒反应，D 错误。地高辛属于强心苷类药物，A 正确；地高辛可增强心肌收缩力，B 正确；地高辛的治疗窗较窄，使用时需密切监测血药浓度，C 正确；地高辛中毒时可使用苯妥英钠解救，E 正确。</w:t>
      </w:r>
    </w:p>
    <w:p w14:paraId="49769B64">
      <w:pPr>
        <w:spacing w:line="240" w:lineRule="auto"/>
        <w:ind w:firstLine="600"/>
        <w:rPr>
          <w:sz w:val="28"/>
        </w:rPr>
      </w:pPr>
      <w:r>
        <w:rPr>
          <w:rFonts w:ascii="黑体" w:hAnsi="黑体" w:eastAsia="黑体" w:cs="黑体"/>
          <w:color w:val="000000"/>
          <w:sz w:val="28"/>
        </w:rPr>
        <w:t>27. 患者，女，55 岁，患有糖尿病，医生开具二甲双胍片治疗。下列关于二甲双胍的说法，正确的是（  ）</w:t>
      </w:r>
    </w:p>
    <w:p w14:paraId="589D6CBE">
      <w:pPr>
        <w:spacing w:line="240" w:lineRule="auto"/>
        <w:ind w:firstLine="600"/>
        <w:rPr>
          <w:sz w:val="28"/>
        </w:rPr>
      </w:pPr>
      <w:r>
        <w:rPr>
          <w:rFonts w:ascii="黑体" w:hAnsi="黑体" w:eastAsia="黑体" w:cs="黑体"/>
          <w:color w:val="000000"/>
          <w:sz w:val="28"/>
        </w:rPr>
        <w:t>A. 二甲双胍主要通过刺激胰岛β细胞分泌胰岛素发挥作用</w:t>
      </w:r>
    </w:p>
    <w:p w14:paraId="593FCEA5">
      <w:pPr>
        <w:spacing w:line="240" w:lineRule="auto"/>
        <w:ind w:firstLine="600"/>
        <w:rPr>
          <w:sz w:val="28"/>
        </w:rPr>
      </w:pPr>
      <w:r>
        <w:rPr>
          <w:rFonts w:ascii="黑体" w:hAnsi="黑体" w:eastAsia="黑体" w:cs="黑体"/>
          <w:color w:val="000000"/>
          <w:sz w:val="28"/>
        </w:rPr>
        <w:t>B. 二甲双胍可降低空腹血糖和餐后血糖</w:t>
      </w:r>
    </w:p>
    <w:p w14:paraId="35BF25BD">
      <w:pPr>
        <w:spacing w:line="240" w:lineRule="auto"/>
        <w:ind w:firstLine="600"/>
        <w:rPr>
          <w:sz w:val="28"/>
        </w:rPr>
      </w:pPr>
      <w:r>
        <w:rPr>
          <w:rFonts w:ascii="黑体" w:hAnsi="黑体" w:eastAsia="黑体" w:cs="黑体"/>
          <w:color w:val="000000"/>
          <w:sz w:val="28"/>
        </w:rPr>
        <w:t>C. 二甲双胍的主要不良反应是低血糖</w:t>
      </w:r>
    </w:p>
    <w:p w14:paraId="386B2953">
      <w:pPr>
        <w:spacing w:line="240" w:lineRule="auto"/>
        <w:ind w:firstLine="600"/>
        <w:rPr>
          <w:sz w:val="28"/>
        </w:rPr>
      </w:pPr>
      <w:r>
        <w:rPr>
          <w:rFonts w:ascii="黑体" w:hAnsi="黑体" w:eastAsia="黑体" w:cs="黑体"/>
          <w:color w:val="000000"/>
          <w:sz w:val="28"/>
        </w:rPr>
        <w:t>D. 二甲双胍禁用于肾功能不全的患者</w:t>
      </w:r>
    </w:p>
    <w:p w14:paraId="14A4BD5B">
      <w:pPr>
        <w:spacing w:line="240" w:lineRule="auto"/>
        <w:ind w:firstLine="600"/>
        <w:rPr>
          <w:sz w:val="28"/>
        </w:rPr>
      </w:pPr>
      <w:r>
        <w:rPr>
          <w:rFonts w:ascii="黑体" w:hAnsi="黑体" w:eastAsia="黑体" w:cs="黑体"/>
          <w:color w:val="000000"/>
          <w:sz w:val="28"/>
        </w:rPr>
        <w:t>E. 二甲双胍可与磺酰脲类药物联合使用</w:t>
      </w:r>
    </w:p>
    <w:p w14:paraId="7A02D68F">
      <w:pPr>
        <w:spacing w:line="240" w:lineRule="auto"/>
        <w:ind w:firstLine="600"/>
        <w:rPr>
          <w:sz w:val="28"/>
        </w:rPr>
      </w:pPr>
      <w:r>
        <w:rPr>
          <w:rFonts w:ascii="黑体" w:hAnsi="黑体" w:eastAsia="黑体" w:cs="黑体"/>
          <w:color w:val="000000"/>
          <w:sz w:val="28"/>
        </w:rPr>
        <w:t>答案：BDE</w:t>
      </w:r>
    </w:p>
    <w:p w14:paraId="3A666F68">
      <w:pPr>
        <w:spacing w:line="240" w:lineRule="auto"/>
        <w:ind w:firstLine="600"/>
        <w:rPr>
          <w:sz w:val="28"/>
        </w:rPr>
      </w:pPr>
      <w:r>
        <w:rPr>
          <w:rFonts w:ascii="黑体" w:hAnsi="黑体" w:eastAsia="黑体" w:cs="黑体"/>
          <w:color w:val="000000"/>
          <w:sz w:val="28"/>
        </w:rPr>
        <w:t>解析：二甲双胍主要通过减少肝脏葡萄糖的输出和改善外周胰岛素抵抗来降低血糖，而不是刺激胰岛β细胞分泌胰岛素，A 错误。二甲双胍可降低空腹血糖和餐后血糖，B 正确。二甲双胍单独使用一般不会引起低血糖，主要不良反应是胃肠道反应，C 错误。二甲双胍禁用于肾功能不全的患者，D 正确。二甲双胍可与磺酰脲类药物联合使用，增强降糖效果，E 正确。</w:t>
      </w:r>
    </w:p>
    <w:p w14:paraId="56477D6D">
      <w:pPr>
        <w:spacing w:line="240" w:lineRule="auto"/>
        <w:ind w:firstLine="600"/>
        <w:rPr>
          <w:sz w:val="28"/>
        </w:rPr>
      </w:pPr>
      <w:r>
        <w:rPr>
          <w:rFonts w:ascii="黑体" w:hAnsi="黑体" w:eastAsia="黑体" w:cs="黑体"/>
          <w:color w:val="000000"/>
          <w:sz w:val="28"/>
        </w:rPr>
        <w:t>28. 患者，男，45 岁，患有痛风，医生开具别嘌醇片治疗。下列关于别嘌醇的说法，错误的是（  ）</w:t>
      </w:r>
    </w:p>
    <w:p w14:paraId="4BF784E4">
      <w:pPr>
        <w:spacing w:line="240" w:lineRule="auto"/>
        <w:ind w:firstLine="600"/>
        <w:rPr>
          <w:sz w:val="28"/>
        </w:rPr>
      </w:pPr>
      <w:r>
        <w:rPr>
          <w:rFonts w:ascii="黑体" w:hAnsi="黑体" w:eastAsia="黑体" w:cs="黑体"/>
          <w:color w:val="000000"/>
          <w:sz w:val="28"/>
        </w:rPr>
        <w:t>A. 别嘌醇可抑制尿酸的生成</w:t>
      </w:r>
    </w:p>
    <w:p w14:paraId="1883C6D9">
      <w:pPr>
        <w:spacing w:line="240" w:lineRule="auto"/>
        <w:ind w:firstLine="600"/>
        <w:rPr>
          <w:sz w:val="28"/>
        </w:rPr>
      </w:pPr>
      <w:r>
        <w:rPr>
          <w:rFonts w:ascii="黑体" w:hAnsi="黑体" w:eastAsia="黑体" w:cs="黑体"/>
          <w:color w:val="000000"/>
          <w:sz w:val="28"/>
        </w:rPr>
        <w:t>B. 别嘌醇可促进尿酸的排泄</w:t>
      </w:r>
    </w:p>
    <w:p w14:paraId="2E466142">
      <w:pPr>
        <w:spacing w:line="240" w:lineRule="auto"/>
        <w:ind w:firstLine="600"/>
        <w:rPr>
          <w:sz w:val="28"/>
        </w:rPr>
      </w:pPr>
      <w:r>
        <w:rPr>
          <w:rFonts w:ascii="黑体" w:hAnsi="黑体" w:eastAsia="黑体" w:cs="黑体"/>
          <w:color w:val="000000"/>
          <w:sz w:val="28"/>
        </w:rPr>
        <w:t>C. 别嘌醇的不良反应包括皮疹、瘙痒等</w:t>
      </w:r>
    </w:p>
    <w:p w14:paraId="214E4482">
      <w:pPr>
        <w:spacing w:line="240" w:lineRule="auto"/>
        <w:ind w:firstLine="600"/>
        <w:rPr>
          <w:sz w:val="28"/>
        </w:rPr>
      </w:pPr>
      <w:r>
        <w:rPr>
          <w:rFonts w:ascii="黑体" w:hAnsi="黑体" w:eastAsia="黑体" w:cs="黑体"/>
          <w:color w:val="000000"/>
          <w:sz w:val="28"/>
        </w:rPr>
        <w:t>D. 别嘌醇可与秋水仙碱联合使用</w:t>
      </w:r>
    </w:p>
    <w:p w14:paraId="26B661C6">
      <w:pPr>
        <w:spacing w:line="240" w:lineRule="auto"/>
        <w:ind w:firstLine="600"/>
        <w:rPr>
          <w:sz w:val="28"/>
        </w:rPr>
      </w:pPr>
      <w:r>
        <w:rPr>
          <w:rFonts w:ascii="黑体" w:hAnsi="黑体" w:eastAsia="黑体" w:cs="黑体"/>
          <w:color w:val="000000"/>
          <w:sz w:val="28"/>
        </w:rPr>
        <w:t>E. 别嘌醇用药期间应大量饮水</w:t>
      </w:r>
    </w:p>
    <w:p w14:paraId="79BFACBF">
      <w:pPr>
        <w:spacing w:line="240" w:lineRule="auto"/>
        <w:ind w:firstLine="600"/>
        <w:rPr>
          <w:sz w:val="28"/>
        </w:rPr>
      </w:pPr>
      <w:r>
        <w:rPr>
          <w:rFonts w:ascii="黑体" w:hAnsi="黑体" w:eastAsia="黑体" w:cs="黑体"/>
          <w:color w:val="000000"/>
          <w:sz w:val="28"/>
        </w:rPr>
        <w:t>答案：B</w:t>
      </w:r>
    </w:p>
    <w:p w14:paraId="508B990B">
      <w:pPr>
        <w:spacing w:line="240" w:lineRule="auto"/>
        <w:ind w:firstLine="600"/>
        <w:rPr>
          <w:sz w:val="28"/>
        </w:rPr>
      </w:pPr>
      <w:r>
        <w:rPr>
          <w:rFonts w:ascii="黑体" w:hAnsi="黑体" w:eastAsia="黑体" w:cs="黑体"/>
          <w:color w:val="000000"/>
          <w:sz w:val="28"/>
        </w:rPr>
        <w:t>解析：别嘌醇主要通过抑制黄嘌呤氧化酶，减少尿酸的生成，而不是促进尿酸的排泄，B 错误。别嘌醇可抑制尿酸的生成，A 正确；别嘌醇的不良反应包括皮疹、瘙痒等，C 正确；别嘌醇可与秋水仙碱联合使用，在控制急性发作的同时降低血尿酸水平，D 正确；别嘌醇用药期间应大量饮水，以促进尿酸的排泄，减少尿酸盐在肾脏的沉积，E 正确。</w:t>
      </w:r>
    </w:p>
    <w:p w14:paraId="6D016229">
      <w:pPr>
        <w:spacing w:line="240" w:lineRule="auto"/>
        <w:ind w:firstLine="600"/>
        <w:rPr>
          <w:sz w:val="28"/>
        </w:rPr>
      </w:pPr>
      <w:r>
        <w:rPr>
          <w:rFonts w:ascii="黑体" w:hAnsi="黑体" w:eastAsia="黑体" w:cs="黑体"/>
          <w:color w:val="000000"/>
          <w:sz w:val="28"/>
        </w:rPr>
        <w:t>29. 患者，女，35 岁，患有抑郁症，医生开具氟西汀胶囊治疗。下列关于氟西汀的说法，正确的是（  ）</w:t>
      </w:r>
    </w:p>
    <w:p w14:paraId="046DF82C">
      <w:pPr>
        <w:spacing w:line="240" w:lineRule="auto"/>
        <w:ind w:firstLine="600"/>
        <w:rPr>
          <w:sz w:val="28"/>
        </w:rPr>
      </w:pPr>
      <w:r>
        <w:rPr>
          <w:rFonts w:ascii="黑体" w:hAnsi="黑体" w:eastAsia="黑体" w:cs="黑体"/>
          <w:color w:val="000000"/>
          <w:sz w:val="28"/>
        </w:rPr>
        <w:t>A. 氟西汀属于选择性 5羟色胺再摄取抑制剂（SSRI）</w:t>
      </w:r>
    </w:p>
    <w:p w14:paraId="225E0A2C">
      <w:pPr>
        <w:spacing w:line="240" w:lineRule="auto"/>
        <w:ind w:firstLine="600"/>
        <w:rPr>
          <w:sz w:val="28"/>
        </w:rPr>
      </w:pPr>
      <w:r>
        <w:rPr>
          <w:rFonts w:ascii="黑体" w:hAnsi="黑体" w:eastAsia="黑体" w:cs="黑体"/>
          <w:color w:val="000000"/>
          <w:sz w:val="28"/>
        </w:rPr>
        <w:t>B. 氟西汀的起效时间较快，一般 1～2 天即可见效</w:t>
      </w:r>
    </w:p>
    <w:p w14:paraId="12C3C5D5">
      <w:pPr>
        <w:spacing w:line="240" w:lineRule="auto"/>
        <w:ind w:firstLine="600"/>
        <w:rPr>
          <w:sz w:val="28"/>
        </w:rPr>
      </w:pPr>
      <w:r>
        <w:rPr>
          <w:rFonts w:ascii="黑体" w:hAnsi="黑体" w:eastAsia="黑体" w:cs="黑体"/>
          <w:color w:val="000000"/>
          <w:sz w:val="28"/>
        </w:rPr>
        <w:t>C. 氟西汀的不良反应包括口干、便秘等</w:t>
      </w:r>
    </w:p>
    <w:p w14:paraId="7B9277D2">
      <w:pPr>
        <w:spacing w:line="240" w:lineRule="auto"/>
        <w:ind w:firstLine="600"/>
        <w:rPr>
          <w:sz w:val="28"/>
        </w:rPr>
      </w:pPr>
      <w:r>
        <w:rPr>
          <w:rFonts w:ascii="黑体" w:hAnsi="黑体" w:eastAsia="黑体" w:cs="黑体"/>
          <w:color w:val="000000"/>
          <w:sz w:val="28"/>
        </w:rPr>
        <w:t>D. 氟西汀停药时应逐渐减量</w:t>
      </w:r>
    </w:p>
    <w:p w14:paraId="0A5CCE91">
      <w:pPr>
        <w:spacing w:line="240" w:lineRule="auto"/>
        <w:ind w:firstLine="600"/>
        <w:rPr>
          <w:sz w:val="28"/>
        </w:rPr>
      </w:pPr>
      <w:r>
        <w:rPr>
          <w:rFonts w:ascii="黑体" w:hAnsi="黑体" w:eastAsia="黑体" w:cs="黑体"/>
          <w:color w:val="000000"/>
          <w:sz w:val="28"/>
        </w:rPr>
        <w:t>E. 氟西汀可与单胺氧化酶抑制剂（MAOI）联合使用</w:t>
      </w:r>
    </w:p>
    <w:p w14:paraId="25A430E8">
      <w:pPr>
        <w:spacing w:line="240" w:lineRule="auto"/>
        <w:ind w:firstLine="600"/>
        <w:rPr>
          <w:sz w:val="28"/>
        </w:rPr>
      </w:pPr>
      <w:r>
        <w:rPr>
          <w:rFonts w:ascii="黑体" w:hAnsi="黑体" w:eastAsia="黑体" w:cs="黑体"/>
          <w:color w:val="000000"/>
          <w:sz w:val="28"/>
        </w:rPr>
        <w:t>答案：ACD</w:t>
      </w:r>
    </w:p>
    <w:p w14:paraId="53A8F3DE">
      <w:pPr>
        <w:spacing w:line="240" w:lineRule="auto"/>
        <w:ind w:firstLine="600"/>
        <w:rPr>
          <w:sz w:val="28"/>
        </w:rPr>
      </w:pPr>
      <w:r>
        <w:rPr>
          <w:rFonts w:ascii="黑体" w:hAnsi="黑体" w:eastAsia="黑体" w:cs="黑体"/>
          <w:color w:val="000000"/>
          <w:sz w:val="28"/>
        </w:rPr>
        <w:t>解析：氟西汀属于选择性 5  羟色胺再摄取抑制剂（SSRI），A 正确。氟西汀起效较慢，一般需要 2～4 周才能见效，B 错误。氟西汀的不良反应包括口干、便秘等，C 正确。氟西汀停药时应逐渐减量，避免出现撤药综合征，D 正确。氟西汀不能与单胺氧化酶抑制剂（MAOI）联合使用，否则会增加 5  羟色胺综合征的发生风险，E 错误。</w:t>
      </w:r>
    </w:p>
    <w:p w14:paraId="46406875">
      <w:pPr>
        <w:spacing w:line="240" w:lineRule="auto"/>
        <w:ind w:firstLine="600"/>
        <w:rPr>
          <w:sz w:val="28"/>
        </w:rPr>
      </w:pPr>
      <w:r>
        <w:rPr>
          <w:rFonts w:ascii="黑体" w:hAnsi="黑体" w:eastAsia="黑体" w:cs="黑体"/>
          <w:color w:val="000000"/>
          <w:sz w:val="28"/>
        </w:rPr>
        <w:t>30. 患者，男，70 岁，患有慢性阻塞性肺疾病（COPD），医生开具沙丁胺醇气雾剂治疗。下列关于沙丁胺醇的说法，错误的是（  ）</w:t>
      </w:r>
    </w:p>
    <w:p w14:paraId="0E53C58F">
      <w:pPr>
        <w:spacing w:line="240" w:lineRule="auto"/>
        <w:ind w:firstLine="600"/>
        <w:rPr>
          <w:sz w:val="28"/>
        </w:rPr>
      </w:pPr>
      <w:r>
        <w:rPr>
          <w:rFonts w:ascii="黑体" w:hAnsi="黑体" w:eastAsia="黑体" w:cs="黑体"/>
          <w:color w:val="000000"/>
          <w:sz w:val="28"/>
        </w:rPr>
        <w:t>A. 沙丁胺醇属于β₂受体激动剂</w:t>
      </w:r>
    </w:p>
    <w:p w14:paraId="3A7DCD8A">
      <w:pPr>
        <w:spacing w:line="240" w:lineRule="auto"/>
        <w:ind w:firstLine="600"/>
        <w:rPr>
          <w:sz w:val="28"/>
        </w:rPr>
      </w:pPr>
      <w:r>
        <w:rPr>
          <w:rFonts w:ascii="黑体" w:hAnsi="黑体" w:eastAsia="黑体" w:cs="黑体"/>
          <w:color w:val="000000"/>
          <w:sz w:val="28"/>
        </w:rPr>
        <w:t>B. 沙丁胺醇可舒张支气管平滑肌</w:t>
      </w:r>
    </w:p>
    <w:p w14:paraId="032F50F1">
      <w:pPr>
        <w:spacing w:line="240" w:lineRule="auto"/>
        <w:ind w:firstLine="600"/>
        <w:rPr>
          <w:sz w:val="28"/>
        </w:rPr>
      </w:pPr>
      <w:r>
        <w:rPr>
          <w:rFonts w:ascii="黑体" w:hAnsi="黑体" w:eastAsia="黑体" w:cs="黑体"/>
          <w:color w:val="000000"/>
          <w:sz w:val="28"/>
        </w:rPr>
        <w:t>C. 沙丁胺醇的主要不良反应是心悸、手抖等</w:t>
      </w:r>
    </w:p>
    <w:p w14:paraId="078D6721">
      <w:pPr>
        <w:spacing w:line="240" w:lineRule="auto"/>
        <w:ind w:firstLine="600"/>
        <w:rPr>
          <w:sz w:val="28"/>
        </w:rPr>
      </w:pPr>
      <w:r>
        <w:rPr>
          <w:rFonts w:ascii="黑体" w:hAnsi="黑体" w:eastAsia="黑体" w:cs="黑体"/>
          <w:color w:val="000000"/>
          <w:sz w:val="28"/>
        </w:rPr>
        <w:t>D. 沙丁胺醇可长期规律使用</w:t>
      </w:r>
    </w:p>
    <w:p w14:paraId="3ADA80D6">
      <w:pPr>
        <w:spacing w:line="240" w:lineRule="auto"/>
        <w:ind w:firstLine="600"/>
        <w:rPr>
          <w:sz w:val="28"/>
        </w:rPr>
      </w:pPr>
      <w:r>
        <w:rPr>
          <w:rFonts w:ascii="黑体" w:hAnsi="黑体" w:eastAsia="黑体" w:cs="黑体"/>
          <w:color w:val="000000"/>
          <w:sz w:val="28"/>
        </w:rPr>
        <w:t>E. 沙丁胺醇使用时应注意避免喷入眼睛</w:t>
      </w:r>
    </w:p>
    <w:p w14:paraId="46473DA9">
      <w:pPr>
        <w:spacing w:line="240" w:lineRule="auto"/>
        <w:ind w:firstLine="600"/>
        <w:rPr>
          <w:sz w:val="28"/>
        </w:rPr>
      </w:pPr>
      <w:r>
        <w:rPr>
          <w:rFonts w:ascii="黑体" w:hAnsi="黑体" w:eastAsia="黑体" w:cs="黑体"/>
          <w:color w:val="000000"/>
          <w:sz w:val="28"/>
        </w:rPr>
        <w:t>答案：D</w:t>
      </w:r>
    </w:p>
    <w:p w14:paraId="52372255">
      <w:pPr>
        <w:spacing w:line="240" w:lineRule="auto"/>
        <w:ind w:firstLine="600"/>
        <w:rPr>
          <w:sz w:val="28"/>
        </w:rPr>
      </w:pPr>
      <w:r>
        <w:rPr>
          <w:rFonts w:ascii="黑体" w:hAnsi="黑体" w:eastAsia="黑体" w:cs="黑体"/>
          <w:color w:val="000000"/>
          <w:sz w:val="28"/>
        </w:rPr>
        <w:t>解析：沙丁胺醇属于短效β₂受体激动剂，主要用于缓解哮喘急性发作，不宜长期规律使用，长期使用可导致β₂受体下调，疗效降低，D 错误。沙丁胺醇属于β₂受体激动剂，A 正确；可舒张支气管平滑肌，B 正确；主要不良反应是心悸、手抖等，C 正确；使用时应注意避免喷入眼睛，E 正确。</w:t>
      </w:r>
    </w:p>
    <w:p w14:paraId="71EE6622">
      <w:pPr>
        <w:spacing w:line="240" w:lineRule="auto"/>
        <w:ind w:firstLine="600"/>
        <w:rPr>
          <w:sz w:val="28"/>
        </w:rPr>
      </w:pPr>
      <w:r>
        <w:rPr>
          <w:rFonts w:ascii="黑体" w:hAnsi="黑体" w:eastAsia="黑体" w:cs="黑体"/>
          <w:color w:val="000000"/>
          <w:sz w:val="28"/>
        </w:rPr>
        <w:t>31. 下列关于处方书写规则的说法，错误的是（  ）</w:t>
      </w:r>
    </w:p>
    <w:p w14:paraId="5CAC4571">
      <w:pPr>
        <w:spacing w:line="240" w:lineRule="auto"/>
        <w:ind w:firstLine="600"/>
        <w:rPr>
          <w:sz w:val="28"/>
        </w:rPr>
      </w:pPr>
      <w:r>
        <w:rPr>
          <w:rFonts w:ascii="黑体" w:hAnsi="黑体" w:eastAsia="黑体" w:cs="黑体"/>
          <w:color w:val="000000"/>
          <w:sz w:val="28"/>
        </w:rPr>
        <w:t>A. 处方必须字迹清楚，不得涂改</w:t>
      </w:r>
    </w:p>
    <w:p w14:paraId="29A702DB">
      <w:pPr>
        <w:spacing w:line="240" w:lineRule="auto"/>
        <w:ind w:firstLine="600"/>
        <w:rPr>
          <w:sz w:val="28"/>
        </w:rPr>
      </w:pPr>
      <w:r>
        <w:rPr>
          <w:rFonts w:ascii="黑体" w:hAnsi="黑体" w:eastAsia="黑体" w:cs="黑体"/>
          <w:color w:val="000000"/>
          <w:sz w:val="28"/>
        </w:rPr>
        <w:t>B. 处方应使用中文名称书写，没有中文名称的可以使用英文名称</w:t>
      </w:r>
    </w:p>
    <w:p w14:paraId="131C1B21">
      <w:pPr>
        <w:spacing w:line="240" w:lineRule="auto"/>
        <w:ind w:firstLine="600"/>
        <w:rPr>
          <w:sz w:val="28"/>
        </w:rPr>
      </w:pPr>
      <w:r>
        <w:rPr>
          <w:rFonts w:ascii="黑体" w:hAnsi="黑体" w:eastAsia="黑体" w:cs="黑体"/>
          <w:color w:val="000000"/>
          <w:sz w:val="28"/>
        </w:rPr>
        <w:t>C. 每张处方不得超过 5 种药品</w:t>
      </w:r>
    </w:p>
    <w:p w14:paraId="3BA3C500">
      <w:pPr>
        <w:spacing w:line="240" w:lineRule="auto"/>
        <w:ind w:firstLine="600"/>
        <w:rPr>
          <w:sz w:val="28"/>
        </w:rPr>
      </w:pPr>
      <w:r>
        <w:rPr>
          <w:rFonts w:ascii="黑体" w:hAnsi="黑体" w:eastAsia="黑体" w:cs="黑体"/>
          <w:color w:val="000000"/>
          <w:sz w:val="28"/>
        </w:rPr>
        <w:t>D. 药品用法用量可以使用“遵医嘱”“自用”等表述</w:t>
      </w:r>
    </w:p>
    <w:p w14:paraId="4CA9DD3E">
      <w:pPr>
        <w:spacing w:line="240" w:lineRule="auto"/>
        <w:ind w:firstLine="600"/>
        <w:rPr>
          <w:sz w:val="28"/>
        </w:rPr>
      </w:pPr>
      <w:r>
        <w:rPr>
          <w:rFonts w:ascii="黑体" w:hAnsi="黑体" w:eastAsia="黑体" w:cs="黑体"/>
          <w:color w:val="000000"/>
          <w:sz w:val="28"/>
        </w:rPr>
        <w:t>E. 处方医师的签名式样和专用签章应当与院内药学部门留样备查的式样相一致</w:t>
      </w:r>
    </w:p>
    <w:p w14:paraId="78F5527F">
      <w:pPr>
        <w:spacing w:line="240" w:lineRule="auto"/>
        <w:ind w:firstLine="600"/>
        <w:rPr>
          <w:sz w:val="28"/>
        </w:rPr>
      </w:pPr>
      <w:r>
        <w:rPr>
          <w:rFonts w:ascii="黑体" w:hAnsi="黑体" w:eastAsia="黑体" w:cs="黑体"/>
          <w:color w:val="000000"/>
          <w:sz w:val="28"/>
        </w:rPr>
        <w:t>答案：D</w:t>
      </w:r>
    </w:p>
    <w:p w14:paraId="404D8AFA">
      <w:pPr>
        <w:spacing w:line="240" w:lineRule="auto"/>
        <w:ind w:firstLine="600"/>
        <w:rPr>
          <w:sz w:val="28"/>
        </w:rPr>
      </w:pPr>
      <w:r>
        <w:rPr>
          <w:rFonts w:ascii="黑体" w:hAnsi="黑体" w:eastAsia="黑体" w:cs="黑体"/>
          <w:color w:val="000000"/>
          <w:sz w:val="28"/>
        </w:rPr>
        <w:t>解析：药品用法用量应当按照药品说明书规定的常规用法用量使用，特殊情况需要超剂量使用时，应当注明原因并再次签名，不得使用“遵医嘱”“自用”等含糊不清字句，D 错误。其余选项均正确，处方必须字迹清楚，不得涂改，A 正确；处方应使用中文名称书写，没有中文名称的可以使用英文名称，B 正确；每张处方不得超过 5 种药品，C 正确；处方医师的签名式样和专用签章应当与院内药学部门留样备查的式样相一致，E 正确。</w:t>
      </w:r>
    </w:p>
    <w:p w14:paraId="3043D18E">
      <w:pPr>
        <w:spacing w:line="240" w:lineRule="auto"/>
        <w:ind w:firstLine="600"/>
        <w:rPr>
          <w:sz w:val="28"/>
        </w:rPr>
      </w:pPr>
      <w:r>
        <w:rPr>
          <w:rFonts w:ascii="黑体" w:hAnsi="黑体" w:eastAsia="黑体" w:cs="黑体"/>
          <w:color w:val="000000"/>
          <w:sz w:val="28"/>
        </w:rPr>
        <w:t>32. 根据《医疗机构药事管理规定》，医疗机构药学专业技术人员不得少于本机构卫生专业技术人员的（  ）</w:t>
      </w:r>
    </w:p>
    <w:p w14:paraId="31CB7A27">
      <w:pPr>
        <w:spacing w:line="240" w:lineRule="auto"/>
        <w:ind w:firstLine="600"/>
        <w:rPr>
          <w:sz w:val="28"/>
        </w:rPr>
      </w:pPr>
      <w:r>
        <w:rPr>
          <w:rFonts w:ascii="黑体" w:hAnsi="黑体" w:eastAsia="黑体" w:cs="黑体"/>
          <w:color w:val="000000"/>
          <w:sz w:val="28"/>
        </w:rPr>
        <w:t>A. 5%</w:t>
      </w:r>
    </w:p>
    <w:p w14:paraId="2FE46A1A">
      <w:pPr>
        <w:spacing w:line="240" w:lineRule="auto"/>
        <w:ind w:firstLine="600"/>
        <w:rPr>
          <w:sz w:val="28"/>
        </w:rPr>
      </w:pPr>
      <w:r>
        <w:rPr>
          <w:rFonts w:ascii="黑体" w:hAnsi="黑体" w:eastAsia="黑体" w:cs="黑体"/>
          <w:color w:val="000000"/>
          <w:sz w:val="28"/>
        </w:rPr>
        <w:t>B. 6%</w:t>
      </w:r>
    </w:p>
    <w:p w14:paraId="48DF8D12">
      <w:pPr>
        <w:spacing w:line="240" w:lineRule="auto"/>
        <w:ind w:firstLine="600"/>
        <w:rPr>
          <w:sz w:val="28"/>
        </w:rPr>
      </w:pPr>
      <w:r>
        <w:rPr>
          <w:rFonts w:ascii="黑体" w:hAnsi="黑体" w:eastAsia="黑体" w:cs="黑体"/>
          <w:color w:val="000000"/>
          <w:sz w:val="28"/>
        </w:rPr>
        <w:t>C. 7%</w:t>
      </w:r>
    </w:p>
    <w:p w14:paraId="7EF3EAF7">
      <w:pPr>
        <w:spacing w:line="240" w:lineRule="auto"/>
        <w:ind w:firstLine="600"/>
        <w:rPr>
          <w:sz w:val="28"/>
        </w:rPr>
      </w:pPr>
      <w:r>
        <w:rPr>
          <w:rFonts w:ascii="黑体" w:hAnsi="黑体" w:eastAsia="黑体" w:cs="黑体"/>
          <w:color w:val="000000"/>
          <w:sz w:val="28"/>
        </w:rPr>
        <w:t>D. 8%</w:t>
      </w:r>
    </w:p>
    <w:p w14:paraId="0997393E">
      <w:pPr>
        <w:spacing w:line="240" w:lineRule="auto"/>
        <w:ind w:firstLine="600"/>
        <w:rPr>
          <w:sz w:val="28"/>
        </w:rPr>
      </w:pPr>
      <w:r>
        <w:rPr>
          <w:rFonts w:ascii="黑体" w:hAnsi="黑体" w:eastAsia="黑体" w:cs="黑体"/>
          <w:color w:val="000000"/>
          <w:sz w:val="28"/>
        </w:rPr>
        <w:t>E. 9%</w:t>
      </w:r>
    </w:p>
    <w:p w14:paraId="5E6C39A7">
      <w:pPr>
        <w:spacing w:line="240" w:lineRule="auto"/>
        <w:ind w:firstLine="600"/>
        <w:rPr>
          <w:sz w:val="28"/>
        </w:rPr>
      </w:pPr>
      <w:r>
        <w:rPr>
          <w:rFonts w:ascii="黑体" w:hAnsi="黑体" w:eastAsia="黑体" w:cs="黑体"/>
          <w:color w:val="000000"/>
          <w:sz w:val="28"/>
        </w:rPr>
        <w:t>答案：D</w:t>
      </w:r>
    </w:p>
    <w:p w14:paraId="69B80B18">
      <w:pPr>
        <w:spacing w:line="240" w:lineRule="auto"/>
        <w:ind w:firstLine="600"/>
        <w:rPr>
          <w:sz w:val="28"/>
        </w:rPr>
      </w:pPr>
      <w:r>
        <w:rPr>
          <w:rFonts w:ascii="黑体" w:hAnsi="黑体" w:eastAsia="黑体" w:cs="黑体"/>
          <w:color w:val="000000"/>
          <w:sz w:val="28"/>
        </w:rPr>
        <w:t>解析：医疗机构药学专业技术人员不得少于本机构卫生专业技术人员的 8%，D 正确。</w:t>
      </w:r>
    </w:p>
    <w:p w14:paraId="4AA32A2F">
      <w:pPr>
        <w:spacing w:line="240" w:lineRule="auto"/>
        <w:ind w:firstLine="600"/>
        <w:rPr>
          <w:sz w:val="28"/>
        </w:rPr>
      </w:pPr>
      <w:r>
        <w:rPr>
          <w:rFonts w:ascii="黑体" w:hAnsi="黑体" w:eastAsia="黑体" w:cs="黑体"/>
          <w:color w:val="000000"/>
          <w:sz w:val="28"/>
        </w:rPr>
        <w:t>33. 根据《药品召回管理办法》，药品生产企业在启动药品召回后，应当将调查评估报告和召回计划提交给所在地省级药品监督管理部门备案的时限为（  ）</w:t>
      </w:r>
    </w:p>
    <w:p w14:paraId="52C09201">
      <w:pPr>
        <w:spacing w:line="240" w:lineRule="auto"/>
        <w:ind w:firstLine="600"/>
        <w:rPr>
          <w:sz w:val="28"/>
        </w:rPr>
      </w:pPr>
      <w:r>
        <w:rPr>
          <w:rFonts w:ascii="黑体" w:hAnsi="黑体" w:eastAsia="黑体" w:cs="黑体"/>
          <w:color w:val="000000"/>
          <w:sz w:val="28"/>
        </w:rPr>
        <w:t>A. 一级召回在 1 日内，二级召回在 2 日内，三级召回在 3 日内</w:t>
      </w:r>
    </w:p>
    <w:p w14:paraId="216C4BB4">
      <w:pPr>
        <w:spacing w:line="240" w:lineRule="auto"/>
        <w:ind w:firstLine="600"/>
        <w:rPr>
          <w:sz w:val="28"/>
        </w:rPr>
      </w:pPr>
      <w:r>
        <w:rPr>
          <w:rFonts w:ascii="黑体" w:hAnsi="黑体" w:eastAsia="黑体" w:cs="黑体"/>
          <w:color w:val="000000"/>
          <w:sz w:val="28"/>
        </w:rPr>
        <w:t>B. 一级召回在 2 日内，二级召回在 3 日内，三级召回在 7 日内</w:t>
      </w:r>
    </w:p>
    <w:p w14:paraId="78C1C901">
      <w:pPr>
        <w:spacing w:line="240" w:lineRule="auto"/>
        <w:ind w:firstLine="600"/>
        <w:rPr>
          <w:sz w:val="28"/>
        </w:rPr>
      </w:pPr>
      <w:r>
        <w:rPr>
          <w:rFonts w:ascii="黑体" w:hAnsi="黑体" w:eastAsia="黑体" w:cs="黑体"/>
          <w:color w:val="000000"/>
          <w:sz w:val="28"/>
        </w:rPr>
        <w:t>C. 一级召回在 1 日内，二级召回在 3 日内，三级召回在 7 日内</w:t>
      </w:r>
    </w:p>
    <w:p w14:paraId="71BB3501">
      <w:pPr>
        <w:spacing w:line="240" w:lineRule="auto"/>
        <w:ind w:firstLine="600"/>
        <w:rPr>
          <w:sz w:val="28"/>
        </w:rPr>
      </w:pPr>
      <w:r>
        <w:rPr>
          <w:rFonts w:ascii="黑体" w:hAnsi="黑体" w:eastAsia="黑体" w:cs="黑体"/>
          <w:color w:val="000000"/>
          <w:sz w:val="28"/>
        </w:rPr>
        <w:t>D. 一级召回在 3 日内，二级召回在 7 日内，三级召回在 15 日内</w:t>
      </w:r>
    </w:p>
    <w:p w14:paraId="2D80E39E">
      <w:pPr>
        <w:spacing w:line="240" w:lineRule="auto"/>
        <w:ind w:firstLine="600"/>
        <w:rPr>
          <w:sz w:val="28"/>
        </w:rPr>
      </w:pPr>
      <w:r>
        <w:rPr>
          <w:rFonts w:ascii="黑体" w:hAnsi="黑体" w:eastAsia="黑体" w:cs="黑体"/>
          <w:color w:val="000000"/>
          <w:sz w:val="28"/>
        </w:rPr>
        <w:t>E. 一级召回在 2 日内，二级召回在 5 日内，三级召回在 10 日内</w:t>
      </w:r>
    </w:p>
    <w:p w14:paraId="46261893">
      <w:pPr>
        <w:spacing w:line="240" w:lineRule="auto"/>
        <w:ind w:firstLine="600"/>
        <w:rPr>
          <w:sz w:val="28"/>
        </w:rPr>
      </w:pPr>
      <w:r>
        <w:rPr>
          <w:rFonts w:ascii="黑体" w:hAnsi="黑体" w:eastAsia="黑体" w:cs="黑体"/>
          <w:color w:val="000000"/>
          <w:sz w:val="28"/>
        </w:rPr>
        <w:t>答案：C</w:t>
      </w:r>
    </w:p>
    <w:p w14:paraId="6A867944">
      <w:pPr>
        <w:spacing w:line="240" w:lineRule="auto"/>
        <w:ind w:firstLine="600"/>
        <w:rPr>
          <w:sz w:val="28"/>
        </w:rPr>
      </w:pPr>
      <w:r>
        <w:rPr>
          <w:rFonts w:ascii="黑体" w:hAnsi="黑体" w:eastAsia="黑体" w:cs="黑体"/>
          <w:color w:val="000000"/>
          <w:sz w:val="28"/>
        </w:rPr>
        <w:t>解析：药品生产企业在启动药品召回后，一级召回在 1 日内，二级召回在 3 日内，三级召回在 7 日内，应当将调查评估报告和召回计划提交给所在地省级药品监督管理部门备案，C 正确。</w:t>
      </w:r>
    </w:p>
    <w:p w14:paraId="3BBBE5CA">
      <w:pPr>
        <w:spacing w:line="240" w:lineRule="auto"/>
        <w:ind w:firstLine="600"/>
        <w:rPr>
          <w:sz w:val="28"/>
        </w:rPr>
      </w:pPr>
      <w:r>
        <w:rPr>
          <w:rFonts w:ascii="黑体" w:hAnsi="黑体" w:eastAsia="黑体" w:cs="黑体"/>
          <w:color w:val="000000"/>
          <w:sz w:val="28"/>
        </w:rPr>
        <w:t>34. 根据《互联网药品信息服务管理办法》，提供互联网药品信息服务的网站发布药品广告的审查批准部门是（  ）</w:t>
      </w:r>
    </w:p>
    <w:p w14:paraId="49486C10">
      <w:pPr>
        <w:spacing w:line="240" w:lineRule="auto"/>
        <w:ind w:firstLine="600"/>
        <w:rPr>
          <w:sz w:val="28"/>
        </w:rPr>
      </w:pPr>
      <w:r>
        <w:rPr>
          <w:rFonts w:ascii="黑体" w:hAnsi="黑体" w:eastAsia="黑体" w:cs="黑体"/>
          <w:color w:val="000000"/>
          <w:sz w:val="28"/>
        </w:rPr>
        <w:t>A. 信息产业主管部门</w:t>
      </w:r>
    </w:p>
    <w:p w14:paraId="422616B2">
      <w:pPr>
        <w:spacing w:line="240" w:lineRule="auto"/>
        <w:ind w:firstLine="600"/>
        <w:rPr>
          <w:sz w:val="28"/>
        </w:rPr>
      </w:pPr>
      <w:r>
        <w:rPr>
          <w:rFonts w:ascii="黑体" w:hAnsi="黑体" w:eastAsia="黑体" w:cs="黑体"/>
          <w:color w:val="000000"/>
          <w:sz w:val="28"/>
        </w:rPr>
        <w:t>B. 药品监督管理部门</w:t>
      </w:r>
    </w:p>
    <w:p w14:paraId="56F1B480">
      <w:pPr>
        <w:spacing w:line="240" w:lineRule="auto"/>
        <w:ind w:firstLine="600"/>
        <w:rPr>
          <w:sz w:val="28"/>
        </w:rPr>
      </w:pPr>
      <w:r>
        <w:rPr>
          <w:rFonts w:ascii="黑体" w:hAnsi="黑体" w:eastAsia="黑体" w:cs="黑体"/>
          <w:color w:val="000000"/>
          <w:sz w:val="28"/>
        </w:rPr>
        <w:t>C. 卫生行政部门</w:t>
      </w:r>
    </w:p>
    <w:p w14:paraId="1CCB1113">
      <w:pPr>
        <w:spacing w:line="240" w:lineRule="auto"/>
        <w:ind w:firstLine="600"/>
        <w:rPr>
          <w:sz w:val="28"/>
        </w:rPr>
      </w:pPr>
      <w:r>
        <w:rPr>
          <w:rFonts w:ascii="黑体" w:hAnsi="黑体" w:eastAsia="黑体" w:cs="黑体"/>
          <w:color w:val="000000"/>
          <w:sz w:val="28"/>
        </w:rPr>
        <w:t>D. 工商行政管理部门</w:t>
      </w:r>
    </w:p>
    <w:p w14:paraId="04018E55">
      <w:pPr>
        <w:spacing w:line="240" w:lineRule="auto"/>
        <w:ind w:firstLine="600"/>
        <w:rPr>
          <w:sz w:val="28"/>
        </w:rPr>
      </w:pPr>
      <w:r>
        <w:rPr>
          <w:rFonts w:ascii="黑体" w:hAnsi="黑体" w:eastAsia="黑体" w:cs="黑体"/>
          <w:color w:val="000000"/>
          <w:sz w:val="28"/>
        </w:rPr>
        <w:t>E. 电信管理机构</w:t>
      </w:r>
    </w:p>
    <w:p w14:paraId="55B129FC">
      <w:pPr>
        <w:spacing w:line="240" w:lineRule="auto"/>
        <w:ind w:firstLine="600"/>
        <w:rPr>
          <w:sz w:val="28"/>
        </w:rPr>
      </w:pPr>
      <w:r>
        <w:rPr>
          <w:rFonts w:ascii="黑体" w:hAnsi="黑体" w:eastAsia="黑体" w:cs="黑体"/>
          <w:color w:val="000000"/>
          <w:sz w:val="28"/>
        </w:rPr>
        <w:t>答案：B</w:t>
      </w:r>
    </w:p>
    <w:p w14:paraId="78995931">
      <w:pPr>
        <w:spacing w:line="240" w:lineRule="auto"/>
        <w:ind w:firstLine="600"/>
        <w:rPr>
          <w:sz w:val="28"/>
        </w:rPr>
      </w:pPr>
      <w:r>
        <w:rPr>
          <w:rFonts w:ascii="黑体" w:hAnsi="黑体" w:eastAsia="黑体" w:cs="黑体"/>
          <w:color w:val="000000"/>
          <w:sz w:val="28"/>
        </w:rPr>
        <w:t>解析：提供互联网药品信息服务的网站发布药品广告，应当经药品监督管理部门审查批准，B 正确。</w:t>
      </w:r>
    </w:p>
    <w:p w14:paraId="6040DCC0">
      <w:pPr>
        <w:spacing w:line="240" w:lineRule="auto"/>
        <w:ind w:firstLine="600"/>
        <w:rPr>
          <w:sz w:val="28"/>
        </w:rPr>
      </w:pPr>
      <w:r>
        <w:rPr>
          <w:rFonts w:ascii="黑体" w:hAnsi="黑体" w:eastAsia="黑体" w:cs="黑体"/>
          <w:color w:val="000000"/>
          <w:sz w:val="28"/>
        </w:rPr>
        <w:t>35. 根据《医疗器械监督管理条例》，下列医疗器械中，实行第三类管理的是（  ）</w:t>
      </w:r>
    </w:p>
    <w:p w14:paraId="0DFC1EB4">
      <w:pPr>
        <w:spacing w:line="240" w:lineRule="auto"/>
        <w:ind w:firstLine="600"/>
        <w:rPr>
          <w:sz w:val="28"/>
        </w:rPr>
      </w:pPr>
      <w:r>
        <w:rPr>
          <w:rFonts w:ascii="黑体" w:hAnsi="黑体" w:eastAsia="黑体" w:cs="黑体"/>
          <w:color w:val="000000"/>
          <w:sz w:val="28"/>
        </w:rPr>
        <w:t>A. 体温计</w:t>
      </w:r>
    </w:p>
    <w:p w14:paraId="22ECEE1A">
      <w:pPr>
        <w:spacing w:line="240" w:lineRule="auto"/>
        <w:ind w:firstLine="600"/>
        <w:rPr>
          <w:sz w:val="28"/>
        </w:rPr>
      </w:pPr>
      <w:r>
        <w:rPr>
          <w:rFonts w:ascii="黑体" w:hAnsi="黑体" w:eastAsia="黑体" w:cs="黑体"/>
          <w:color w:val="000000"/>
          <w:sz w:val="28"/>
        </w:rPr>
        <w:t>B. 血压计</w:t>
      </w:r>
    </w:p>
    <w:p w14:paraId="08DFCA25">
      <w:pPr>
        <w:spacing w:line="240" w:lineRule="auto"/>
        <w:ind w:firstLine="600"/>
        <w:rPr>
          <w:sz w:val="28"/>
        </w:rPr>
      </w:pPr>
      <w:r>
        <w:rPr>
          <w:rFonts w:ascii="黑体" w:hAnsi="黑体" w:eastAsia="黑体" w:cs="黑体"/>
          <w:color w:val="000000"/>
          <w:sz w:val="28"/>
        </w:rPr>
        <w:t>C. 无菌注射器</w:t>
      </w:r>
    </w:p>
    <w:p w14:paraId="6A168824">
      <w:pPr>
        <w:spacing w:line="240" w:lineRule="auto"/>
        <w:ind w:firstLine="600"/>
        <w:rPr>
          <w:sz w:val="28"/>
        </w:rPr>
      </w:pPr>
      <w:r>
        <w:rPr>
          <w:rFonts w:ascii="黑体" w:hAnsi="黑体" w:eastAsia="黑体" w:cs="黑体"/>
          <w:color w:val="000000"/>
          <w:sz w:val="28"/>
        </w:rPr>
        <w:t>D. 医用脱脂棉</w:t>
      </w:r>
    </w:p>
    <w:p w14:paraId="4EE3717D">
      <w:pPr>
        <w:spacing w:line="240" w:lineRule="auto"/>
        <w:ind w:firstLine="600"/>
        <w:rPr>
          <w:sz w:val="28"/>
        </w:rPr>
      </w:pPr>
      <w:r>
        <w:rPr>
          <w:rFonts w:ascii="黑体" w:hAnsi="黑体" w:eastAsia="黑体" w:cs="黑体"/>
          <w:color w:val="000000"/>
          <w:sz w:val="28"/>
        </w:rPr>
        <w:t>E. 医用口罩</w:t>
      </w:r>
    </w:p>
    <w:p w14:paraId="3625BEFF">
      <w:pPr>
        <w:spacing w:line="240" w:lineRule="auto"/>
        <w:ind w:firstLine="600"/>
        <w:rPr>
          <w:sz w:val="28"/>
        </w:rPr>
      </w:pPr>
      <w:r>
        <w:rPr>
          <w:rFonts w:ascii="黑体" w:hAnsi="黑体" w:eastAsia="黑体" w:cs="黑体"/>
          <w:color w:val="000000"/>
          <w:sz w:val="28"/>
        </w:rPr>
        <w:t>答案：C</w:t>
      </w:r>
    </w:p>
    <w:p w14:paraId="222E6B7D">
      <w:pPr>
        <w:spacing w:line="240" w:lineRule="auto"/>
        <w:ind w:firstLine="600"/>
        <w:rPr>
          <w:sz w:val="28"/>
        </w:rPr>
      </w:pPr>
      <w:r>
        <w:rPr>
          <w:rFonts w:ascii="黑体" w:hAnsi="黑体" w:eastAsia="黑体" w:cs="黑体"/>
          <w:color w:val="000000"/>
          <w:sz w:val="28"/>
        </w:rPr>
        <w:t>解析：无菌注射器属于第三类医疗器械，风险程度高，需要采取特别措施严格控制管理以保证其安全、有效，C 正确。体温计、血压计属于第一类医疗器械，风险程度低，实行常规管理可以保证其安全、有效，A、B 错误。医用脱脂棉、医用口罩属于第二类医疗器械，具有中度风险，需要严格控制管理以保证其安全、有效，D、E 错误。</w:t>
      </w:r>
    </w:p>
    <w:p w14:paraId="18C70223">
      <w:pPr>
        <w:spacing w:line="240" w:lineRule="auto"/>
        <w:ind w:firstLine="600"/>
        <w:rPr>
          <w:sz w:val="28"/>
        </w:rPr>
      </w:pPr>
      <w:r>
        <w:rPr>
          <w:rFonts w:ascii="黑体" w:hAnsi="黑体" w:eastAsia="黑体" w:cs="黑体"/>
          <w:color w:val="000000"/>
          <w:sz w:val="28"/>
        </w:rPr>
        <w:t>36. 以下关于药物跨膜转运的说法，错误的是（  ）</w:t>
      </w:r>
    </w:p>
    <w:p w14:paraId="37F220D3">
      <w:pPr>
        <w:spacing w:line="240" w:lineRule="auto"/>
        <w:ind w:firstLine="600"/>
        <w:rPr>
          <w:sz w:val="28"/>
        </w:rPr>
      </w:pPr>
      <w:r>
        <w:rPr>
          <w:rFonts w:ascii="黑体" w:hAnsi="黑体" w:eastAsia="黑体" w:cs="黑体"/>
          <w:color w:val="000000"/>
          <w:sz w:val="28"/>
        </w:rPr>
        <w:t>A. 被动转运包括简单扩散和易化扩散</w:t>
      </w:r>
    </w:p>
    <w:p w14:paraId="32BD853A">
      <w:pPr>
        <w:spacing w:line="240" w:lineRule="auto"/>
        <w:ind w:firstLine="600"/>
        <w:rPr>
          <w:sz w:val="28"/>
        </w:rPr>
      </w:pPr>
      <w:r>
        <w:rPr>
          <w:rFonts w:ascii="黑体" w:hAnsi="黑体" w:eastAsia="黑体" w:cs="黑体"/>
          <w:color w:val="000000"/>
          <w:sz w:val="28"/>
        </w:rPr>
        <w:t>B. 主动转运需要载体和能量</w:t>
      </w:r>
    </w:p>
    <w:p w14:paraId="25C82A75">
      <w:pPr>
        <w:spacing w:line="240" w:lineRule="auto"/>
        <w:ind w:firstLine="600"/>
        <w:rPr>
          <w:sz w:val="28"/>
        </w:rPr>
      </w:pPr>
      <w:r>
        <w:rPr>
          <w:rFonts w:ascii="黑体" w:hAnsi="黑体" w:eastAsia="黑体" w:cs="黑体"/>
          <w:color w:val="000000"/>
          <w:sz w:val="28"/>
        </w:rPr>
        <w:t>C. 易化扩散不消耗能量，但需要载体</w:t>
      </w:r>
    </w:p>
    <w:p w14:paraId="7FC0403A">
      <w:pPr>
        <w:spacing w:line="240" w:lineRule="auto"/>
        <w:ind w:firstLine="600"/>
        <w:rPr>
          <w:sz w:val="28"/>
        </w:rPr>
      </w:pPr>
      <w:r>
        <w:rPr>
          <w:rFonts w:ascii="黑体" w:hAnsi="黑体" w:eastAsia="黑体" w:cs="黑体"/>
          <w:color w:val="000000"/>
          <w:sz w:val="28"/>
        </w:rPr>
        <w:t>D. 膜动转运主要包括胞饮和胞吐</w:t>
      </w:r>
    </w:p>
    <w:p w14:paraId="17145C96">
      <w:pPr>
        <w:spacing w:line="240" w:lineRule="auto"/>
        <w:ind w:firstLine="600"/>
        <w:rPr>
          <w:sz w:val="28"/>
        </w:rPr>
      </w:pPr>
      <w:r>
        <w:rPr>
          <w:rFonts w:ascii="黑体" w:hAnsi="黑体" w:eastAsia="黑体" w:cs="黑体"/>
          <w:color w:val="000000"/>
          <w:sz w:val="28"/>
        </w:rPr>
        <w:t>E. 药物的跨膜转运方式中，主动转运是最主要的方式</w:t>
      </w:r>
    </w:p>
    <w:p w14:paraId="19CA36FA">
      <w:pPr>
        <w:spacing w:line="240" w:lineRule="auto"/>
        <w:ind w:firstLine="600"/>
        <w:rPr>
          <w:sz w:val="28"/>
        </w:rPr>
      </w:pPr>
      <w:r>
        <w:rPr>
          <w:rFonts w:ascii="黑体" w:hAnsi="黑体" w:eastAsia="黑体" w:cs="黑体"/>
          <w:color w:val="000000"/>
          <w:sz w:val="28"/>
        </w:rPr>
        <w:t>答案：E</w:t>
      </w:r>
    </w:p>
    <w:p w14:paraId="5B3F9E38">
      <w:pPr>
        <w:spacing w:line="240" w:lineRule="auto"/>
        <w:ind w:firstLine="600"/>
        <w:rPr>
          <w:sz w:val="28"/>
        </w:rPr>
      </w:pPr>
      <w:r>
        <w:rPr>
          <w:rFonts w:ascii="黑体" w:hAnsi="黑体" w:eastAsia="黑体" w:cs="黑体"/>
          <w:color w:val="000000"/>
          <w:sz w:val="28"/>
        </w:rPr>
        <w:t>解析：药物的跨膜转运方式中，被动转运（简单扩散和易化扩散）是最主要的方式，主动转运不是最主要的，E 错误。被动转运包括简单扩散和易化扩散，A 正确；主动转运需要载体和能量，B 正确；易化扩散不消耗能量，但需要载体，C 正确；膜动转运主要包括胞饮和胞吐，D 正确。</w:t>
      </w:r>
    </w:p>
    <w:p w14:paraId="2913D32F">
      <w:pPr>
        <w:spacing w:line="240" w:lineRule="auto"/>
        <w:ind w:firstLine="600"/>
        <w:rPr>
          <w:sz w:val="28"/>
        </w:rPr>
      </w:pPr>
      <w:r>
        <w:rPr>
          <w:rFonts w:ascii="黑体" w:hAnsi="黑体" w:eastAsia="黑体" w:cs="黑体"/>
          <w:color w:val="000000"/>
          <w:sz w:val="28"/>
        </w:rPr>
        <w:t>37. 某药的半衰期为 12 小时，一次给药后，药物在体内基本消除的时间是（  ）</w:t>
      </w:r>
    </w:p>
    <w:p w14:paraId="51C00D00">
      <w:pPr>
        <w:spacing w:line="240" w:lineRule="auto"/>
        <w:ind w:firstLine="600"/>
        <w:rPr>
          <w:sz w:val="28"/>
        </w:rPr>
      </w:pPr>
      <w:r>
        <w:rPr>
          <w:rFonts w:ascii="黑体" w:hAnsi="黑体" w:eastAsia="黑体" w:cs="黑体"/>
          <w:color w:val="000000"/>
          <w:sz w:val="28"/>
        </w:rPr>
        <w:t>A. 1 天左右</w:t>
      </w:r>
    </w:p>
    <w:p w14:paraId="4FDB01EF">
      <w:pPr>
        <w:spacing w:line="240" w:lineRule="auto"/>
        <w:ind w:firstLine="600"/>
        <w:rPr>
          <w:sz w:val="28"/>
        </w:rPr>
      </w:pPr>
      <w:r>
        <w:rPr>
          <w:rFonts w:ascii="黑体" w:hAnsi="黑体" w:eastAsia="黑体" w:cs="黑体"/>
          <w:color w:val="000000"/>
          <w:sz w:val="28"/>
        </w:rPr>
        <w:t>B. 2 天左右</w:t>
      </w:r>
    </w:p>
    <w:p w14:paraId="7BB16671">
      <w:pPr>
        <w:spacing w:line="240" w:lineRule="auto"/>
        <w:ind w:firstLine="600"/>
        <w:rPr>
          <w:sz w:val="28"/>
        </w:rPr>
      </w:pPr>
      <w:r>
        <w:rPr>
          <w:rFonts w:ascii="黑体" w:hAnsi="黑体" w:eastAsia="黑体" w:cs="黑体"/>
          <w:color w:val="000000"/>
          <w:sz w:val="28"/>
        </w:rPr>
        <w:t>C. 3 天左右</w:t>
      </w:r>
    </w:p>
    <w:p w14:paraId="751BA04C">
      <w:pPr>
        <w:spacing w:line="240" w:lineRule="auto"/>
        <w:ind w:firstLine="600"/>
        <w:rPr>
          <w:sz w:val="28"/>
        </w:rPr>
      </w:pPr>
      <w:r>
        <w:rPr>
          <w:rFonts w:ascii="黑体" w:hAnsi="黑体" w:eastAsia="黑体" w:cs="黑体"/>
          <w:color w:val="000000"/>
          <w:sz w:val="28"/>
        </w:rPr>
        <w:t>D. 4 天左右</w:t>
      </w:r>
    </w:p>
    <w:p w14:paraId="4B1BA0F1">
      <w:pPr>
        <w:spacing w:line="240" w:lineRule="auto"/>
        <w:ind w:firstLine="600"/>
        <w:rPr>
          <w:sz w:val="28"/>
        </w:rPr>
      </w:pPr>
      <w:r>
        <w:rPr>
          <w:rFonts w:ascii="黑体" w:hAnsi="黑体" w:eastAsia="黑体" w:cs="黑体"/>
          <w:color w:val="000000"/>
          <w:sz w:val="28"/>
        </w:rPr>
        <w:t>E. 5 天左右</w:t>
      </w:r>
    </w:p>
    <w:p w14:paraId="4A5B83A0">
      <w:pPr>
        <w:spacing w:line="240" w:lineRule="auto"/>
        <w:ind w:firstLine="600"/>
        <w:rPr>
          <w:sz w:val="28"/>
        </w:rPr>
      </w:pPr>
      <w:r>
        <w:rPr>
          <w:rFonts w:ascii="黑体" w:hAnsi="黑体" w:eastAsia="黑体" w:cs="黑体"/>
          <w:color w:val="000000"/>
          <w:sz w:val="28"/>
        </w:rPr>
        <w:t>答案：C</w:t>
      </w:r>
    </w:p>
    <w:p w14:paraId="6DD07391">
      <w:pPr>
        <w:spacing w:line="240" w:lineRule="auto"/>
        <w:ind w:firstLine="600"/>
        <w:rPr>
          <w:sz w:val="28"/>
        </w:rPr>
      </w:pPr>
      <w:r>
        <w:rPr>
          <w:rFonts w:ascii="黑体" w:hAnsi="黑体" w:eastAsia="黑体" w:cs="黑体"/>
          <w:color w:val="000000"/>
          <w:sz w:val="28"/>
        </w:rPr>
        <w:t>解析：一般经过 4  5 个半衰期，药物在体内基本消除。该药物半衰期为 12 小时，5 个半衰期为 60 小时，约 3 天左右，C 正确。</w:t>
      </w:r>
    </w:p>
    <w:p w14:paraId="4040211D">
      <w:pPr>
        <w:spacing w:line="240" w:lineRule="auto"/>
        <w:ind w:firstLine="600"/>
        <w:rPr>
          <w:sz w:val="28"/>
        </w:rPr>
      </w:pPr>
      <w:r>
        <w:rPr>
          <w:rFonts w:ascii="黑体" w:hAnsi="黑体" w:eastAsia="黑体" w:cs="黑体"/>
          <w:color w:val="000000"/>
          <w:sz w:val="28"/>
        </w:rPr>
        <w:t>38. 下列关于药物不良反应的说法，正确的是（  ）</w:t>
      </w:r>
    </w:p>
    <w:p w14:paraId="4C11D847">
      <w:pPr>
        <w:spacing w:line="240" w:lineRule="auto"/>
        <w:ind w:firstLine="600"/>
        <w:rPr>
          <w:sz w:val="28"/>
        </w:rPr>
      </w:pPr>
      <w:r>
        <w:rPr>
          <w:rFonts w:ascii="黑体" w:hAnsi="黑体" w:eastAsia="黑体" w:cs="黑体"/>
          <w:color w:val="000000"/>
          <w:sz w:val="28"/>
        </w:rPr>
        <w:t>A. 药物不良反应是指合格药品在正常用法用量下出现的与用药目的无关的有害反应</w:t>
      </w:r>
    </w:p>
    <w:p w14:paraId="6427842C">
      <w:pPr>
        <w:spacing w:line="240" w:lineRule="auto"/>
        <w:ind w:firstLine="600"/>
        <w:rPr>
          <w:sz w:val="28"/>
        </w:rPr>
      </w:pPr>
      <w:r>
        <w:rPr>
          <w:rFonts w:ascii="黑体" w:hAnsi="黑体" w:eastAsia="黑体" w:cs="黑体"/>
          <w:color w:val="000000"/>
          <w:sz w:val="28"/>
        </w:rPr>
        <w:t>B. 药物不良反应分为 A 型和 B 型，其中 A 型不良反应与剂量无关</w:t>
      </w:r>
    </w:p>
    <w:p w14:paraId="6243F9D3">
      <w:pPr>
        <w:spacing w:line="240" w:lineRule="auto"/>
        <w:ind w:firstLine="600"/>
        <w:rPr>
          <w:sz w:val="28"/>
        </w:rPr>
      </w:pPr>
      <w:r>
        <w:rPr>
          <w:rFonts w:ascii="黑体" w:hAnsi="黑体" w:eastAsia="黑体" w:cs="黑体"/>
          <w:color w:val="000000"/>
          <w:sz w:val="28"/>
        </w:rPr>
        <w:t>C. 药物不良反应只包括副作用、毒性反应和过敏反应</w:t>
      </w:r>
    </w:p>
    <w:p w14:paraId="5A099ED9">
      <w:pPr>
        <w:spacing w:line="240" w:lineRule="auto"/>
        <w:ind w:firstLine="600"/>
        <w:rPr>
          <w:sz w:val="28"/>
        </w:rPr>
      </w:pPr>
      <w:r>
        <w:rPr>
          <w:rFonts w:ascii="黑体" w:hAnsi="黑体" w:eastAsia="黑体" w:cs="黑体"/>
          <w:color w:val="000000"/>
          <w:sz w:val="28"/>
        </w:rPr>
        <w:t>D. 药物不良反应可以完全避免</w:t>
      </w:r>
    </w:p>
    <w:p w14:paraId="6B2BDE3E">
      <w:pPr>
        <w:spacing w:line="240" w:lineRule="auto"/>
        <w:ind w:firstLine="600"/>
        <w:rPr>
          <w:sz w:val="28"/>
        </w:rPr>
      </w:pPr>
      <w:r>
        <w:rPr>
          <w:rFonts w:ascii="黑体" w:hAnsi="黑体" w:eastAsia="黑体" w:cs="黑体"/>
          <w:color w:val="000000"/>
          <w:sz w:val="28"/>
        </w:rPr>
        <w:t>E. 药物不良反应的发生率与药物的剂量无关</w:t>
      </w:r>
    </w:p>
    <w:p w14:paraId="27B92B28">
      <w:pPr>
        <w:spacing w:line="240" w:lineRule="auto"/>
        <w:ind w:firstLine="600"/>
        <w:rPr>
          <w:sz w:val="28"/>
        </w:rPr>
      </w:pPr>
      <w:r>
        <w:rPr>
          <w:rFonts w:ascii="黑体" w:hAnsi="黑体" w:eastAsia="黑体" w:cs="黑体"/>
          <w:color w:val="000000"/>
          <w:sz w:val="28"/>
        </w:rPr>
        <w:t>答案：A</w:t>
      </w:r>
    </w:p>
    <w:p w14:paraId="7F89A8F8">
      <w:pPr>
        <w:spacing w:line="240" w:lineRule="auto"/>
        <w:ind w:firstLine="600"/>
        <w:rPr>
          <w:sz w:val="28"/>
        </w:rPr>
      </w:pPr>
      <w:r>
        <w:rPr>
          <w:rFonts w:ascii="黑体" w:hAnsi="黑体" w:eastAsia="黑体" w:cs="黑体"/>
          <w:color w:val="000000"/>
          <w:sz w:val="28"/>
        </w:rPr>
        <w:t>解析：药物不良反应是指合格药品在正常用法用量下出现的与用药目的无关的有害反应，A 正确。药物不良反应分为 A 型和 B 型，A 型不良反应与剂量有关，B 错误。药物不良反应包括副作用、毒性反应、过敏反应、后遗效应、继发反应等，C 错误。药物不良反应难以完全避免，D 错误。药物不良反应的发生率与药物的剂量有关，剂量越大，不良反应发生率可能越高，E 错误。</w:t>
      </w:r>
    </w:p>
    <w:p w14:paraId="210A7FD1">
      <w:pPr>
        <w:spacing w:line="240" w:lineRule="auto"/>
        <w:ind w:firstLine="600"/>
        <w:rPr>
          <w:sz w:val="28"/>
        </w:rPr>
      </w:pPr>
      <w:r>
        <w:rPr>
          <w:rFonts w:ascii="黑体" w:hAnsi="黑体" w:eastAsia="黑体" w:cs="黑体"/>
          <w:color w:val="000000"/>
          <w:sz w:val="28"/>
        </w:rPr>
        <w:t>39. 患者，男，52 岁，因心绞痛服用硝酸甘油片。下列关于硝酸甘油的说法，错误的是（  ）</w:t>
      </w:r>
    </w:p>
    <w:p w14:paraId="00078839">
      <w:pPr>
        <w:spacing w:line="240" w:lineRule="auto"/>
        <w:ind w:firstLine="600"/>
        <w:rPr>
          <w:sz w:val="28"/>
        </w:rPr>
      </w:pPr>
      <w:r>
        <w:rPr>
          <w:rFonts w:ascii="黑体" w:hAnsi="黑体" w:eastAsia="黑体" w:cs="黑体"/>
          <w:color w:val="000000"/>
          <w:sz w:val="28"/>
        </w:rPr>
        <w:t>A. 硝酸甘油可扩张冠状动脉，增加心肌供血</w:t>
      </w:r>
    </w:p>
    <w:p w14:paraId="552CC726">
      <w:pPr>
        <w:spacing w:line="240" w:lineRule="auto"/>
        <w:ind w:firstLine="600"/>
        <w:rPr>
          <w:sz w:val="28"/>
        </w:rPr>
      </w:pPr>
      <w:r>
        <w:rPr>
          <w:rFonts w:ascii="黑体" w:hAnsi="黑体" w:eastAsia="黑体" w:cs="黑体"/>
          <w:color w:val="000000"/>
          <w:sz w:val="28"/>
        </w:rPr>
        <w:t>B. 硝酸甘油可降低心脏前后负荷，减少心肌耗氧量</w:t>
      </w:r>
    </w:p>
    <w:p w14:paraId="68CCF251">
      <w:pPr>
        <w:spacing w:line="240" w:lineRule="auto"/>
        <w:ind w:firstLine="600"/>
        <w:rPr>
          <w:sz w:val="28"/>
        </w:rPr>
      </w:pPr>
      <w:r>
        <w:rPr>
          <w:rFonts w:ascii="黑体" w:hAnsi="黑体" w:eastAsia="黑体" w:cs="黑体"/>
          <w:color w:val="000000"/>
          <w:sz w:val="28"/>
        </w:rPr>
        <w:t>C. 硝酸甘油口服生物利用度高，可口服给药</w:t>
      </w:r>
    </w:p>
    <w:p w14:paraId="6E91E4DB">
      <w:pPr>
        <w:spacing w:line="240" w:lineRule="auto"/>
        <w:ind w:firstLine="600"/>
        <w:rPr>
          <w:sz w:val="28"/>
        </w:rPr>
      </w:pPr>
      <w:r>
        <w:rPr>
          <w:rFonts w:ascii="黑体" w:hAnsi="黑体" w:eastAsia="黑体" w:cs="黑体"/>
          <w:color w:val="000000"/>
          <w:sz w:val="28"/>
        </w:rPr>
        <w:t>D. 硝酸甘油常见的不良反应有头痛、面部潮红等</w:t>
      </w:r>
    </w:p>
    <w:p w14:paraId="7C2138F2">
      <w:pPr>
        <w:spacing w:line="240" w:lineRule="auto"/>
        <w:ind w:firstLine="600"/>
        <w:rPr>
          <w:sz w:val="28"/>
        </w:rPr>
      </w:pPr>
      <w:r>
        <w:rPr>
          <w:rFonts w:ascii="黑体" w:hAnsi="黑体" w:eastAsia="黑体" w:cs="黑体"/>
          <w:color w:val="000000"/>
          <w:sz w:val="28"/>
        </w:rPr>
        <w:t>E. 硝酸甘油应舌下含服，不可吞服</w:t>
      </w:r>
    </w:p>
    <w:p w14:paraId="57A4A972">
      <w:pPr>
        <w:spacing w:line="240" w:lineRule="auto"/>
        <w:ind w:firstLine="600"/>
        <w:rPr>
          <w:sz w:val="28"/>
        </w:rPr>
      </w:pPr>
      <w:r>
        <w:rPr>
          <w:rFonts w:ascii="黑体" w:hAnsi="黑体" w:eastAsia="黑体" w:cs="黑体"/>
          <w:color w:val="000000"/>
          <w:sz w:val="28"/>
        </w:rPr>
        <w:t>答案：C</w:t>
      </w:r>
    </w:p>
    <w:p w14:paraId="3606A9B9">
      <w:pPr>
        <w:spacing w:line="240" w:lineRule="auto"/>
        <w:ind w:firstLine="600"/>
        <w:rPr>
          <w:sz w:val="28"/>
        </w:rPr>
      </w:pPr>
      <w:r>
        <w:rPr>
          <w:rFonts w:ascii="黑体" w:hAnsi="黑体" w:eastAsia="黑体" w:cs="黑体"/>
          <w:color w:val="000000"/>
          <w:sz w:val="28"/>
        </w:rPr>
        <w:t>解析：硝酸甘油口服首过效应明显，生物利用度低，不宜口服给药，一般采用舌下含服，C 错误。硝酸甘油可扩张冠状动脉，增加心肌供血，A 正确；可降低心脏前后负荷，减少心肌耗氧量，B 正确；常见的不良反应有头痛、面部潮红等，D 正确；应舌下含服，不可吞服，E 正确。</w:t>
      </w:r>
    </w:p>
    <w:p w14:paraId="41A7A770">
      <w:pPr>
        <w:spacing w:line="240" w:lineRule="auto"/>
        <w:ind w:firstLine="600"/>
        <w:rPr>
          <w:sz w:val="28"/>
        </w:rPr>
      </w:pPr>
      <w:r>
        <w:rPr>
          <w:rFonts w:ascii="黑体" w:hAnsi="黑体" w:eastAsia="黑体" w:cs="黑体"/>
          <w:color w:val="000000"/>
          <w:sz w:val="28"/>
        </w:rPr>
        <w:t>40. 患者，女，32 岁，患有甲状腺功能亢进症，医生开具丙硫氧嘧啶片治疗。下列关于丙硫氧嘧啶的说法，正确的是（  ）</w:t>
      </w:r>
    </w:p>
    <w:p w14:paraId="38309C4A">
      <w:pPr>
        <w:spacing w:line="240" w:lineRule="auto"/>
        <w:ind w:firstLine="600"/>
        <w:rPr>
          <w:sz w:val="28"/>
        </w:rPr>
      </w:pPr>
      <w:r>
        <w:rPr>
          <w:rFonts w:ascii="黑体" w:hAnsi="黑体" w:eastAsia="黑体" w:cs="黑体"/>
          <w:color w:val="000000"/>
          <w:sz w:val="28"/>
        </w:rPr>
        <w:t>A. 丙硫氧嘧啶可抑制甲状腺激素的合成</w:t>
      </w:r>
    </w:p>
    <w:p w14:paraId="13DA8328">
      <w:pPr>
        <w:spacing w:line="240" w:lineRule="auto"/>
        <w:ind w:firstLine="600"/>
        <w:rPr>
          <w:sz w:val="28"/>
        </w:rPr>
      </w:pPr>
      <w:r>
        <w:rPr>
          <w:rFonts w:ascii="黑体" w:hAnsi="黑体" w:eastAsia="黑体" w:cs="黑体"/>
          <w:color w:val="000000"/>
          <w:sz w:val="28"/>
        </w:rPr>
        <w:t>B. 丙硫氧嘧啶可抑制甲状腺激素的释放</w:t>
      </w:r>
    </w:p>
    <w:p w14:paraId="69C5011E">
      <w:pPr>
        <w:spacing w:line="240" w:lineRule="auto"/>
        <w:ind w:firstLine="600"/>
        <w:rPr>
          <w:sz w:val="28"/>
        </w:rPr>
      </w:pPr>
      <w:r>
        <w:rPr>
          <w:rFonts w:ascii="黑体" w:hAnsi="黑体" w:eastAsia="黑体" w:cs="黑体"/>
          <w:color w:val="000000"/>
          <w:sz w:val="28"/>
        </w:rPr>
        <w:t>C. 丙硫氧嘧啶的作用机制是破坏甲状腺组织</w:t>
      </w:r>
    </w:p>
    <w:p w14:paraId="70676B38">
      <w:pPr>
        <w:spacing w:line="240" w:lineRule="auto"/>
        <w:ind w:firstLine="600"/>
        <w:rPr>
          <w:sz w:val="28"/>
        </w:rPr>
      </w:pPr>
      <w:r>
        <w:rPr>
          <w:rFonts w:ascii="黑体" w:hAnsi="黑体" w:eastAsia="黑体" w:cs="黑体"/>
          <w:color w:val="000000"/>
          <w:sz w:val="28"/>
        </w:rPr>
        <w:t>D. 丙硫氧嘧啶的不良反应主要是低血糖</w:t>
      </w:r>
    </w:p>
    <w:p w14:paraId="11892061">
      <w:pPr>
        <w:spacing w:line="240" w:lineRule="auto"/>
        <w:ind w:firstLine="600"/>
        <w:rPr>
          <w:sz w:val="28"/>
        </w:rPr>
      </w:pPr>
      <w:r>
        <w:rPr>
          <w:rFonts w:ascii="黑体" w:hAnsi="黑体" w:eastAsia="黑体" w:cs="黑体"/>
          <w:color w:val="000000"/>
          <w:sz w:val="28"/>
        </w:rPr>
        <w:t>E. 丙硫氧嘧啶可用于甲状腺危象的治疗</w:t>
      </w:r>
    </w:p>
    <w:p w14:paraId="3DC49806">
      <w:pPr>
        <w:spacing w:line="240" w:lineRule="auto"/>
        <w:ind w:firstLine="600"/>
        <w:rPr>
          <w:sz w:val="28"/>
        </w:rPr>
      </w:pPr>
      <w:r>
        <w:rPr>
          <w:rFonts w:ascii="黑体" w:hAnsi="黑体" w:eastAsia="黑体" w:cs="黑体"/>
          <w:color w:val="000000"/>
          <w:sz w:val="28"/>
        </w:rPr>
        <w:t>答案：AE</w:t>
      </w:r>
    </w:p>
    <w:p w14:paraId="3744447F">
      <w:pPr>
        <w:spacing w:line="240" w:lineRule="auto"/>
        <w:ind w:firstLine="600"/>
        <w:rPr>
          <w:sz w:val="28"/>
        </w:rPr>
      </w:pPr>
      <w:r>
        <w:rPr>
          <w:rFonts w:ascii="黑体" w:hAnsi="黑体" w:eastAsia="黑体" w:cs="黑体"/>
          <w:color w:val="000000"/>
          <w:sz w:val="28"/>
        </w:rPr>
        <w:t>解析：丙硫氧嘧啶可抑制甲状腺过氧化物酶，从而抑制甲状腺激素的合成，A 正确。它不能抑制甲状腺激素的释放，B 错误。其作用机制不是破坏甲状腺组织，C 错误。不良反应主要是粒细胞减少，而不是低血糖，D 错误。丙硫氧嘧啶可用于甲状腺危象的治疗，E 正确。</w:t>
      </w:r>
    </w:p>
    <w:p w14:paraId="6D4E06AB">
      <w:pPr>
        <w:spacing w:line="240" w:lineRule="auto"/>
        <w:ind w:firstLine="600"/>
        <w:rPr>
          <w:sz w:val="28"/>
        </w:rPr>
      </w:pPr>
      <w:r>
        <w:rPr>
          <w:rFonts w:ascii="黑体" w:hAnsi="黑体" w:eastAsia="黑体" w:cs="黑体"/>
          <w:color w:val="000000"/>
          <w:sz w:val="28"/>
        </w:rPr>
        <w:t>41. 患者，男，68 岁，患有良性前列腺增生症，医生开具非那雄胺片治疗。下列关于非那雄胺的说法，错误的是（  ）</w:t>
      </w:r>
    </w:p>
    <w:p w14:paraId="48BB4F18">
      <w:pPr>
        <w:spacing w:line="240" w:lineRule="auto"/>
        <w:ind w:firstLine="600"/>
        <w:rPr>
          <w:sz w:val="28"/>
        </w:rPr>
      </w:pPr>
      <w:r>
        <w:rPr>
          <w:rFonts w:ascii="黑体" w:hAnsi="黑体" w:eastAsia="黑体" w:cs="黑体"/>
          <w:color w:val="000000"/>
          <w:sz w:val="28"/>
        </w:rPr>
        <w:t>A. 非那雄胺可抑制 5α  还原酶，减少双氢睾酮的生成</w:t>
      </w:r>
    </w:p>
    <w:p w14:paraId="598CEC30">
      <w:pPr>
        <w:spacing w:line="240" w:lineRule="auto"/>
        <w:ind w:firstLine="600"/>
        <w:rPr>
          <w:sz w:val="28"/>
        </w:rPr>
      </w:pPr>
      <w:r>
        <w:rPr>
          <w:rFonts w:ascii="黑体" w:hAnsi="黑体" w:eastAsia="黑体" w:cs="黑体"/>
          <w:color w:val="000000"/>
          <w:sz w:val="28"/>
        </w:rPr>
        <w:t>B. 非那雄胺可缩小前列腺体积</w:t>
      </w:r>
    </w:p>
    <w:p w14:paraId="4FD483E8">
      <w:pPr>
        <w:spacing w:line="240" w:lineRule="auto"/>
        <w:ind w:firstLine="600"/>
        <w:rPr>
          <w:sz w:val="28"/>
        </w:rPr>
      </w:pPr>
      <w:r>
        <w:rPr>
          <w:rFonts w:ascii="黑体" w:hAnsi="黑体" w:eastAsia="黑体" w:cs="黑体"/>
          <w:color w:val="000000"/>
          <w:sz w:val="28"/>
        </w:rPr>
        <w:t>C. 非那雄胺的起效时间较快，一般用药 1  2 周即可见效</w:t>
      </w:r>
    </w:p>
    <w:p w14:paraId="64C8988E">
      <w:pPr>
        <w:spacing w:line="240" w:lineRule="auto"/>
        <w:ind w:firstLine="600"/>
        <w:rPr>
          <w:sz w:val="28"/>
        </w:rPr>
      </w:pPr>
      <w:r>
        <w:rPr>
          <w:rFonts w:ascii="黑体" w:hAnsi="黑体" w:eastAsia="黑体" w:cs="黑体"/>
          <w:color w:val="000000"/>
          <w:sz w:val="28"/>
        </w:rPr>
        <w:t>D. 非那雄胺的不良反应包括性欲减退、阳痿等</w:t>
      </w:r>
    </w:p>
    <w:p w14:paraId="572F88CB">
      <w:pPr>
        <w:spacing w:line="240" w:lineRule="auto"/>
        <w:ind w:firstLine="600"/>
        <w:rPr>
          <w:sz w:val="28"/>
        </w:rPr>
      </w:pPr>
      <w:r>
        <w:rPr>
          <w:rFonts w:ascii="黑体" w:hAnsi="黑体" w:eastAsia="黑体" w:cs="黑体"/>
          <w:color w:val="000000"/>
          <w:sz w:val="28"/>
        </w:rPr>
        <w:t>E. 非那雄胺可与α受体阻断剂联合使用</w:t>
      </w:r>
    </w:p>
    <w:p w14:paraId="3063A4FE">
      <w:pPr>
        <w:spacing w:line="240" w:lineRule="auto"/>
        <w:ind w:firstLine="600"/>
        <w:rPr>
          <w:sz w:val="28"/>
        </w:rPr>
      </w:pPr>
      <w:r>
        <w:rPr>
          <w:rFonts w:ascii="黑体" w:hAnsi="黑体" w:eastAsia="黑体" w:cs="黑体"/>
          <w:color w:val="000000"/>
          <w:sz w:val="28"/>
        </w:rPr>
        <w:t>答案：C</w:t>
      </w:r>
    </w:p>
    <w:p w14:paraId="5C7F16C1">
      <w:pPr>
        <w:spacing w:line="240" w:lineRule="auto"/>
        <w:ind w:firstLine="600"/>
        <w:rPr>
          <w:sz w:val="28"/>
        </w:rPr>
      </w:pPr>
      <w:r>
        <w:rPr>
          <w:rFonts w:ascii="黑体" w:hAnsi="黑体" w:eastAsia="黑体" w:cs="黑体"/>
          <w:color w:val="000000"/>
          <w:sz w:val="28"/>
        </w:rPr>
        <w:t>解析：非那雄胺起效较慢，一般需要连续用药 3  6 个月才能见到明显效果，C 错误。非那雄胺可抑制 5α  还原酶，减少双氢睾酮的生成，A 正确；可缩小前列腺体积，B 正确；不良反应包括性欲减退、阳痿等，D 正确；可与α受体阻断剂联合使用，增强治疗效果，E 正确。</w:t>
      </w:r>
    </w:p>
    <w:p w14:paraId="0A2EAA03">
      <w:pPr>
        <w:spacing w:line="240" w:lineRule="auto"/>
        <w:ind w:firstLine="600"/>
        <w:rPr>
          <w:sz w:val="28"/>
        </w:rPr>
      </w:pPr>
      <w:r>
        <w:rPr>
          <w:rFonts w:ascii="黑体" w:hAnsi="黑体" w:eastAsia="黑体" w:cs="黑体"/>
          <w:color w:val="000000"/>
          <w:sz w:val="28"/>
        </w:rPr>
        <w:t>42. 患者，女，26 岁，因咳嗽、咳痰伴发热就诊，诊断为上呼吸道感染。医生开具阿奇霉素片治疗。下列关于阿奇霉素的说法，正确的是（  ）</w:t>
      </w:r>
    </w:p>
    <w:p w14:paraId="0D969E63">
      <w:pPr>
        <w:spacing w:line="240" w:lineRule="auto"/>
        <w:ind w:firstLine="600"/>
        <w:rPr>
          <w:sz w:val="28"/>
        </w:rPr>
      </w:pPr>
      <w:r>
        <w:rPr>
          <w:rFonts w:ascii="黑体" w:hAnsi="黑体" w:eastAsia="黑体" w:cs="黑体"/>
          <w:color w:val="000000"/>
          <w:sz w:val="28"/>
        </w:rPr>
        <w:t>A. 阿奇霉素属于β  内酰胺类抗生素</w:t>
      </w:r>
    </w:p>
    <w:p w14:paraId="21092649">
      <w:pPr>
        <w:spacing w:line="240" w:lineRule="auto"/>
        <w:ind w:firstLine="600"/>
        <w:rPr>
          <w:sz w:val="28"/>
        </w:rPr>
      </w:pPr>
      <w:r>
        <w:rPr>
          <w:rFonts w:ascii="黑体" w:hAnsi="黑体" w:eastAsia="黑体" w:cs="黑体"/>
          <w:color w:val="000000"/>
          <w:sz w:val="28"/>
        </w:rPr>
        <w:t>B. 阿奇霉素的抗菌谱较窄</w:t>
      </w:r>
    </w:p>
    <w:p w14:paraId="04E9357B">
      <w:pPr>
        <w:spacing w:line="240" w:lineRule="auto"/>
        <w:ind w:firstLine="600"/>
        <w:rPr>
          <w:sz w:val="28"/>
        </w:rPr>
      </w:pPr>
      <w:r>
        <w:rPr>
          <w:rFonts w:ascii="黑体" w:hAnsi="黑体" w:eastAsia="黑体" w:cs="黑体"/>
          <w:color w:val="000000"/>
          <w:sz w:val="28"/>
        </w:rPr>
        <w:t>C. 阿奇霉素的半衰期长，可每日给药 1 次</w:t>
      </w:r>
    </w:p>
    <w:p w14:paraId="443C7405">
      <w:pPr>
        <w:spacing w:line="240" w:lineRule="auto"/>
        <w:ind w:firstLine="600"/>
        <w:rPr>
          <w:sz w:val="28"/>
        </w:rPr>
      </w:pPr>
      <w:r>
        <w:rPr>
          <w:rFonts w:ascii="黑体" w:hAnsi="黑体" w:eastAsia="黑体" w:cs="黑体"/>
          <w:color w:val="000000"/>
          <w:sz w:val="28"/>
        </w:rPr>
        <w:t>D. 阿奇霉素主要的不良反应是肝毒性</w:t>
      </w:r>
    </w:p>
    <w:p w14:paraId="5DD983ED">
      <w:pPr>
        <w:spacing w:line="240" w:lineRule="auto"/>
        <w:ind w:firstLine="600"/>
        <w:rPr>
          <w:sz w:val="28"/>
        </w:rPr>
      </w:pPr>
      <w:r>
        <w:rPr>
          <w:rFonts w:ascii="黑体" w:hAnsi="黑体" w:eastAsia="黑体" w:cs="黑体"/>
          <w:color w:val="000000"/>
          <w:sz w:val="28"/>
        </w:rPr>
        <w:t>E. 阿奇霉素可用于治疗支原体肺炎</w:t>
      </w:r>
    </w:p>
    <w:p w14:paraId="325DB9E6">
      <w:pPr>
        <w:spacing w:line="240" w:lineRule="auto"/>
        <w:ind w:firstLine="600"/>
        <w:rPr>
          <w:sz w:val="28"/>
        </w:rPr>
      </w:pPr>
      <w:r>
        <w:rPr>
          <w:rFonts w:ascii="黑体" w:hAnsi="黑体" w:eastAsia="黑体" w:cs="黑体"/>
          <w:color w:val="000000"/>
          <w:sz w:val="28"/>
        </w:rPr>
        <w:t>答案：CE</w:t>
      </w:r>
    </w:p>
    <w:p w14:paraId="5C06DE26">
      <w:pPr>
        <w:spacing w:line="240" w:lineRule="auto"/>
        <w:ind w:firstLine="600"/>
        <w:rPr>
          <w:sz w:val="28"/>
        </w:rPr>
      </w:pPr>
      <w:r>
        <w:rPr>
          <w:rFonts w:ascii="黑体" w:hAnsi="黑体" w:eastAsia="黑体" w:cs="黑体"/>
          <w:color w:val="000000"/>
          <w:sz w:val="28"/>
        </w:rPr>
        <w:t>解析：阿奇霉素属于大环内酯类抗生素，不是β  内酰胺类，A 错误。阿奇霉素抗菌谱较广，对革兰阳性菌、革兰阴性菌、支原体、衣原体等都有作用，B 错误。阿奇霉素半衰期长，可每日给药 1 次，C 正确。主要不良反应是胃肠道反应，而不是肝毒性，D 错误。可用于治疗支原体肺炎，E 正确。</w:t>
      </w:r>
    </w:p>
    <w:p w14:paraId="1ECAE60B">
      <w:pPr>
        <w:spacing w:line="240" w:lineRule="auto"/>
        <w:ind w:firstLine="600"/>
        <w:rPr>
          <w:sz w:val="28"/>
        </w:rPr>
      </w:pPr>
      <w:r>
        <w:rPr>
          <w:rFonts w:ascii="黑体" w:hAnsi="黑体" w:eastAsia="黑体" w:cs="黑体"/>
          <w:color w:val="000000"/>
          <w:sz w:val="28"/>
        </w:rPr>
        <w:t>43. 下列关于药品储存的说法，错误的是（  ）</w:t>
      </w:r>
    </w:p>
    <w:p w14:paraId="3E9C8B5B">
      <w:pPr>
        <w:spacing w:line="240" w:lineRule="auto"/>
        <w:ind w:firstLine="600"/>
        <w:rPr>
          <w:sz w:val="28"/>
        </w:rPr>
      </w:pPr>
      <w:r>
        <w:rPr>
          <w:rFonts w:ascii="黑体" w:hAnsi="黑体" w:eastAsia="黑体" w:cs="黑体"/>
          <w:color w:val="000000"/>
          <w:sz w:val="28"/>
        </w:rPr>
        <w:t>A. 药品应按批号堆码，不同批号的药品不得混垛</w:t>
      </w:r>
    </w:p>
    <w:p w14:paraId="1659B65B">
      <w:pPr>
        <w:spacing w:line="240" w:lineRule="auto"/>
        <w:ind w:firstLine="600"/>
        <w:rPr>
          <w:sz w:val="28"/>
        </w:rPr>
      </w:pPr>
      <w:r>
        <w:rPr>
          <w:rFonts w:ascii="黑体" w:hAnsi="黑体" w:eastAsia="黑体" w:cs="黑体"/>
          <w:color w:val="000000"/>
          <w:sz w:val="28"/>
        </w:rPr>
        <w:t>B. 药品储存应实行色标管理，合格药品为绿色，不合格药品为红色，待确定药品为黄色</w:t>
      </w:r>
    </w:p>
    <w:p w14:paraId="430FAB4A">
      <w:pPr>
        <w:spacing w:line="240" w:lineRule="auto"/>
        <w:ind w:firstLine="600"/>
        <w:rPr>
          <w:sz w:val="28"/>
        </w:rPr>
      </w:pPr>
      <w:r>
        <w:rPr>
          <w:rFonts w:ascii="黑体" w:hAnsi="黑体" w:eastAsia="黑体" w:cs="黑体"/>
          <w:color w:val="000000"/>
          <w:sz w:val="28"/>
        </w:rPr>
        <w:t>C. 药品与墙、屋顶（房梁）的间距不小于 30cm</w:t>
      </w:r>
    </w:p>
    <w:p w14:paraId="551A1B69">
      <w:pPr>
        <w:spacing w:line="240" w:lineRule="auto"/>
        <w:ind w:firstLine="600"/>
        <w:rPr>
          <w:sz w:val="28"/>
        </w:rPr>
      </w:pPr>
      <w:r>
        <w:rPr>
          <w:rFonts w:ascii="黑体" w:hAnsi="黑体" w:eastAsia="黑体" w:cs="黑体"/>
          <w:color w:val="000000"/>
          <w:sz w:val="28"/>
        </w:rPr>
        <w:t>D. 药品与地面的间距不小于 10cm</w:t>
      </w:r>
    </w:p>
    <w:p w14:paraId="49753144">
      <w:pPr>
        <w:spacing w:line="240" w:lineRule="auto"/>
        <w:ind w:firstLine="600"/>
        <w:rPr>
          <w:sz w:val="28"/>
        </w:rPr>
      </w:pPr>
      <w:r>
        <w:rPr>
          <w:rFonts w:ascii="黑体" w:hAnsi="黑体" w:eastAsia="黑体" w:cs="黑体"/>
          <w:color w:val="000000"/>
          <w:sz w:val="28"/>
        </w:rPr>
        <w:t>E. 中药材和中药饮片应分库存放，但不需要分开储存</w:t>
      </w:r>
    </w:p>
    <w:p w14:paraId="588985AD">
      <w:pPr>
        <w:spacing w:line="240" w:lineRule="auto"/>
        <w:ind w:firstLine="600"/>
        <w:rPr>
          <w:sz w:val="28"/>
        </w:rPr>
      </w:pPr>
      <w:r>
        <w:rPr>
          <w:rFonts w:ascii="黑体" w:hAnsi="黑体" w:eastAsia="黑体" w:cs="黑体"/>
          <w:color w:val="000000"/>
          <w:sz w:val="28"/>
        </w:rPr>
        <w:t>答案：E</w:t>
      </w:r>
    </w:p>
    <w:p w14:paraId="3FEF7CE2">
      <w:pPr>
        <w:spacing w:line="240" w:lineRule="auto"/>
        <w:ind w:firstLine="600"/>
        <w:rPr>
          <w:sz w:val="28"/>
        </w:rPr>
      </w:pPr>
      <w:r>
        <w:rPr>
          <w:rFonts w:ascii="黑体" w:hAnsi="黑体" w:eastAsia="黑体" w:cs="黑体"/>
          <w:color w:val="000000"/>
          <w:sz w:val="28"/>
        </w:rPr>
        <w:t>解析：中药材和中药饮片应分库存放，且应分开储存，避免相互影响，E 错误。其余选项均正确，药品应按批号堆码，不同批号的药品不得混垛，A 正确；药品储存应实行色标管理，合格药品为绿色，不合格药品为红色，待确定药品为黄色，B 正确；药品与墙、屋顶（房梁）的间距不小于 30cm，C 正确；药品与地面的间距不小于 10cm，D 正确。</w:t>
      </w:r>
    </w:p>
    <w:p w14:paraId="29B333A0">
      <w:pPr>
        <w:spacing w:line="240" w:lineRule="auto"/>
        <w:ind w:firstLine="600"/>
        <w:rPr>
          <w:sz w:val="28"/>
        </w:rPr>
      </w:pPr>
      <w:r>
        <w:rPr>
          <w:rFonts w:ascii="黑体" w:hAnsi="黑体" w:eastAsia="黑体" w:cs="黑体"/>
          <w:color w:val="000000"/>
          <w:sz w:val="28"/>
        </w:rPr>
        <w:t>44. 根据《药品经营许可证管理办法》，开办药品零售企业，必须具有能够配备满足当地消费者所需药品的能力，并能保证（  ）小时供应。</w:t>
      </w:r>
    </w:p>
    <w:p w14:paraId="4E280197">
      <w:pPr>
        <w:spacing w:line="240" w:lineRule="auto"/>
        <w:ind w:firstLine="600"/>
        <w:rPr>
          <w:sz w:val="28"/>
        </w:rPr>
      </w:pPr>
      <w:r>
        <w:rPr>
          <w:rFonts w:ascii="黑体" w:hAnsi="黑体" w:eastAsia="黑体" w:cs="黑体"/>
          <w:color w:val="000000"/>
          <w:sz w:val="28"/>
        </w:rPr>
        <w:t>A. 8</w:t>
      </w:r>
    </w:p>
    <w:p w14:paraId="1C35C303">
      <w:pPr>
        <w:spacing w:line="240" w:lineRule="auto"/>
        <w:ind w:firstLine="600"/>
        <w:rPr>
          <w:sz w:val="28"/>
        </w:rPr>
      </w:pPr>
      <w:r>
        <w:rPr>
          <w:rFonts w:ascii="黑体" w:hAnsi="黑体" w:eastAsia="黑体" w:cs="黑体"/>
          <w:color w:val="000000"/>
          <w:sz w:val="28"/>
        </w:rPr>
        <w:t>B. 12</w:t>
      </w:r>
    </w:p>
    <w:p w14:paraId="659EDD52">
      <w:pPr>
        <w:spacing w:line="240" w:lineRule="auto"/>
        <w:ind w:firstLine="600"/>
        <w:rPr>
          <w:sz w:val="28"/>
        </w:rPr>
      </w:pPr>
      <w:r>
        <w:rPr>
          <w:rFonts w:ascii="黑体" w:hAnsi="黑体" w:eastAsia="黑体" w:cs="黑体"/>
          <w:color w:val="000000"/>
          <w:sz w:val="28"/>
        </w:rPr>
        <w:t>C. 18</w:t>
      </w:r>
    </w:p>
    <w:p w14:paraId="46654486">
      <w:pPr>
        <w:spacing w:line="240" w:lineRule="auto"/>
        <w:ind w:firstLine="600"/>
        <w:rPr>
          <w:sz w:val="28"/>
        </w:rPr>
      </w:pPr>
      <w:r>
        <w:rPr>
          <w:rFonts w:ascii="黑体" w:hAnsi="黑体" w:eastAsia="黑体" w:cs="黑体"/>
          <w:color w:val="000000"/>
          <w:sz w:val="28"/>
        </w:rPr>
        <w:t>D. 24</w:t>
      </w:r>
    </w:p>
    <w:p w14:paraId="43B07751">
      <w:pPr>
        <w:spacing w:line="240" w:lineRule="auto"/>
        <w:ind w:firstLine="600"/>
        <w:rPr>
          <w:sz w:val="28"/>
        </w:rPr>
      </w:pPr>
      <w:r>
        <w:rPr>
          <w:rFonts w:ascii="黑体" w:hAnsi="黑体" w:eastAsia="黑体" w:cs="黑体"/>
          <w:color w:val="000000"/>
          <w:sz w:val="28"/>
        </w:rPr>
        <w:t>E. 36</w:t>
      </w:r>
    </w:p>
    <w:p w14:paraId="56BDFECC">
      <w:pPr>
        <w:spacing w:line="240" w:lineRule="auto"/>
        <w:ind w:firstLine="600"/>
        <w:rPr>
          <w:sz w:val="28"/>
        </w:rPr>
      </w:pPr>
      <w:r>
        <w:rPr>
          <w:rFonts w:ascii="黑体" w:hAnsi="黑体" w:eastAsia="黑体" w:cs="黑体"/>
          <w:color w:val="000000"/>
          <w:sz w:val="28"/>
        </w:rPr>
        <w:t>答案：D</w:t>
      </w:r>
    </w:p>
    <w:p w14:paraId="424BF417">
      <w:pPr>
        <w:spacing w:line="240" w:lineRule="auto"/>
        <w:ind w:firstLine="600"/>
        <w:rPr>
          <w:sz w:val="28"/>
        </w:rPr>
      </w:pPr>
      <w:r>
        <w:rPr>
          <w:rFonts w:ascii="黑体" w:hAnsi="黑体" w:eastAsia="黑体" w:cs="黑体"/>
          <w:color w:val="000000"/>
          <w:sz w:val="28"/>
        </w:rPr>
        <w:t>解析：开办药品零售企业，必须具有能够配备满足当地消费者所需药品的能力，并能保证 24 小时供应，D 正确。</w:t>
      </w:r>
    </w:p>
    <w:p w14:paraId="65C32E90">
      <w:pPr>
        <w:spacing w:line="240" w:lineRule="auto"/>
        <w:ind w:firstLine="600"/>
        <w:rPr>
          <w:sz w:val="28"/>
        </w:rPr>
      </w:pPr>
      <w:r>
        <w:rPr>
          <w:rFonts w:ascii="黑体" w:hAnsi="黑体" w:eastAsia="黑体" w:cs="黑体"/>
          <w:color w:val="000000"/>
          <w:sz w:val="28"/>
        </w:rPr>
        <w:t>45. 根据《疫苗流通和预防接种管理条例》，下列疫苗中，不属于第一类疫苗的是（  ）</w:t>
      </w:r>
    </w:p>
    <w:p w14:paraId="4C33FA7D">
      <w:pPr>
        <w:spacing w:line="240" w:lineRule="auto"/>
        <w:ind w:firstLine="600"/>
        <w:rPr>
          <w:sz w:val="28"/>
        </w:rPr>
      </w:pPr>
      <w:r>
        <w:rPr>
          <w:rFonts w:ascii="黑体" w:hAnsi="黑体" w:eastAsia="黑体" w:cs="黑体"/>
          <w:color w:val="000000"/>
          <w:sz w:val="28"/>
        </w:rPr>
        <w:t>A. 国家免疫规划确定的疫苗</w:t>
      </w:r>
    </w:p>
    <w:p w14:paraId="447DB3BD">
      <w:pPr>
        <w:spacing w:line="240" w:lineRule="auto"/>
        <w:ind w:firstLine="600"/>
        <w:rPr>
          <w:sz w:val="28"/>
        </w:rPr>
      </w:pPr>
      <w:r>
        <w:rPr>
          <w:rFonts w:ascii="黑体" w:hAnsi="黑体" w:eastAsia="黑体" w:cs="黑体"/>
          <w:color w:val="000000"/>
          <w:sz w:val="28"/>
        </w:rPr>
        <w:t>B. 省、自治区、直辖市人民政府在执行国家免疫规划时增加的疫苗</w:t>
      </w:r>
    </w:p>
    <w:p w14:paraId="5FF93053">
      <w:pPr>
        <w:spacing w:line="240" w:lineRule="auto"/>
        <w:ind w:firstLine="600"/>
        <w:rPr>
          <w:sz w:val="28"/>
        </w:rPr>
      </w:pPr>
      <w:r>
        <w:rPr>
          <w:rFonts w:ascii="黑体" w:hAnsi="黑体" w:eastAsia="黑体" w:cs="黑体"/>
          <w:color w:val="000000"/>
          <w:sz w:val="28"/>
        </w:rPr>
        <w:t>C. 公民自费并且自愿受种的其他疫苗</w:t>
      </w:r>
    </w:p>
    <w:p w14:paraId="5E2E0E3A">
      <w:pPr>
        <w:spacing w:line="240" w:lineRule="auto"/>
        <w:ind w:firstLine="600"/>
        <w:rPr>
          <w:sz w:val="28"/>
        </w:rPr>
      </w:pPr>
      <w:r>
        <w:rPr>
          <w:rFonts w:ascii="黑体" w:hAnsi="黑体" w:eastAsia="黑体" w:cs="黑体"/>
          <w:color w:val="000000"/>
          <w:sz w:val="28"/>
        </w:rPr>
        <w:t>D. 县级以上人民政府或者其卫生主管部门组织的应急接种所使用的疫苗</w:t>
      </w:r>
    </w:p>
    <w:p w14:paraId="7C3C0F5E">
      <w:pPr>
        <w:spacing w:line="240" w:lineRule="auto"/>
        <w:ind w:firstLine="600"/>
        <w:rPr>
          <w:sz w:val="28"/>
        </w:rPr>
      </w:pPr>
      <w:r>
        <w:rPr>
          <w:rFonts w:ascii="黑体" w:hAnsi="黑体" w:eastAsia="黑体" w:cs="黑体"/>
          <w:color w:val="000000"/>
          <w:sz w:val="28"/>
        </w:rPr>
        <w:t>E. 县级以上人民政府或者其卫生主管部门组织的群体性预防接种所使用的疫苗</w:t>
      </w:r>
    </w:p>
    <w:p w14:paraId="15827762">
      <w:pPr>
        <w:spacing w:line="240" w:lineRule="auto"/>
        <w:ind w:firstLine="600"/>
        <w:rPr>
          <w:sz w:val="28"/>
        </w:rPr>
      </w:pPr>
      <w:r>
        <w:rPr>
          <w:rFonts w:ascii="黑体" w:hAnsi="黑体" w:eastAsia="黑体" w:cs="黑体"/>
          <w:color w:val="000000"/>
          <w:sz w:val="28"/>
        </w:rPr>
        <w:t>答案：C</w:t>
      </w:r>
    </w:p>
    <w:p w14:paraId="25ACAC74">
      <w:pPr>
        <w:spacing w:line="240" w:lineRule="auto"/>
        <w:ind w:firstLine="600"/>
        <w:rPr>
          <w:sz w:val="28"/>
        </w:rPr>
      </w:pPr>
      <w:r>
        <w:rPr>
          <w:rFonts w:ascii="黑体" w:hAnsi="黑体" w:eastAsia="黑体" w:cs="黑体"/>
          <w:color w:val="000000"/>
          <w:sz w:val="28"/>
        </w:rPr>
        <w:t>解析：公民自费并且自愿受种的其他疫苗属于第二类疫苗，不属于第一类疫苗，C 正确。国家免疫规划确定的疫苗、省、自治区、直辖市人民政府在执行国家免疫规划时增加的疫苗、县级以上人民政府或者其卫生主管部门组织的应急接种所使用的疫苗、县级以上人民政府或者其卫生主管部门组织的群体性预防接种所使用的疫苗都属于第一类疫苗，A、B、D、E 错误。</w:t>
      </w:r>
    </w:p>
    <w:p w14:paraId="58B21B27">
      <w:pPr>
        <w:spacing w:line="240" w:lineRule="auto"/>
        <w:ind w:firstLine="600"/>
        <w:rPr>
          <w:sz w:val="28"/>
        </w:rPr>
      </w:pPr>
      <w:r>
        <w:rPr>
          <w:rFonts w:ascii="黑体" w:hAnsi="黑体" w:eastAsia="黑体" w:cs="黑体"/>
          <w:color w:val="000000"/>
          <w:sz w:val="28"/>
        </w:rPr>
        <w:t>46. 关于药物的生物转化，下列说法错误的是（  ）</w:t>
      </w:r>
    </w:p>
    <w:p w14:paraId="2BA0FB1E">
      <w:pPr>
        <w:spacing w:line="240" w:lineRule="auto"/>
        <w:ind w:firstLine="600"/>
        <w:rPr>
          <w:sz w:val="28"/>
        </w:rPr>
      </w:pPr>
      <w:r>
        <w:rPr>
          <w:rFonts w:ascii="黑体" w:hAnsi="黑体" w:eastAsia="黑体" w:cs="黑体"/>
          <w:color w:val="000000"/>
          <w:sz w:val="28"/>
        </w:rPr>
        <w:t>A. 生物转化主要在肝脏进行</w:t>
      </w:r>
    </w:p>
    <w:p w14:paraId="23B57F53">
      <w:pPr>
        <w:spacing w:line="240" w:lineRule="auto"/>
        <w:ind w:firstLine="600"/>
        <w:rPr>
          <w:sz w:val="28"/>
        </w:rPr>
      </w:pPr>
      <w:r>
        <w:rPr>
          <w:rFonts w:ascii="黑体" w:hAnsi="黑体" w:eastAsia="黑体" w:cs="黑体"/>
          <w:color w:val="000000"/>
          <w:sz w:val="28"/>
        </w:rPr>
        <w:t>B. 生物转化分为两相反应，第一相反应主要是氧化、还原、水解反应</w:t>
      </w:r>
    </w:p>
    <w:p w14:paraId="321AABFE">
      <w:pPr>
        <w:spacing w:line="240" w:lineRule="auto"/>
        <w:ind w:firstLine="600"/>
        <w:rPr>
          <w:sz w:val="28"/>
        </w:rPr>
      </w:pPr>
      <w:r>
        <w:rPr>
          <w:rFonts w:ascii="黑体" w:hAnsi="黑体" w:eastAsia="黑体" w:cs="黑体"/>
          <w:color w:val="000000"/>
          <w:sz w:val="28"/>
        </w:rPr>
        <w:t>C. 生物转化的目的是使药物的极性降低，利于排泄</w:t>
      </w:r>
    </w:p>
    <w:p w14:paraId="1A89A79D">
      <w:pPr>
        <w:spacing w:line="240" w:lineRule="auto"/>
        <w:ind w:firstLine="600"/>
        <w:rPr>
          <w:sz w:val="28"/>
        </w:rPr>
      </w:pPr>
      <w:r>
        <w:rPr>
          <w:rFonts w:ascii="黑体" w:hAnsi="黑体" w:eastAsia="黑体" w:cs="黑体"/>
          <w:color w:val="000000"/>
          <w:sz w:val="28"/>
        </w:rPr>
        <w:t>D. 药物经生物转化后可能活性降低、消失或增加</w:t>
      </w:r>
    </w:p>
    <w:p w14:paraId="008431A1">
      <w:pPr>
        <w:spacing w:line="240" w:lineRule="auto"/>
        <w:ind w:firstLine="600"/>
        <w:rPr>
          <w:sz w:val="28"/>
        </w:rPr>
      </w:pPr>
      <w:r>
        <w:rPr>
          <w:rFonts w:ascii="黑体" w:hAnsi="黑体" w:eastAsia="黑体" w:cs="黑体"/>
          <w:color w:val="000000"/>
          <w:sz w:val="28"/>
        </w:rPr>
        <w:t>E. 某些药物可诱导或抑制肝药酶，影响其他药物的生物转化</w:t>
      </w:r>
    </w:p>
    <w:p w14:paraId="7463280C">
      <w:pPr>
        <w:spacing w:line="240" w:lineRule="auto"/>
        <w:ind w:firstLine="600"/>
        <w:rPr>
          <w:sz w:val="28"/>
        </w:rPr>
      </w:pPr>
      <w:r>
        <w:rPr>
          <w:rFonts w:ascii="黑体" w:hAnsi="黑体" w:eastAsia="黑体" w:cs="黑体"/>
          <w:color w:val="000000"/>
          <w:sz w:val="28"/>
        </w:rPr>
        <w:t>答案：C</w:t>
      </w:r>
    </w:p>
    <w:p w14:paraId="0A2B922D">
      <w:pPr>
        <w:spacing w:line="240" w:lineRule="auto"/>
        <w:ind w:firstLine="600"/>
        <w:rPr>
          <w:sz w:val="28"/>
        </w:rPr>
      </w:pPr>
      <w:r>
        <w:rPr>
          <w:rFonts w:ascii="黑体" w:hAnsi="黑体" w:eastAsia="黑体" w:cs="黑体"/>
          <w:color w:val="000000"/>
          <w:sz w:val="28"/>
        </w:rPr>
        <w:t>解析：生物转化的目的是使药物的极性增加，利于排泄，而不是降低极性，C 错误。生物转化主要在肝脏进行，A 正确；分为两相反应，第一相反应主要是氧化、还原、水解反应，B 正确；药物经生物转化后可能活性降低、消失或增加，D 正确；某些药物可诱导或抑制肝药酶，影响其他药物的生物转化，E 正确。</w:t>
      </w:r>
    </w:p>
    <w:p w14:paraId="1937FC88">
      <w:pPr>
        <w:spacing w:line="240" w:lineRule="auto"/>
        <w:ind w:firstLine="600"/>
        <w:rPr>
          <w:sz w:val="28"/>
        </w:rPr>
      </w:pPr>
      <w:r>
        <w:rPr>
          <w:rFonts w:ascii="黑体" w:hAnsi="黑体" w:eastAsia="黑体" w:cs="黑体"/>
          <w:color w:val="000000"/>
          <w:sz w:val="28"/>
        </w:rPr>
        <w:t>47. 某药物的表观分布容积为 50L，说明（  ）</w:t>
      </w:r>
    </w:p>
    <w:p w14:paraId="1A020C22">
      <w:pPr>
        <w:spacing w:line="240" w:lineRule="auto"/>
        <w:ind w:firstLine="600"/>
        <w:rPr>
          <w:sz w:val="28"/>
        </w:rPr>
      </w:pPr>
      <w:r>
        <w:rPr>
          <w:rFonts w:ascii="黑体" w:hAnsi="黑体" w:eastAsia="黑体" w:cs="黑体"/>
          <w:color w:val="000000"/>
          <w:sz w:val="28"/>
        </w:rPr>
        <w:t>A. 药物主要分布在血浆中</w:t>
      </w:r>
    </w:p>
    <w:p w14:paraId="6626C0FD">
      <w:pPr>
        <w:spacing w:line="240" w:lineRule="auto"/>
        <w:ind w:firstLine="600"/>
        <w:rPr>
          <w:sz w:val="28"/>
        </w:rPr>
      </w:pPr>
      <w:r>
        <w:rPr>
          <w:rFonts w:ascii="黑体" w:hAnsi="黑体" w:eastAsia="黑体" w:cs="黑体"/>
          <w:color w:val="000000"/>
          <w:sz w:val="28"/>
        </w:rPr>
        <w:t>B. 药物主要分布在组织中</w:t>
      </w:r>
    </w:p>
    <w:p w14:paraId="3077CC1E">
      <w:pPr>
        <w:spacing w:line="240" w:lineRule="auto"/>
        <w:ind w:firstLine="600"/>
        <w:rPr>
          <w:sz w:val="28"/>
        </w:rPr>
      </w:pPr>
      <w:r>
        <w:rPr>
          <w:rFonts w:ascii="黑体" w:hAnsi="黑体" w:eastAsia="黑体" w:cs="黑体"/>
          <w:color w:val="000000"/>
          <w:sz w:val="28"/>
        </w:rPr>
        <w:t>C. 药物在体内的分布与血浆容积相当</w:t>
      </w:r>
    </w:p>
    <w:p w14:paraId="0D988E61">
      <w:pPr>
        <w:spacing w:line="240" w:lineRule="auto"/>
        <w:ind w:firstLine="600"/>
        <w:rPr>
          <w:sz w:val="28"/>
        </w:rPr>
      </w:pPr>
      <w:r>
        <w:rPr>
          <w:rFonts w:ascii="黑体" w:hAnsi="黑体" w:eastAsia="黑体" w:cs="黑体"/>
          <w:color w:val="000000"/>
          <w:sz w:val="28"/>
        </w:rPr>
        <w:t>D. 药物在体内的分布与组织容积相当</w:t>
      </w:r>
    </w:p>
    <w:p w14:paraId="4B9C5154">
      <w:pPr>
        <w:spacing w:line="240" w:lineRule="auto"/>
        <w:ind w:firstLine="600"/>
        <w:rPr>
          <w:sz w:val="28"/>
        </w:rPr>
      </w:pPr>
      <w:r>
        <w:rPr>
          <w:rFonts w:ascii="黑体" w:hAnsi="黑体" w:eastAsia="黑体" w:cs="黑体"/>
          <w:color w:val="000000"/>
          <w:sz w:val="28"/>
        </w:rPr>
        <w:t>E. 药物在体内的分布与细胞内液容积相当</w:t>
      </w:r>
    </w:p>
    <w:p w14:paraId="124A0817">
      <w:pPr>
        <w:spacing w:line="240" w:lineRule="auto"/>
        <w:ind w:firstLine="600"/>
        <w:rPr>
          <w:sz w:val="28"/>
        </w:rPr>
      </w:pPr>
      <w:r>
        <w:rPr>
          <w:rFonts w:ascii="黑体" w:hAnsi="黑体" w:eastAsia="黑体" w:cs="黑体"/>
          <w:color w:val="000000"/>
          <w:sz w:val="28"/>
        </w:rPr>
        <w:t>答案：B</w:t>
      </w:r>
    </w:p>
    <w:p w14:paraId="7A119452">
      <w:pPr>
        <w:spacing w:line="240" w:lineRule="auto"/>
        <w:ind w:firstLine="600"/>
        <w:rPr>
          <w:sz w:val="28"/>
        </w:rPr>
      </w:pPr>
      <w:r>
        <w:rPr>
          <w:rFonts w:ascii="黑体" w:hAnsi="黑体" w:eastAsia="黑体" w:cs="黑体"/>
          <w:color w:val="000000"/>
          <w:sz w:val="28"/>
        </w:rPr>
        <w:t>解析：表观分布容积是指当药物在体内达动态平衡后，体内药量与血药浓度之比值。表观分布容积大于血浆容积（约 3L），说明药物主要分布在组织中，B 正确。</w:t>
      </w:r>
    </w:p>
    <w:p w14:paraId="191546FB">
      <w:pPr>
        <w:spacing w:line="240" w:lineRule="auto"/>
        <w:ind w:firstLine="600"/>
        <w:rPr>
          <w:sz w:val="28"/>
        </w:rPr>
      </w:pPr>
      <w:r>
        <w:rPr>
          <w:rFonts w:ascii="黑体" w:hAnsi="黑体" w:eastAsia="黑体" w:cs="黑体"/>
          <w:color w:val="000000"/>
          <w:sz w:val="28"/>
        </w:rPr>
        <w:t>48. 患者，女，48 岁，患有胃溃疡，医生开具奥美拉唑肠溶片治疗。下列关于奥美拉唑的说法，错误的是（  ）</w:t>
      </w:r>
    </w:p>
    <w:p w14:paraId="74CAFC47">
      <w:pPr>
        <w:spacing w:line="240" w:lineRule="auto"/>
        <w:ind w:firstLine="600"/>
        <w:rPr>
          <w:sz w:val="28"/>
        </w:rPr>
      </w:pPr>
      <w:r>
        <w:rPr>
          <w:rFonts w:ascii="黑体" w:hAnsi="黑体" w:eastAsia="黑体" w:cs="黑体"/>
          <w:color w:val="000000"/>
          <w:sz w:val="28"/>
        </w:rPr>
        <w:t>A. 奥美拉唑属于质子泵抑制剂</w:t>
      </w:r>
    </w:p>
    <w:p w14:paraId="3E2AB214">
      <w:pPr>
        <w:spacing w:line="240" w:lineRule="auto"/>
        <w:ind w:firstLine="600"/>
        <w:rPr>
          <w:sz w:val="28"/>
        </w:rPr>
      </w:pPr>
      <w:r>
        <w:rPr>
          <w:rFonts w:ascii="黑体" w:hAnsi="黑体" w:eastAsia="黑体" w:cs="黑体"/>
          <w:color w:val="000000"/>
          <w:sz w:val="28"/>
        </w:rPr>
        <w:t>B. 奥美拉唑可抑制胃酸的分泌</w:t>
      </w:r>
    </w:p>
    <w:p w14:paraId="566AE74A">
      <w:pPr>
        <w:spacing w:line="240" w:lineRule="auto"/>
        <w:ind w:firstLine="600"/>
        <w:rPr>
          <w:sz w:val="28"/>
        </w:rPr>
      </w:pPr>
      <w:r>
        <w:rPr>
          <w:rFonts w:ascii="黑体" w:hAnsi="黑体" w:eastAsia="黑体" w:cs="黑体"/>
          <w:color w:val="000000"/>
          <w:sz w:val="28"/>
        </w:rPr>
        <w:t>C. 奥美拉唑的作用机制是阻断 H₂受体</w:t>
      </w:r>
    </w:p>
    <w:p w14:paraId="6A7B4479">
      <w:pPr>
        <w:spacing w:line="240" w:lineRule="auto"/>
        <w:ind w:firstLine="600"/>
        <w:rPr>
          <w:sz w:val="28"/>
        </w:rPr>
      </w:pPr>
      <w:r>
        <w:rPr>
          <w:rFonts w:ascii="黑体" w:hAnsi="黑体" w:eastAsia="黑体" w:cs="黑体"/>
          <w:color w:val="000000"/>
          <w:sz w:val="28"/>
        </w:rPr>
        <w:t>D. 奥美拉唑应整片吞服，不可嚼碎</w:t>
      </w:r>
    </w:p>
    <w:p w14:paraId="5D904F88">
      <w:pPr>
        <w:spacing w:line="240" w:lineRule="auto"/>
        <w:ind w:firstLine="600"/>
        <w:rPr>
          <w:sz w:val="28"/>
        </w:rPr>
      </w:pPr>
      <w:r>
        <w:rPr>
          <w:rFonts w:ascii="黑体" w:hAnsi="黑体" w:eastAsia="黑体" w:cs="黑体"/>
          <w:color w:val="000000"/>
          <w:sz w:val="28"/>
        </w:rPr>
        <w:t>E. 奥美拉唑长期使用可能导致维生素 B₁₂缺乏</w:t>
      </w:r>
    </w:p>
    <w:p w14:paraId="52BC4807">
      <w:pPr>
        <w:spacing w:line="240" w:lineRule="auto"/>
        <w:ind w:firstLine="600"/>
        <w:rPr>
          <w:sz w:val="28"/>
        </w:rPr>
      </w:pPr>
      <w:r>
        <w:rPr>
          <w:rFonts w:ascii="黑体" w:hAnsi="黑体" w:eastAsia="黑体" w:cs="黑体"/>
          <w:color w:val="000000"/>
          <w:sz w:val="28"/>
        </w:rPr>
        <w:t>答案：C</w:t>
      </w:r>
    </w:p>
    <w:p w14:paraId="48159FE6">
      <w:pPr>
        <w:spacing w:line="240" w:lineRule="auto"/>
        <w:ind w:firstLine="600"/>
        <w:rPr>
          <w:sz w:val="28"/>
        </w:rPr>
      </w:pPr>
      <w:r>
        <w:rPr>
          <w:rFonts w:ascii="黑体" w:hAnsi="黑体" w:eastAsia="黑体" w:cs="黑体"/>
          <w:color w:val="000000"/>
          <w:sz w:val="28"/>
        </w:rPr>
        <w:t>解析：奥美拉唑属于质子泵抑制剂，作用机制是抑制胃壁细胞 H⁺  K⁺  ATP 酶，而不是阻断 H₂受体，C 错误。奥美拉唑可抑制胃酸的分泌，A、B 正确；应整片吞服，不可嚼碎，D 正确；长期使用可能导致维生素 B₁₂缺乏，E 正确。</w:t>
      </w:r>
    </w:p>
    <w:p w14:paraId="61D3A597">
      <w:pPr>
        <w:spacing w:line="240" w:lineRule="auto"/>
        <w:ind w:firstLine="600"/>
        <w:rPr>
          <w:sz w:val="28"/>
        </w:rPr>
      </w:pPr>
      <w:r>
        <w:rPr>
          <w:rFonts w:ascii="黑体" w:hAnsi="黑体" w:eastAsia="黑体" w:cs="黑体"/>
          <w:color w:val="000000"/>
          <w:sz w:val="28"/>
        </w:rPr>
        <w:t>49. 患者，男，72 岁，患有慢性肾功能不全，医生开具重组人促红素注射液治疗。下列关于重组人促红素的说法，正确的是（  ）</w:t>
      </w:r>
    </w:p>
    <w:p w14:paraId="72CA5EFF">
      <w:pPr>
        <w:spacing w:line="240" w:lineRule="auto"/>
        <w:ind w:firstLine="600"/>
        <w:rPr>
          <w:sz w:val="28"/>
        </w:rPr>
      </w:pPr>
      <w:r>
        <w:rPr>
          <w:rFonts w:ascii="黑体" w:hAnsi="黑体" w:eastAsia="黑体" w:cs="黑体"/>
          <w:color w:val="000000"/>
          <w:sz w:val="28"/>
        </w:rPr>
        <w:t>A. 重组人促红素可促进红细胞的生成</w:t>
      </w:r>
    </w:p>
    <w:p w14:paraId="07DDB810">
      <w:pPr>
        <w:spacing w:line="240" w:lineRule="auto"/>
        <w:ind w:firstLine="600"/>
        <w:rPr>
          <w:sz w:val="28"/>
        </w:rPr>
      </w:pPr>
      <w:r>
        <w:rPr>
          <w:rFonts w:ascii="黑体" w:hAnsi="黑体" w:eastAsia="黑体" w:cs="黑体"/>
          <w:color w:val="000000"/>
          <w:sz w:val="28"/>
        </w:rPr>
        <w:t>B. 重组人促红素的主要不良反应是低血压</w:t>
      </w:r>
    </w:p>
    <w:p w14:paraId="30BA746A">
      <w:pPr>
        <w:spacing w:line="240" w:lineRule="auto"/>
        <w:ind w:firstLine="600"/>
        <w:rPr>
          <w:sz w:val="28"/>
        </w:rPr>
      </w:pPr>
      <w:r>
        <w:rPr>
          <w:rFonts w:ascii="黑体" w:hAnsi="黑体" w:eastAsia="黑体" w:cs="黑体"/>
          <w:color w:val="000000"/>
          <w:sz w:val="28"/>
        </w:rPr>
        <w:t>C. 重组人促红素应皮下注射，不可静脉注射</w:t>
      </w:r>
    </w:p>
    <w:p w14:paraId="1D24C8E3">
      <w:pPr>
        <w:spacing w:line="240" w:lineRule="auto"/>
        <w:ind w:firstLine="600"/>
        <w:rPr>
          <w:sz w:val="28"/>
        </w:rPr>
      </w:pPr>
      <w:r>
        <w:rPr>
          <w:rFonts w:ascii="黑体" w:hAnsi="黑体" w:eastAsia="黑体" w:cs="黑体"/>
          <w:color w:val="000000"/>
          <w:sz w:val="28"/>
        </w:rPr>
        <w:t>D. 重组人促红素使用过程中无需监测血常规</w:t>
      </w:r>
    </w:p>
    <w:p w14:paraId="47FF06ED">
      <w:pPr>
        <w:spacing w:line="240" w:lineRule="auto"/>
        <w:ind w:firstLine="600"/>
        <w:rPr>
          <w:sz w:val="28"/>
        </w:rPr>
      </w:pPr>
      <w:r>
        <w:rPr>
          <w:rFonts w:ascii="黑体" w:hAnsi="黑体" w:eastAsia="黑体" w:cs="黑体"/>
          <w:color w:val="000000"/>
          <w:sz w:val="28"/>
        </w:rPr>
        <w:t>E. 重组人促红素可用于治疗缺铁性贫血</w:t>
      </w:r>
    </w:p>
    <w:p w14:paraId="568ED40C">
      <w:pPr>
        <w:spacing w:line="240" w:lineRule="auto"/>
        <w:ind w:firstLine="600"/>
        <w:rPr>
          <w:sz w:val="28"/>
        </w:rPr>
      </w:pPr>
      <w:r>
        <w:rPr>
          <w:rFonts w:ascii="黑体" w:hAnsi="黑体" w:eastAsia="黑体" w:cs="黑体"/>
          <w:color w:val="000000"/>
          <w:sz w:val="28"/>
        </w:rPr>
        <w:t>答案：A</w:t>
      </w:r>
    </w:p>
    <w:p w14:paraId="76FF76A9">
      <w:pPr>
        <w:spacing w:line="240" w:lineRule="auto"/>
        <w:ind w:firstLine="600"/>
        <w:rPr>
          <w:sz w:val="28"/>
        </w:rPr>
      </w:pPr>
      <w:r>
        <w:rPr>
          <w:rFonts w:ascii="黑体" w:hAnsi="黑体" w:eastAsia="黑体" w:cs="黑体"/>
          <w:color w:val="000000"/>
          <w:sz w:val="28"/>
        </w:rPr>
        <w:t>解析：重组人促红素可促进红细胞的生成，A 正确。主要不良反应是高血压，而不是低血压，B 错误；可皮下注射，也可静脉注射，C 错误；使用过程中需要监测血常规，观察血红蛋白等指标变化，D 错误；主要用于治疗肾性贫血，而不是缺铁性贫血，E 错误。</w:t>
      </w:r>
    </w:p>
    <w:p w14:paraId="17E3039B">
      <w:pPr>
        <w:spacing w:line="240" w:lineRule="auto"/>
        <w:ind w:firstLine="600"/>
        <w:rPr>
          <w:sz w:val="28"/>
        </w:rPr>
      </w:pPr>
      <w:r>
        <w:rPr>
          <w:rFonts w:ascii="黑体" w:hAnsi="黑体" w:eastAsia="黑体" w:cs="黑体"/>
          <w:color w:val="000000"/>
          <w:sz w:val="28"/>
        </w:rPr>
        <w:t>50. 患者，女，58 岁，患有骨质疏松症，医生开具碳酸钙 D₃片治疗。下列关于碳酸钙 D₃的说法，错误的是（  ）</w:t>
      </w:r>
    </w:p>
    <w:p w14:paraId="22C87439">
      <w:pPr>
        <w:spacing w:line="240" w:lineRule="auto"/>
        <w:ind w:firstLine="600"/>
        <w:rPr>
          <w:sz w:val="28"/>
        </w:rPr>
      </w:pPr>
      <w:r>
        <w:rPr>
          <w:rFonts w:ascii="黑体" w:hAnsi="黑体" w:eastAsia="黑体" w:cs="黑体"/>
          <w:color w:val="000000"/>
          <w:sz w:val="28"/>
        </w:rPr>
        <w:t>A. 碳酸钙 D₃可补充钙和维生素 D</w:t>
      </w:r>
    </w:p>
    <w:p w14:paraId="4800D4D1">
      <w:pPr>
        <w:spacing w:line="240" w:lineRule="auto"/>
        <w:ind w:firstLine="600"/>
        <w:rPr>
          <w:sz w:val="28"/>
        </w:rPr>
      </w:pPr>
      <w:r>
        <w:rPr>
          <w:rFonts w:ascii="黑体" w:hAnsi="黑体" w:eastAsia="黑体" w:cs="黑体"/>
          <w:color w:val="000000"/>
          <w:sz w:val="28"/>
        </w:rPr>
        <w:t>B. 碳酸钙 D₃可促进钙的吸收</w:t>
      </w:r>
    </w:p>
    <w:p w14:paraId="7DBE6062">
      <w:pPr>
        <w:spacing w:line="240" w:lineRule="auto"/>
        <w:ind w:firstLine="600"/>
        <w:rPr>
          <w:sz w:val="28"/>
        </w:rPr>
      </w:pPr>
      <w:r>
        <w:rPr>
          <w:rFonts w:ascii="黑体" w:hAnsi="黑体" w:eastAsia="黑体" w:cs="黑体"/>
          <w:color w:val="000000"/>
          <w:sz w:val="28"/>
        </w:rPr>
        <w:t>C. 碳酸钙 D₃的不良反应主要是便秘</w:t>
      </w:r>
    </w:p>
    <w:p w14:paraId="4DDCAB81">
      <w:pPr>
        <w:spacing w:line="240" w:lineRule="auto"/>
        <w:ind w:firstLine="600"/>
        <w:rPr>
          <w:sz w:val="28"/>
        </w:rPr>
      </w:pPr>
      <w:r>
        <w:rPr>
          <w:rFonts w:ascii="黑体" w:hAnsi="黑体" w:eastAsia="黑体" w:cs="黑体"/>
          <w:color w:val="000000"/>
          <w:sz w:val="28"/>
        </w:rPr>
        <w:t>D. 碳酸钙 D₃可与四环素类抗生素同时服用</w:t>
      </w:r>
    </w:p>
    <w:p w14:paraId="73E45B7D">
      <w:pPr>
        <w:spacing w:line="240" w:lineRule="auto"/>
        <w:ind w:firstLine="600"/>
        <w:rPr>
          <w:sz w:val="28"/>
        </w:rPr>
      </w:pPr>
      <w:r>
        <w:rPr>
          <w:rFonts w:ascii="黑体" w:hAnsi="黑体" w:eastAsia="黑体" w:cs="黑体"/>
          <w:color w:val="000000"/>
          <w:sz w:val="28"/>
        </w:rPr>
        <w:t>E. 碳酸钙 D₃应在餐中或餐后服用</w:t>
      </w:r>
    </w:p>
    <w:p w14:paraId="6AA6E410">
      <w:pPr>
        <w:spacing w:line="240" w:lineRule="auto"/>
        <w:ind w:firstLine="600"/>
        <w:rPr>
          <w:sz w:val="28"/>
        </w:rPr>
      </w:pPr>
      <w:r>
        <w:rPr>
          <w:rFonts w:ascii="黑体" w:hAnsi="黑体" w:eastAsia="黑体" w:cs="黑体"/>
          <w:color w:val="000000"/>
          <w:sz w:val="28"/>
        </w:rPr>
        <w:t>答案：D</w:t>
      </w:r>
    </w:p>
    <w:p w14:paraId="17BDF438">
      <w:pPr>
        <w:spacing w:line="240" w:lineRule="auto"/>
        <w:ind w:firstLine="600"/>
        <w:rPr>
          <w:sz w:val="28"/>
        </w:rPr>
      </w:pPr>
      <w:r>
        <w:rPr>
          <w:rFonts w:ascii="黑体" w:hAnsi="黑体" w:eastAsia="黑体" w:cs="黑体"/>
          <w:color w:val="000000"/>
          <w:sz w:val="28"/>
        </w:rPr>
        <w:t>解析：碳酸钙 D₃中的钙可与四环素类抗生素结合，影响四环素类抗生素的吸收，二者不能同时服用，D 错误。碳酸钙 D₃可补充钙和维生素 D，A 正确；可促进钙的吸收，B 正确；不良反应主要是便秘，C 正确；应在餐中或餐后服用，以减少胃肠道刺激，E 正确。</w:t>
      </w:r>
    </w:p>
    <w:p w14:paraId="78297B18">
      <w:pPr>
        <w:spacing w:line="240" w:lineRule="auto"/>
        <w:ind w:firstLine="600"/>
        <w:rPr>
          <w:sz w:val="28"/>
        </w:rPr>
      </w:pPr>
      <w:r>
        <w:rPr>
          <w:rFonts w:ascii="黑体" w:hAnsi="黑体" w:eastAsia="黑体" w:cs="黑体"/>
          <w:color w:val="000000"/>
          <w:sz w:val="28"/>
        </w:rPr>
        <w:t>51. 下列关于药品召回的说法，正确的是（  ）</w:t>
      </w:r>
    </w:p>
    <w:p w14:paraId="6309A5A7">
      <w:pPr>
        <w:spacing w:line="240" w:lineRule="auto"/>
        <w:ind w:firstLine="600"/>
        <w:rPr>
          <w:sz w:val="28"/>
        </w:rPr>
      </w:pPr>
      <w:r>
        <w:rPr>
          <w:rFonts w:ascii="黑体" w:hAnsi="黑体" w:eastAsia="黑体" w:cs="黑体"/>
          <w:color w:val="000000"/>
          <w:sz w:val="28"/>
        </w:rPr>
        <w:t>A. 药品召回分为主动召回和责令召回</w:t>
      </w:r>
    </w:p>
    <w:p w14:paraId="7C421714">
      <w:pPr>
        <w:spacing w:line="240" w:lineRule="auto"/>
        <w:ind w:firstLine="600"/>
        <w:rPr>
          <w:sz w:val="28"/>
        </w:rPr>
      </w:pPr>
      <w:r>
        <w:rPr>
          <w:rFonts w:ascii="黑体" w:hAnsi="黑体" w:eastAsia="黑体" w:cs="黑体"/>
          <w:color w:val="000000"/>
          <w:sz w:val="28"/>
        </w:rPr>
        <w:t>B. 药品生产企业是药品召回的责任主体</w:t>
      </w:r>
    </w:p>
    <w:p w14:paraId="5F132B43">
      <w:pPr>
        <w:spacing w:line="240" w:lineRule="auto"/>
        <w:ind w:firstLine="600"/>
        <w:rPr>
          <w:sz w:val="28"/>
        </w:rPr>
      </w:pPr>
      <w:r>
        <w:rPr>
          <w:rFonts w:ascii="黑体" w:hAnsi="黑体" w:eastAsia="黑体" w:cs="黑体"/>
          <w:color w:val="000000"/>
          <w:sz w:val="28"/>
        </w:rPr>
        <w:t>C. 一级召回是指使用该药品可能引起严重健康危害的</w:t>
      </w:r>
    </w:p>
    <w:p w14:paraId="52C7F8A4">
      <w:pPr>
        <w:spacing w:line="240" w:lineRule="auto"/>
        <w:ind w:firstLine="600"/>
        <w:rPr>
          <w:sz w:val="28"/>
        </w:rPr>
      </w:pPr>
      <w:r>
        <w:rPr>
          <w:rFonts w:ascii="黑体" w:hAnsi="黑体" w:eastAsia="黑体" w:cs="黑体"/>
          <w:color w:val="000000"/>
          <w:sz w:val="28"/>
        </w:rPr>
        <w:t>D. 药品召回的主体不包括药品经营企业和使用单位</w:t>
      </w:r>
    </w:p>
    <w:p w14:paraId="2F80D110">
      <w:pPr>
        <w:spacing w:line="240" w:lineRule="auto"/>
        <w:ind w:firstLine="600"/>
        <w:rPr>
          <w:sz w:val="28"/>
        </w:rPr>
      </w:pPr>
      <w:r>
        <w:rPr>
          <w:rFonts w:ascii="黑体" w:hAnsi="黑体" w:eastAsia="黑体" w:cs="黑体"/>
          <w:color w:val="000000"/>
          <w:sz w:val="28"/>
        </w:rPr>
        <w:t>E. 药品召回应在药品监督管理部门的监督下进行</w:t>
      </w:r>
    </w:p>
    <w:p w14:paraId="187A0EE7">
      <w:pPr>
        <w:spacing w:line="240" w:lineRule="auto"/>
        <w:ind w:firstLine="600"/>
        <w:rPr>
          <w:sz w:val="28"/>
        </w:rPr>
      </w:pPr>
      <w:r>
        <w:rPr>
          <w:rFonts w:ascii="黑体" w:hAnsi="黑体" w:eastAsia="黑体" w:cs="黑体"/>
          <w:color w:val="000000"/>
          <w:sz w:val="28"/>
        </w:rPr>
        <w:t>答案：ABCE</w:t>
      </w:r>
    </w:p>
    <w:p w14:paraId="580D2BD8">
      <w:pPr>
        <w:spacing w:line="240" w:lineRule="auto"/>
        <w:ind w:firstLine="600"/>
        <w:rPr>
          <w:sz w:val="28"/>
        </w:rPr>
      </w:pPr>
      <w:r>
        <w:rPr>
          <w:rFonts w:ascii="黑体" w:hAnsi="黑体" w:eastAsia="黑体" w:cs="黑体"/>
          <w:color w:val="000000"/>
          <w:sz w:val="28"/>
        </w:rPr>
        <w:t>解析：药品召回分为主动召回和责令召回，A 正确。药品生产企业是药品召回的责任主体，B 正确。一级召回是指使用该药品可能引起严重健康危害的，C 正确。药品召回的主体包括药品生产企业、经营企业和使用单位，D 错误。药品召回应在药品监督管理部门的监督下进行，E 正确。</w:t>
      </w:r>
    </w:p>
    <w:p w14:paraId="02796BDF">
      <w:pPr>
        <w:spacing w:line="240" w:lineRule="auto"/>
        <w:ind w:firstLine="600"/>
        <w:rPr>
          <w:sz w:val="28"/>
        </w:rPr>
      </w:pPr>
      <w:r>
        <w:rPr>
          <w:rFonts w:ascii="黑体" w:hAnsi="黑体" w:eastAsia="黑体" w:cs="黑体"/>
          <w:color w:val="000000"/>
          <w:sz w:val="28"/>
        </w:rPr>
        <w:t>52. 根据《药品说明书和标签管理规定》，药品说明书中应当列出全部活性成分或者组方中的全部中药药味的是（  ）</w:t>
      </w:r>
    </w:p>
    <w:p w14:paraId="743E05CC">
      <w:pPr>
        <w:spacing w:line="240" w:lineRule="auto"/>
        <w:ind w:firstLine="600"/>
        <w:rPr>
          <w:sz w:val="28"/>
        </w:rPr>
      </w:pPr>
      <w:r>
        <w:rPr>
          <w:rFonts w:ascii="黑体" w:hAnsi="黑体" w:eastAsia="黑体" w:cs="黑体"/>
          <w:color w:val="000000"/>
          <w:sz w:val="28"/>
        </w:rPr>
        <w:t>A. 处方药</w:t>
      </w:r>
    </w:p>
    <w:p w14:paraId="2C568136">
      <w:pPr>
        <w:spacing w:line="240" w:lineRule="auto"/>
        <w:ind w:firstLine="600"/>
        <w:rPr>
          <w:sz w:val="28"/>
        </w:rPr>
      </w:pPr>
      <w:r>
        <w:rPr>
          <w:rFonts w:ascii="黑体" w:hAnsi="黑体" w:eastAsia="黑体" w:cs="黑体"/>
          <w:color w:val="000000"/>
          <w:sz w:val="28"/>
        </w:rPr>
        <w:t>B. 非处方药</w:t>
      </w:r>
    </w:p>
    <w:p w14:paraId="0786A011">
      <w:pPr>
        <w:spacing w:line="240" w:lineRule="auto"/>
        <w:ind w:firstLine="600"/>
        <w:rPr>
          <w:sz w:val="28"/>
        </w:rPr>
      </w:pPr>
      <w:r>
        <w:rPr>
          <w:rFonts w:ascii="黑体" w:hAnsi="黑体" w:eastAsia="黑体" w:cs="黑体"/>
          <w:color w:val="000000"/>
          <w:sz w:val="28"/>
        </w:rPr>
        <w:t>C. 注射剂</w:t>
      </w:r>
    </w:p>
    <w:p w14:paraId="18F4F1BB">
      <w:pPr>
        <w:spacing w:line="240" w:lineRule="auto"/>
        <w:ind w:firstLine="600"/>
        <w:rPr>
          <w:sz w:val="28"/>
        </w:rPr>
      </w:pPr>
      <w:r>
        <w:rPr>
          <w:rFonts w:ascii="黑体" w:hAnsi="黑体" w:eastAsia="黑体" w:cs="黑体"/>
          <w:color w:val="000000"/>
          <w:sz w:val="28"/>
        </w:rPr>
        <w:t>D. 外用药品</w:t>
      </w:r>
    </w:p>
    <w:p w14:paraId="7E7B56F6">
      <w:pPr>
        <w:spacing w:line="240" w:lineRule="auto"/>
        <w:ind w:firstLine="600"/>
        <w:rPr>
          <w:sz w:val="28"/>
        </w:rPr>
      </w:pPr>
      <w:r>
        <w:rPr>
          <w:rFonts w:ascii="黑体" w:hAnsi="黑体" w:eastAsia="黑体" w:cs="黑体"/>
          <w:color w:val="000000"/>
          <w:sz w:val="28"/>
        </w:rPr>
        <w:t>E. 以上都是</w:t>
      </w:r>
    </w:p>
    <w:p w14:paraId="7353BC1B">
      <w:pPr>
        <w:spacing w:line="240" w:lineRule="auto"/>
        <w:ind w:firstLine="600"/>
        <w:rPr>
          <w:sz w:val="28"/>
        </w:rPr>
      </w:pPr>
      <w:r>
        <w:rPr>
          <w:rFonts w:ascii="黑体" w:hAnsi="黑体" w:eastAsia="黑体" w:cs="黑体"/>
          <w:color w:val="000000"/>
          <w:sz w:val="28"/>
        </w:rPr>
        <w:t>答案：E</w:t>
      </w:r>
    </w:p>
    <w:p w14:paraId="09007E0B">
      <w:pPr>
        <w:spacing w:line="240" w:lineRule="auto"/>
        <w:ind w:firstLine="600"/>
        <w:rPr>
          <w:sz w:val="28"/>
        </w:rPr>
      </w:pPr>
      <w:r>
        <w:rPr>
          <w:rFonts w:ascii="黑体" w:hAnsi="黑体" w:eastAsia="黑体" w:cs="黑体"/>
          <w:color w:val="000000"/>
          <w:sz w:val="28"/>
        </w:rPr>
        <w:t>解析：处方药、非处方药、注射剂、外用药品的说明书中都应当列出全部活性成分或者组方中的全部中药药味，E 正确。</w:t>
      </w:r>
    </w:p>
    <w:p w14:paraId="3654668B">
      <w:pPr>
        <w:spacing w:line="240" w:lineRule="auto"/>
        <w:ind w:firstLine="600"/>
        <w:rPr>
          <w:sz w:val="28"/>
        </w:rPr>
      </w:pPr>
      <w:r>
        <w:rPr>
          <w:rFonts w:ascii="黑体" w:hAnsi="黑体" w:eastAsia="黑体" w:cs="黑体"/>
          <w:color w:val="000000"/>
          <w:sz w:val="28"/>
        </w:rPr>
        <w:t>53. 根据《野生药材资源保护管理条例》，属于二级保护野生药材物种的是（  ）</w:t>
      </w:r>
    </w:p>
    <w:p w14:paraId="5502AEF6">
      <w:pPr>
        <w:spacing w:line="240" w:lineRule="auto"/>
        <w:ind w:firstLine="600"/>
        <w:rPr>
          <w:sz w:val="28"/>
        </w:rPr>
      </w:pPr>
      <w:r>
        <w:rPr>
          <w:rFonts w:ascii="黑体" w:hAnsi="黑体" w:eastAsia="黑体" w:cs="黑体"/>
          <w:color w:val="000000"/>
          <w:sz w:val="28"/>
        </w:rPr>
        <w:t>A. 羚羊角</w:t>
      </w:r>
    </w:p>
    <w:p w14:paraId="2D83606F">
      <w:pPr>
        <w:spacing w:line="240" w:lineRule="auto"/>
        <w:ind w:firstLine="600"/>
        <w:rPr>
          <w:sz w:val="28"/>
        </w:rPr>
      </w:pPr>
      <w:r>
        <w:rPr>
          <w:rFonts w:ascii="黑体" w:hAnsi="黑体" w:eastAsia="黑体" w:cs="黑体"/>
          <w:color w:val="000000"/>
          <w:sz w:val="28"/>
        </w:rPr>
        <w:t>B. 梅花鹿鹿茸</w:t>
      </w:r>
    </w:p>
    <w:p w14:paraId="553DF127">
      <w:pPr>
        <w:spacing w:line="240" w:lineRule="auto"/>
        <w:ind w:firstLine="600"/>
        <w:rPr>
          <w:sz w:val="28"/>
        </w:rPr>
      </w:pPr>
      <w:r>
        <w:rPr>
          <w:rFonts w:ascii="黑体" w:hAnsi="黑体" w:eastAsia="黑体" w:cs="黑体"/>
          <w:color w:val="000000"/>
          <w:sz w:val="28"/>
        </w:rPr>
        <w:t>C. 熊胆</w:t>
      </w:r>
    </w:p>
    <w:p w14:paraId="4E7A84A2">
      <w:pPr>
        <w:spacing w:line="240" w:lineRule="auto"/>
        <w:ind w:firstLine="600"/>
        <w:rPr>
          <w:sz w:val="28"/>
        </w:rPr>
      </w:pPr>
      <w:r>
        <w:rPr>
          <w:rFonts w:ascii="黑体" w:hAnsi="黑体" w:eastAsia="黑体" w:cs="黑体"/>
          <w:color w:val="000000"/>
          <w:sz w:val="28"/>
        </w:rPr>
        <w:t>D. 龙胆</w:t>
      </w:r>
    </w:p>
    <w:p w14:paraId="63C2F322">
      <w:pPr>
        <w:spacing w:line="240" w:lineRule="auto"/>
        <w:ind w:firstLine="600"/>
        <w:rPr>
          <w:sz w:val="28"/>
        </w:rPr>
      </w:pPr>
      <w:r>
        <w:rPr>
          <w:rFonts w:ascii="黑体" w:hAnsi="黑体" w:eastAsia="黑体" w:cs="黑体"/>
          <w:color w:val="000000"/>
          <w:sz w:val="28"/>
        </w:rPr>
        <w:t>E. 细辛</w:t>
      </w:r>
    </w:p>
    <w:p w14:paraId="24E97B5B">
      <w:pPr>
        <w:spacing w:line="240" w:lineRule="auto"/>
        <w:ind w:firstLine="600"/>
        <w:rPr>
          <w:sz w:val="28"/>
        </w:rPr>
      </w:pPr>
      <w:r>
        <w:rPr>
          <w:rFonts w:ascii="黑体" w:hAnsi="黑体" w:eastAsia="黑体" w:cs="黑体"/>
          <w:color w:val="000000"/>
          <w:sz w:val="28"/>
        </w:rPr>
        <w:t>答案：C</w:t>
      </w:r>
    </w:p>
    <w:p w14:paraId="2888FDC3">
      <w:pPr>
        <w:spacing w:line="240" w:lineRule="auto"/>
        <w:ind w:firstLine="600"/>
        <w:rPr>
          <w:sz w:val="28"/>
        </w:rPr>
      </w:pPr>
      <w:r>
        <w:rPr>
          <w:rFonts w:ascii="黑体" w:hAnsi="黑体" w:eastAsia="黑体" w:cs="黑体"/>
          <w:color w:val="000000"/>
          <w:sz w:val="28"/>
        </w:rPr>
        <w:t>解析：羚羊角、梅花鹿鹿茸属于一级保护野生药材物种，A、B 错误。熊胆属于二级保护野生药材物种，C 正确。龙胆、细辛属于三级保护野生药材物种，D、E 错误。</w:t>
      </w:r>
    </w:p>
    <w:p w14:paraId="503C29F7">
      <w:pPr>
        <w:spacing w:line="240" w:lineRule="auto"/>
        <w:ind w:firstLine="600"/>
        <w:rPr>
          <w:sz w:val="28"/>
        </w:rPr>
      </w:pPr>
      <w:r>
        <w:rPr>
          <w:rFonts w:ascii="黑体" w:hAnsi="黑体" w:eastAsia="黑体" w:cs="黑体"/>
          <w:color w:val="000000"/>
          <w:sz w:val="28"/>
        </w:rPr>
        <w:t>54. 患者，男，35 岁，因皮肤过敏就诊，医生开具氯雷他定片治疗。下列关于氯雷他定的说法，正确的是（  ）</w:t>
      </w:r>
    </w:p>
    <w:p w14:paraId="3BB0E77C">
      <w:pPr>
        <w:spacing w:line="240" w:lineRule="auto"/>
        <w:ind w:firstLine="600"/>
        <w:rPr>
          <w:sz w:val="28"/>
        </w:rPr>
      </w:pPr>
      <w:r>
        <w:rPr>
          <w:rFonts w:ascii="黑体" w:hAnsi="黑体" w:eastAsia="黑体" w:cs="黑体"/>
          <w:color w:val="000000"/>
          <w:sz w:val="28"/>
        </w:rPr>
        <w:t>A. 氯雷他定属于第一代抗组胺药</w:t>
      </w:r>
    </w:p>
    <w:p w14:paraId="1C98F4AA">
      <w:pPr>
        <w:spacing w:line="240" w:lineRule="auto"/>
        <w:ind w:firstLine="600"/>
        <w:rPr>
          <w:sz w:val="28"/>
        </w:rPr>
      </w:pPr>
      <w:r>
        <w:rPr>
          <w:rFonts w:ascii="黑体" w:hAnsi="黑体" w:eastAsia="黑体" w:cs="黑体"/>
          <w:color w:val="000000"/>
          <w:sz w:val="28"/>
        </w:rPr>
        <w:t>B. 氯雷他定的中枢抑制作用较强</w:t>
      </w:r>
    </w:p>
    <w:p w14:paraId="4A470B49">
      <w:pPr>
        <w:spacing w:line="240" w:lineRule="auto"/>
        <w:ind w:firstLine="600"/>
        <w:rPr>
          <w:sz w:val="28"/>
        </w:rPr>
      </w:pPr>
      <w:r>
        <w:rPr>
          <w:rFonts w:ascii="黑体" w:hAnsi="黑体" w:eastAsia="黑体" w:cs="黑体"/>
          <w:color w:val="000000"/>
          <w:sz w:val="28"/>
        </w:rPr>
        <w:t>C. 氯雷他定可用于治疗过敏性鼻炎</w:t>
      </w:r>
    </w:p>
    <w:p w14:paraId="5236CD80">
      <w:pPr>
        <w:spacing w:line="240" w:lineRule="auto"/>
        <w:ind w:firstLine="600"/>
        <w:rPr>
          <w:sz w:val="28"/>
        </w:rPr>
      </w:pPr>
      <w:r>
        <w:rPr>
          <w:rFonts w:ascii="黑体" w:hAnsi="黑体" w:eastAsia="黑体" w:cs="黑体"/>
          <w:color w:val="000000"/>
          <w:sz w:val="28"/>
        </w:rPr>
        <w:t>D. 氯雷他定的不良反应主要是心脏毒性</w:t>
      </w:r>
    </w:p>
    <w:p w14:paraId="32754728">
      <w:pPr>
        <w:spacing w:line="240" w:lineRule="auto"/>
        <w:ind w:firstLine="600"/>
        <w:rPr>
          <w:sz w:val="28"/>
        </w:rPr>
      </w:pPr>
      <w:r>
        <w:rPr>
          <w:rFonts w:ascii="黑体" w:hAnsi="黑体" w:eastAsia="黑体" w:cs="黑体"/>
          <w:color w:val="000000"/>
          <w:sz w:val="28"/>
        </w:rPr>
        <w:t>E. 氯雷他定应在睡前服用</w:t>
      </w:r>
    </w:p>
    <w:p w14:paraId="51057BAB">
      <w:pPr>
        <w:spacing w:line="240" w:lineRule="auto"/>
        <w:ind w:firstLine="600"/>
        <w:rPr>
          <w:sz w:val="28"/>
        </w:rPr>
      </w:pPr>
      <w:r>
        <w:rPr>
          <w:rFonts w:ascii="黑体" w:hAnsi="黑体" w:eastAsia="黑体" w:cs="黑体"/>
          <w:color w:val="000000"/>
          <w:sz w:val="28"/>
        </w:rPr>
        <w:t>答案：C</w:t>
      </w:r>
    </w:p>
    <w:p w14:paraId="7381F4CA">
      <w:pPr>
        <w:spacing w:line="240" w:lineRule="auto"/>
        <w:ind w:firstLine="600"/>
        <w:rPr>
          <w:sz w:val="28"/>
        </w:rPr>
      </w:pPr>
      <w:r>
        <w:rPr>
          <w:rFonts w:ascii="黑体" w:hAnsi="黑体" w:eastAsia="黑体" w:cs="黑体"/>
          <w:color w:val="000000"/>
          <w:sz w:val="28"/>
        </w:rPr>
        <w:t>解析：氯雷他定属于第二代抗组胺药，第一代抗组胺药如苯海拉明等，A 错误。第二代抗组胺药中枢抑制作用较弱，B 错误。氯雷他定可用于治疗过敏性鼻炎、皮肤过敏等，C 正确。不良反应主要是嗜睡、口干等，心脏毒性较低，D 错误。一般不需要在睡前服用，E 错误。</w:t>
      </w:r>
    </w:p>
    <w:p w14:paraId="0DF4DE70">
      <w:pPr>
        <w:spacing w:line="240" w:lineRule="auto"/>
        <w:ind w:firstLine="600"/>
        <w:rPr>
          <w:sz w:val="28"/>
        </w:rPr>
      </w:pPr>
      <w:r>
        <w:rPr>
          <w:rFonts w:ascii="黑体" w:hAnsi="黑体" w:eastAsia="黑体" w:cs="黑体"/>
          <w:color w:val="000000"/>
          <w:sz w:val="28"/>
        </w:rPr>
        <w:t>55. 患者，女，40 岁，患有高血压，医生开具硝苯地平控释片治疗。下列关于硝苯地平控释片的说法，错误的是（  ）</w:t>
      </w:r>
    </w:p>
    <w:p w14:paraId="72B4486A">
      <w:pPr>
        <w:spacing w:line="240" w:lineRule="auto"/>
        <w:ind w:firstLine="600"/>
        <w:rPr>
          <w:sz w:val="28"/>
        </w:rPr>
      </w:pPr>
      <w:r>
        <w:rPr>
          <w:rFonts w:ascii="黑体" w:hAnsi="黑体" w:eastAsia="黑体" w:cs="黑体"/>
          <w:color w:val="000000"/>
          <w:sz w:val="28"/>
        </w:rPr>
        <w:t>A. 硝苯地平控释片可平稳控制血压</w:t>
      </w:r>
    </w:p>
    <w:p w14:paraId="3B66439B">
      <w:pPr>
        <w:spacing w:line="240" w:lineRule="auto"/>
        <w:ind w:firstLine="600"/>
        <w:rPr>
          <w:sz w:val="28"/>
        </w:rPr>
      </w:pPr>
      <w:r>
        <w:rPr>
          <w:rFonts w:ascii="黑体" w:hAnsi="黑体" w:eastAsia="黑体" w:cs="黑体"/>
          <w:color w:val="000000"/>
          <w:sz w:val="28"/>
        </w:rPr>
        <w:t>B. 硝苯地平控释片应整片吞服，不可嚼碎或掰开</w:t>
      </w:r>
    </w:p>
    <w:p w14:paraId="1BD42379">
      <w:pPr>
        <w:spacing w:line="240" w:lineRule="auto"/>
        <w:ind w:firstLine="600"/>
        <w:rPr>
          <w:sz w:val="28"/>
        </w:rPr>
      </w:pPr>
      <w:r>
        <w:rPr>
          <w:rFonts w:ascii="黑体" w:hAnsi="黑体" w:eastAsia="黑体" w:cs="黑体"/>
          <w:color w:val="000000"/>
          <w:sz w:val="28"/>
        </w:rPr>
        <w:t>C. 硝苯地平控释片的不良反应主要是低血压</w:t>
      </w:r>
    </w:p>
    <w:p w14:paraId="76C62B47">
      <w:pPr>
        <w:spacing w:line="240" w:lineRule="auto"/>
        <w:ind w:firstLine="600"/>
        <w:rPr>
          <w:sz w:val="28"/>
        </w:rPr>
      </w:pPr>
      <w:r>
        <w:rPr>
          <w:rFonts w:ascii="黑体" w:hAnsi="黑体" w:eastAsia="黑体" w:cs="黑体"/>
          <w:color w:val="000000"/>
          <w:sz w:val="28"/>
        </w:rPr>
        <w:t>D. 硝苯地平控释片可与β受体阻断剂联合使用</w:t>
      </w:r>
    </w:p>
    <w:p w14:paraId="571D638C">
      <w:pPr>
        <w:spacing w:line="240" w:lineRule="auto"/>
        <w:ind w:firstLine="600"/>
        <w:rPr>
          <w:sz w:val="28"/>
        </w:rPr>
      </w:pPr>
      <w:r>
        <w:rPr>
          <w:rFonts w:ascii="黑体" w:hAnsi="黑体" w:eastAsia="黑体" w:cs="黑体"/>
          <w:color w:val="000000"/>
          <w:sz w:val="28"/>
        </w:rPr>
        <w:t>E. 硝苯地平控释片属于钙通道阻滞剂</w:t>
      </w:r>
    </w:p>
    <w:p w14:paraId="02FF8269">
      <w:pPr>
        <w:spacing w:line="240" w:lineRule="auto"/>
        <w:ind w:firstLine="600"/>
        <w:rPr>
          <w:sz w:val="28"/>
        </w:rPr>
      </w:pPr>
      <w:r>
        <w:rPr>
          <w:rFonts w:ascii="黑体" w:hAnsi="黑体" w:eastAsia="黑体" w:cs="黑体"/>
          <w:color w:val="000000"/>
          <w:sz w:val="28"/>
        </w:rPr>
        <w:t>答案：C</w:t>
      </w:r>
    </w:p>
    <w:p w14:paraId="160EF95C">
      <w:pPr>
        <w:spacing w:line="240" w:lineRule="auto"/>
        <w:ind w:firstLine="600"/>
      </w:pPr>
      <w:r>
        <w:rPr>
          <w:rFonts w:ascii="黑体" w:hAnsi="黑体" w:eastAsia="黑体" w:cs="黑体"/>
          <w:color w:val="000000"/>
          <w:sz w:val="28"/>
        </w:rPr>
        <w:t xml:space="preserve">解析：硝苯地平控释片的不良反应主要是面部潮红、头痛、下肢水肿等，低血压不是主要不良反应，C 错误。硝苯地平控释片可平稳控制血压，A 正确；应整片吞服，不可嚼碎或掰开，B 正确；可与β受体阻断剂联合使用，增强降压效果，D 正确；属于钙通道阻滞剂，E 正确。 </w:t>
      </w:r>
    </w:p>
    <w:sectPr>
      <w:pgSz w:w="12240" w:h="15840"/>
      <w:pgMar w:top="1440" w:right="1800" w:bottom="1440" w:left="1800" w:header="720" w:footer="720" w:gutter="0"/>
      <w:cols w:space="720"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auto"/>
    <w:pitch w:val="default"/>
    <w:sig w:usb0="E0002EFF" w:usb1="C000785B" w:usb2="00000009" w:usb3="00000000" w:csb0="400001FF" w:csb1="FFFF0000"/>
  </w:font>
  <w:font w:name="Cambria">
    <w:panose1 w:val="02040503050406030204"/>
    <w:charset w:val="00"/>
    <w:family w:val="auto"/>
    <w:pitch w:val="default"/>
    <w:sig w:usb0="E00006FF" w:usb1="420024FF" w:usb2="02000000" w:usb3="00000000" w:csb0="2000019F" w:csb1="00000000"/>
  </w:font>
  <w:font w:name="ＭＳ 明朝">
    <w:altName w:val="宋体"/>
    <w:panose1 w:val="00000000000000000000"/>
    <w:charset w:val="86"/>
    <w:family w:val="auto"/>
    <w:pitch w:val="default"/>
    <w:sig w:usb0="00000000" w:usb1="00000000" w:usb2="00000000" w:usb3="00000000" w:csb0="00000000" w:csb1="00000000"/>
  </w:font>
  <w:font w:name="MS Gothic">
    <w:panose1 w:val="020B0609070205080204"/>
    <w:charset w:val="80"/>
    <w:family w:val="auto"/>
    <w:pitch w:val="default"/>
    <w:sig w:usb0="E00002FF" w:usb1="6AC7FDFB" w:usb2="08000012" w:usb3="00000000" w:csb0="4002009F" w:csb1="DFD70000"/>
  </w:font>
  <w:font w:name="Courier">
    <w:altName w:val="Courier New"/>
    <w:panose1 w:val="00000000000000000000"/>
    <w:charset w:val="00"/>
    <w:family w:val="auto"/>
    <w:pitch w:val="default"/>
    <w:sig w:usb0="00000000" w:usb1="00000000" w:usb2="00000000" w:usb3="00000000" w:csb0="00000000" w:csb1="00000000"/>
  </w:font>
  <w:font w:name="ＭＳ 明朝">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NotTrackMoves/>
  <w:documentProtection w:enforcement="0"/>
  <w:defaultTabStop w:val="720"/>
  <w:characterSpacingControl w:val="doNotCompress"/>
  <w:footnotePr>
    <w:footnote w:id="0"/>
    <w:footnote w:id="1"/>
  </w:footnotePr>
  <w:endnotePr>
    <w:endnote w:id="0"/>
    <w:endnote w:id="1"/>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58184D26"/>
  </w:rsids>
  <m:mathPr>
    <m:mathFont m:val="Cambria Math"/>
    <m:brkBin m:val="before"/>
    <m:brkBinSub m:val="--"/>
    <m:smallFrac m:val="0"/>
    <m:dispDef/>
    <m:lMargin m:val="0"/>
    <m:rMargin m:val="0"/>
    <m:defJc m:val="centerGroup"/>
    <m:preSp m:val="0"/>
    <m:postSp m:val="0"/>
    <m:interSp m:val="0"/>
    <m:intraSp m:val="0"/>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qFormat="1" w:uiPriority="99" w:semiHidden="0" w:name="macro"/>
    <w:lsdException w:uiPriority="99" w:name="toa heading"/>
    <w:lsdException w:qFormat="1" w:uiPriority="99" w:semiHidden="0" w:name="List"/>
    <w:lsdException w:uiPriority="99" w:semiHidden="0" w:name="List Bullet"/>
    <w:lsdException w:uiPriority="99" w:semiHidden="0" w:name="List Number"/>
    <w:lsdException w:uiPriority="99" w:semiHidden="0" w:name="List 2"/>
    <w:lsdException w:qFormat="1" w:uiPriority="99" w:semiHidden="0" w:name="List 3"/>
    <w:lsdException w:uiPriority="99" w:name="List 4"/>
    <w:lsdException w:uiPriority="99" w:name="List 5"/>
    <w:lsdException w:uiPriority="99" w:semiHidden="0" w:name="List Bullet 2"/>
    <w:lsdException w:qFormat="1" w:uiPriority="99" w:semiHidden="0" w:name="List Bullet 3"/>
    <w:lsdException w:uiPriority="99" w:name="List Bullet 4"/>
    <w:lsdException w:uiPriority="99" w:name="List Bullet 5"/>
    <w:lsdException w:uiPriority="99" w:semiHidden="0" w:name="List Number 2"/>
    <w:lsdException w:uiPriority="99" w:semiHidden="0"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iPriority="99" w:semiHidden="0" w:name="Body Text"/>
    <w:lsdException w:uiPriority="99" w:name="Body Text Indent"/>
    <w:lsdException w:qFormat="1" w:uiPriority="99" w:semiHidden="0" w:name="List Continue"/>
    <w:lsdException w:uiPriority="99" w:semiHidden="0" w:name="List Continue 2"/>
    <w:lsdException w:qFormat="1" w:uiPriority="99" w:semiHidden="0"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semiHidden="0" w:name="Body Text 2"/>
    <w:lsdException w:uiPriority="99" w:semiHidden="0"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qFormat="1" w:unhideWhenUsed="0" w:uiPriority="1" w:semiHidden="0" w:name="No Spacing"/>
    <w:lsdException w:qFormat="1" w:unhideWhenUsed="0" w:uiPriority="60" w:semiHidden="0" w:name="Light Shading"/>
    <w:lsdException w:qFormat="1" w:unhideWhenUsed="0" w:uiPriority="61" w:semiHidden="0" w:name="Light List"/>
    <w:lsdException w:qFormat="1" w:unhideWhenUsed="0" w:uiPriority="62" w:semiHidden="0" w:name="Light Grid"/>
    <w:lsdException w:qFormat="1"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qFormat="1"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qFormat="1" w:unhideWhenUsed="0" w:uiPriority="72" w:semiHidden="0" w:name="Colorful List"/>
    <w:lsdException w:unhideWhenUsed="0" w:uiPriority="73" w:semiHidden="0" w:name="Colorful Grid"/>
    <w:lsdException w:unhideWhenUsed="0" w:uiPriority="60" w:semiHidden="0" w:name="Light Shading Accent 1"/>
    <w:lsdException w:qFormat="1" w:unhideWhenUsed="0" w:uiPriority="61" w:semiHidden="0" w:name="Light List Accent 1"/>
    <w:lsdException w:qFormat="1" w:unhideWhenUsed="0" w:uiPriority="62" w:semiHidden="0" w:name="Light Grid Accent 1"/>
    <w:lsdException w:qFormat="1"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qFormat="1" w:unhideWhenUsed="0" w:uiPriority="29" w:semiHidden="0" w:name="Quote"/>
    <w:lsdException w:qFormat="1" w:unhideWhenUsed="0" w:uiPriority="30" w:semiHidden="0" w:name="Intense Quote"/>
    <w:lsdException w:qFormat="1" w:unhideWhenUsed="0" w:uiPriority="66" w:semiHidden="0" w:name="Medium List 2 Accent 1"/>
    <w:lsdException w:qFormat="1"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qFormat="1" w:unhideWhenUsed="0" w:uiPriority="62" w:semiHidden="0" w:name="Light Grid Accent 2"/>
    <w:lsdException w:unhideWhenUsed="0" w:uiPriority="63" w:semiHidden="0" w:name="Medium Shading 1 Accent 2"/>
    <w:lsdException w:qFormat="1" w:unhideWhenUsed="0" w:uiPriority="64" w:semiHidden="0" w:name="Medium Shading 2 Accent 2"/>
    <w:lsdException w:unhideWhenUsed="0" w:uiPriority="65" w:semiHidden="0" w:name="Medium List 1 Accent 2"/>
    <w:lsdException w:qFormat="1" w:unhideWhenUsed="0" w:uiPriority="66" w:semiHidden="0" w:name="Medium List 2 Accent 2"/>
    <w:lsdException w:qFormat="1" w:unhideWhenUsed="0" w:uiPriority="67" w:semiHidden="0" w:name="Medium Grid 1 Accent 2"/>
    <w:lsdException w:qFormat="1" w:unhideWhenUsed="0" w:uiPriority="68" w:semiHidden="0" w:name="Medium Grid 2 Accent 2"/>
    <w:lsdException w:unhideWhenUsed="0" w:uiPriority="69" w:semiHidden="0" w:name="Medium Grid 3 Accent 2"/>
    <w:lsdException w:unhideWhenUsed="0" w:uiPriority="70" w:semiHidden="0" w:name="Dark List Accent 2"/>
    <w:lsdException w:qFormat="1"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qFormat="1" w:unhideWhenUsed="0" w:uiPriority="61" w:semiHidden="0" w:name="Light List Accent 3"/>
    <w:lsdException w:qFormat="1" w:unhideWhenUsed="0" w:uiPriority="62" w:semiHidden="0" w:name="Light Grid Accent 3"/>
    <w:lsdException w:unhideWhenUsed="0" w:uiPriority="63" w:semiHidden="0" w:name="Medium Shading 1 Accent 3"/>
    <w:lsdException w:unhideWhenUsed="0" w:uiPriority="64" w:semiHidden="0" w:name="Medium Shading 2 Accent 3"/>
    <w:lsdException w:qFormat="1" w:unhideWhenUsed="0" w:uiPriority="65" w:semiHidden="0" w:name="Medium List 1 Accent 3"/>
    <w:lsdException w:qFormat="1" w:unhideWhenUsed="0" w:uiPriority="66" w:semiHidden="0" w:name="Medium List 2 Accent 3"/>
    <w:lsdException w:qFormat="1" w:unhideWhenUsed="0" w:uiPriority="67" w:semiHidden="0" w:name="Medium Grid 1 Accent 3"/>
    <w:lsdException w:qFormat="1"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qFormat="1"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qFormat="1" w:unhideWhenUsed="0" w:uiPriority="64" w:semiHidden="0" w:name="Medium Shading 2 Accent 4"/>
    <w:lsdException w:qFormat="1"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qFormat="1" w:unhideWhenUsed="0" w:uiPriority="61" w:semiHidden="0" w:name="Light List Accent 5"/>
    <w:lsdException w:unhideWhenUsed="0" w:uiPriority="62" w:semiHidden="0" w:name="Light Grid Accent 5"/>
    <w:lsdException w:qFormat="1" w:unhideWhenUsed="0" w:uiPriority="63" w:semiHidden="0" w:name="Medium Shading 1 Accent 5"/>
    <w:lsdException w:unhideWhenUsed="0" w:uiPriority="64" w:semiHidden="0" w:name="Medium Shading 2 Accent 5"/>
    <w:lsdException w:qFormat="1" w:unhideWhenUsed="0" w:uiPriority="65" w:semiHidden="0" w:name="Medium List 1 Accent 5"/>
    <w:lsdException w:unhideWhenUsed="0" w:uiPriority="66" w:semiHidden="0" w:name="Medium List 2 Accent 5"/>
    <w:lsdException w:qFormat="1" w:unhideWhenUsed="0" w:uiPriority="67" w:semiHidden="0" w:name="Medium Grid 1 Accent 5"/>
    <w:lsdException w:unhideWhenUsed="0" w:uiPriority="68" w:semiHidden="0" w:name="Medium Grid 2 Accent 5"/>
    <w:lsdException w:unhideWhenUsed="0" w:uiPriority="69" w:semiHidden="0" w:name="Medium Grid 3 Accent 5"/>
    <w:lsdException w:qFormat="1" w:unhideWhenUsed="0" w:uiPriority="70" w:semiHidden="0" w:name="Dark List Accent 5"/>
    <w:lsdException w:qFormat="1" w:unhideWhenUsed="0" w:uiPriority="71" w:semiHidden="0" w:name="Colorful Shading Accent 5"/>
    <w:lsdException w:qFormat="1" w:unhideWhenUsed="0" w:uiPriority="72" w:semiHidden="0" w:name="Colorful List Accent 5"/>
    <w:lsdException w:qFormat="1" w:unhideWhenUsed="0" w:uiPriority="73" w:semiHidden="0" w:name="Colorful Grid Accent 5"/>
    <w:lsdException w:qFormat="1" w:unhideWhenUsed="0" w:uiPriority="60" w:semiHidden="0" w:name="Light Shading Accent 6"/>
    <w:lsdException w:unhideWhenUsed="0" w:uiPriority="61" w:semiHidden="0" w:name="Light List Accent 6"/>
    <w:lsdException w:qFormat="1"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qFormat="1"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hd w:val="clear" w:color="auto" w:fill="auto"/>
      <w:spacing w:after="200" w:line="276" w:lineRule="auto"/>
    </w:pPr>
    <w:rPr>
      <w:rFonts w:asciiTheme="minorHAnsi" w:hAnsiTheme="minorHAnsi" w:eastAsiaTheme="minorEastAsia" w:cstheme="minorBidi"/>
      <w:sz w:val="22"/>
      <w:szCs w:val="22"/>
      <w:lang w:val="en-US" w:eastAsia="en-US" w:bidi="ar-SA"/>
    </w:rPr>
  </w:style>
  <w:style w:type="paragraph" w:styleId="3">
    <w:name w:val="heading 1"/>
    <w:basedOn w:val="1"/>
    <w:next w:val="1"/>
    <w:link w:val="138"/>
    <w:qFormat/>
    <w:uiPriority w:val="9"/>
    <w:pPr>
      <w:keepNext/>
      <w:keepLines/>
      <w:spacing w:before="480" w:after="0"/>
      <w:outlineLvl w:val="0"/>
    </w:pPr>
    <w:rPr>
      <w:rFonts w:asciiTheme="majorHAnsi" w:hAnsiTheme="majorHAnsi" w:eastAsiaTheme="majorEastAsia" w:cstheme="majorBidi"/>
      <w:b/>
      <w:bCs/>
      <w:color w:val="365F91"/>
      <w:sz w:val="28"/>
      <w:szCs w:val="28"/>
    </w:rPr>
  </w:style>
  <w:style w:type="paragraph" w:styleId="4">
    <w:name w:val="heading 2"/>
    <w:basedOn w:val="1"/>
    <w:next w:val="1"/>
    <w:link w:val="139"/>
    <w:unhideWhenUsed/>
    <w:qFormat/>
    <w:uiPriority w:val="9"/>
    <w:pPr>
      <w:keepNext/>
      <w:keepLines/>
      <w:spacing w:before="200" w:after="0"/>
      <w:outlineLvl w:val="1"/>
    </w:pPr>
    <w:rPr>
      <w:rFonts w:asciiTheme="majorHAnsi" w:hAnsiTheme="majorHAnsi" w:eastAsiaTheme="majorEastAsia" w:cstheme="majorBidi"/>
      <w:b/>
      <w:bCs/>
      <w:color w:val="4F81BD"/>
      <w:sz w:val="26"/>
      <w:szCs w:val="26"/>
    </w:rPr>
  </w:style>
  <w:style w:type="paragraph" w:styleId="5">
    <w:name w:val="heading 3"/>
    <w:basedOn w:val="1"/>
    <w:next w:val="1"/>
    <w:link w:val="140"/>
    <w:unhideWhenUsed/>
    <w:qFormat/>
    <w:uiPriority w:val="9"/>
    <w:pPr>
      <w:keepNext/>
      <w:keepLines/>
      <w:spacing w:before="200" w:after="0"/>
      <w:outlineLvl w:val="2"/>
    </w:pPr>
    <w:rPr>
      <w:rFonts w:asciiTheme="majorHAnsi" w:hAnsiTheme="majorHAnsi" w:eastAsiaTheme="majorEastAsia" w:cstheme="majorBidi"/>
      <w:b/>
      <w:bCs/>
      <w:color w:val="4F81BD"/>
    </w:rPr>
  </w:style>
  <w:style w:type="paragraph" w:styleId="6">
    <w:name w:val="heading 4"/>
    <w:basedOn w:val="1"/>
    <w:next w:val="1"/>
    <w:link w:val="150"/>
    <w:semiHidden/>
    <w:unhideWhenUsed/>
    <w:qFormat/>
    <w:uiPriority w:val="9"/>
    <w:pPr>
      <w:keepNext/>
      <w:keepLines/>
      <w:spacing w:before="200" w:after="0"/>
      <w:outlineLvl w:val="3"/>
    </w:pPr>
    <w:rPr>
      <w:rFonts w:asciiTheme="majorHAnsi" w:hAnsiTheme="majorHAnsi" w:eastAsiaTheme="majorEastAsia" w:cstheme="majorBidi"/>
      <w:b/>
      <w:bCs/>
      <w:i/>
      <w:iCs/>
      <w:color w:val="4F81BD"/>
    </w:rPr>
  </w:style>
  <w:style w:type="paragraph" w:styleId="7">
    <w:name w:val="heading 5"/>
    <w:basedOn w:val="1"/>
    <w:next w:val="1"/>
    <w:link w:val="151"/>
    <w:semiHidden/>
    <w:unhideWhenUsed/>
    <w:qFormat/>
    <w:uiPriority w:val="9"/>
    <w:pPr>
      <w:keepNext/>
      <w:keepLines/>
      <w:spacing w:before="200" w:after="0"/>
      <w:outlineLvl w:val="4"/>
    </w:pPr>
    <w:rPr>
      <w:rFonts w:asciiTheme="majorHAnsi" w:hAnsiTheme="majorHAnsi" w:eastAsiaTheme="majorEastAsia" w:cstheme="majorBidi"/>
      <w:color w:val="243F60"/>
    </w:rPr>
  </w:style>
  <w:style w:type="paragraph" w:styleId="8">
    <w:name w:val="heading 6"/>
    <w:basedOn w:val="1"/>
    <w:next w:val="1"/>
    <w:link w:val="152"/>
    <w:semiHidden/>
    <w:unhideWhenUsed/>
    <w:qFormat/>
    <w:uiPriority w:val="9"/>
    <w:pPr>
      <w:keepNext/>
      <w:keepLines/>
      <w:spacing w:before="200" w:after="0"/>
      <w:outlineLvl w:val="5"/>
    </w:pPr>
    <w:rPr>
      <w:rFonts w:asciiTheme="majorHAnsi" w:hAnsiTheme="majorHAnsi" w:eastAsiaTheme="majorEastAsia" w:cstheme="majorBidi"/>
      <w:i/>
      <w:iCs/>
      <w:color w:val="243F60"/>
    </w:rPr>
  </w:style>
  <w:style w:type="paragraph" w:styleId="9">
    <w:name w:val="heading 7"/>
    <w:basedOn w:val="1"/>
    <w:next w:val="1"/>
    <w:link w:val="153"/>
    <w:semiHidden/>
    <w:unhideWhenUsed/>
    <w:qFormat/>
    <w:uiPriority w:val="9"/>
    <w:pPr>
      <w:keepNext/>
      <w:keepLines/>
      <w:spacing w:before="200" w:after="0"/>
      <w:outlineLvl w:val="6"/>
    </w:pPr>
    <w:rPr>
      <w:rFonts w:asciiTheme="majorHAnsi" w:hAnsiTheme="majorHAnsi" w:eastAsiaTheme="majorEastAsia" w:cstheme="majorBidi"/>
      <w:i/>
      <w:iCs/>
      <w:color w:val="404040"/>
    </w:rPr>
  </w:style>
  <w:style w:type="paragraph" w:styleId="10">
    <w:name w:val="heading 8"/>
    <w:basedOn w:val="1"/>
    <w:next w:val="1"/>
    <w:link w:val="154"/>
    <w:semiHidden/>
    <w:unhideWhenUsed/>
    <w:qFormat/>
    <w:uiPriority w:val="9"/>
    <w:pPr>
      <w:keepNext/>
      <w:keepLines/>
      <w:spacing w:before="200" w:after="0"/>
      <w:outlineLvl w:val="7"/>
    </w:pPr>
    <w:rPr>
      <w:rFonts w:asciiTheme="majorHAnsi" w:hAnsiTheme="majorHAnsi" w:eastAsiaTheme="majorEastAsia" w:cstheme="majorBidi"/>
      <w:color w:val="4F81BD"/>
      <w:sz w:val="20"/>
      <w:szCs w:val="20"/>
    </w:rPr>
  </w:style>
  <w:style w:type="paragraph" w:styleId="11">
    <w:name w:val="heading 9"/>
    <w:basedOn w:val="1"/>
    <w:next w:val="1"/>
    <w:link w:val="155"/>
    <w:semiHidden/>
    <w:unhideWhenUsed/>
    <w:qFormat/>
    <w:uiPriority w:val="9"/>
    <w:pPr>
      <w:keepNext/>
      <w:keepLines/>
      <w:spacing w:before="200" w:after="0"/>
      <w:outlineLvl w:val="8"/>
    </w:pPr>
    <w:rPr>
      <w:rFonts w:asciiTheme="majorHAnsi" w:hAnsiTheme="majorHAnsi" w:eastAsiaTheme="majorEastAsia" w:cstheme="majorBidi"/>
      <w:i/>
      <w:iCs/>
      <w:color w:val="404040"/>
      <w:sz w:val="20"/>
      <w:szCs w:val="20"/>
    </w:rPr>
  </w:style>
  <w:style w:type="character" w:default="1" w:styleId="132">
    <w:name w:val="Default Paragraph Font"/>
    <w:semiHidden/>
    <w:unhideWhenUsed/>
    <w:uiPriority w:val="1"/>
  </w:style>
  <w:style w:type="table" w:default="1" w:styleId="32">
    <w:name w:val="Normal Table"/>
    <w:semiHidden/>
    <w:unhideWhenUsed/>
    <w:uiPriority w:val="99"/>
    <w:tblPr>
      <w:tblCellMar>
        <w:top w:w="0" w:type="dxa"/>
        <w:left w:w="108" w:type="dxa"/>
        <w:bottom w:w="0" w:type="dxa"/>
        <w:right w:w="108" w:type="dxa"/>
      </w:tblCellMar>
    </w:tblPr>
  </w:style>
  <w:style w:type="paragraph" w:styleId="2">
    <w:name w:val="macro"/>
    <w:link w:val="147"/>
    <w:unhideWhenUsed/>
    <w:qFormat/>
    <w:uiPriority w:val="99"/>
    <w:pPr>
      <w:shd w:val="clear" w:color="auto" w:fill="auto"/>
      <w:tabs>
        <w:tab w:val="left" w:pos="576"/>
        <w:tab w:val="left" w:pos="1152"/>
        <w:tab w:val="left" w:pos="1728"/>
        <w:tab w:val="left" w:pos="2304"/>
        <w:tab w:val="left" w:pos="2880"/>
        <w:tab w:val="left" w:pos="3456"/>
        <w:tab w:val="left" w:pos="4032"/>
      </w:tabs>
      <w:spacing w:after="200" w:line="276" w:lineRule="auto"/>
    </w:pPr>
    <w:rPr>
      <w:rFonts w:ascii="Courier" w:hAnsi="Courier" w:eastAsiaTheme="minorEastAsia" w:cstheme="minorBidi"/>
      <w:sz w:val="20"/>
      <w:szCs w:val="20"/>
      <w:lang w:val="en-US" w:eastAsia="en-US" w:bidi="ar-SA"/>
    </w:rPr>
  </w:style>
  <w:style w:type="paragraph" w:styleId="12">
    <w:name w:val="List 3"/>
    <w:basedOn w:val="1"/>
    <w:unhideWhenUsed/>
    <w:qFormat/>
    <w:uiPriority w:val="99"/>
    <w:pPr>
      <w:ind w:left="1080" w:hanging="360"/>
      <w:contextualSpacing/>
    </w:pPr>
  </w:style>
  <w:style w:type="paragraph" w:styleId="13">
    <w:name w:val="List Number 2"/>
    <w:basedOn w:val="1"/>
    <w:unhideWhenUsed/>
    <w:uiPriority w:val="99"/>
    <w:pPr>
      <w:contextualSpacing/>
    </w:pPr>
  </w:style>
  <w:style w:type="paragraph" w:styleId="14">
    <w:name w:val="List Number"/>
    <w:basedOn w:val="1"/>
    <w:unhideWhenUsed/>
    <w:uiPriority w:val="99"/>
    <w:pPr>
      <w:contextualSpacing/>
    </w:pPr>
  </w:style>
  <w:style w:type="paragraph" w:styleId="15">
    <w:name w:val="caption"/>
    <w:basedOn w:val="1"/>
    <w:next w:val="1"/>
    <w:semiHidden/>
    <w:unhideWhenUsed/>
    <w:qFormat/>
    <w:uiPriority w:val="35"/>
    <w:pPr>
      <w:spacing w:line="240" w:lineRule="auto"/>
    </w:pPr>
    <w:rPr>
      <w:b/>
      <w:bCs/>
      <w:color w:val="4F81BD"/>
      <w:sz w:val="18"/>
      <w:szCs w:val="18"/>
    </w:rPr>
  </w:style>
  <w:style w:type="paragraph" w:styleId="16">
    <w:name w:val="List Bullet"/>
    <w:basedOn w:val="1"/>
    <w:unhideWhenUsed/>
    <w:uiPriority w:val="99"/>
    <w:pPr>
      <w:contextualSpacing/>
    </w:pPr>
  </w:style>
  <w:style w:type="paragraph" w:styleId="17">
    <w:name w:val="Body Text 3"/>
    <w:basedOn w:val="1"/>
    <w:link w:val="146"/>
    <w:unhideWhenUsed/>
    <w:uiPriority w:val="99"/>
    <w:pPr>
      <w:spacing w:after="120"/>
    </w:pPr>
    <w:rPr>
      <w:sz w:val="16"/>
      <w:szCs w:val="16"/>
    </w:rPr>
  </w:style>
  <w:style w:type="paragraph" w:styleId="18">
    <w:name w:val="List Bullet 3"/>
    <w:basedOn w:val="1"/>
    <w:unhideWhenUsed/>
    <w:qFormat/>
    <w:uiPriority w:val="99"/>
    <w:pPr>
      <w:contextualSpacing/>
    </w:pPr>
  </w:style>
  <w:style w:type="paragraph" w:styleId="19">
    <w:name w:val="Body Text"/>
    <w:basedOn w:val="1"/>
    <w:link w:val="144"/>
    <w:unhideWhenUsed/>
    <w:qFormat/>
    <w:uiPriority w:val="99"/>
    <w:pPr>
      <w:spacing w:after="120"/>
    </w:pPr>
  </w:style>
  <w:style w:type="paragraph" w:styleId="20">
    <w:name w:val="List Number 3"/>
    <w:basedOn w:val="1"/>
    <w:unhideWhenUsed/>
    <w:uiPriority w:val="99"/>
    <w:pPr>
      <w:contextualSpacing/>
    </w:pPr>
  </w:style>
  <w:style w:type="paragraph" w:styleId="21">
    <w:name w:val="List 2"/>
    <w:basedOn w:val="1"/>
    <w:unhideWhenUsed/>
    <w:uiPriority w:val="99"/>
    <w:pPr>
      <w:ind w:left="720" w:hanging="360"/>
      <w:contextualSpacing/>
    </w:pPr>
  </w:style>
  <w:style w:type="paragraph" w:styleId="22">
    <w:name w:val="List Continue"/>
    <w:basedOn w:val="1"/>
    <w:unhideWhenUsed/>
    <w:qFormat/>
    <w:uiPriority w:val="99"/>
    <w:pPr>
      <w:spacing w:after="120"/>
      <w:ind w:left="360"/>
      <w:contextualSpacing/>
    </w:pPr>
  </w:style>
  <w:style w:type="paragraph" w:styleId="23">
    <w:name w:val="List Bullet 2"/>
    <w:basedOn w:val="1"/>
    <w:unhideWhenUsed/>
    <w:uiPriority w:val="99"/>
    <w:pPr>
      <w:contextualSpacing/>
    </w:pPr>
  </w:style>
  <w:style w:type="paragraph" w:styleId="24">
    <w:name w:val="footer"/>
    <w:basedOn w:val="1"/>
    <w:link w:val="136"/>
    <w:unhideWhenUsed/>
    <w:uiPriority w:val="99"/>
    <w:pPr>
      <w:tabs>
        <w:tab w:val="center" w:pos="4680"/>
        <w:tab w:val="right" w:pos="9360"/>
      </w:tabs>
      <w:spacing w:after="0" w:line="240" w:lineRule="auto"/>
    </w:pPr>
  </w:style>
  <w:style w:type="paragraph" w:styleId="25">
    <w:name w:val="header"/>
    <w:basedOn w:val="1"/>
    <w:link w:val="135"/>
    <w:unhideWhenUsed/>
    <w:uiPriority w:val="99"/>
    <w:pPr>
      <w:tabs>
        <w:tab w:val="center" w:pos="4680"/>
        <w:tab w:val="right" w:pos="9360"/>
      </w:tabs>
      <w:spacing w:after="0" w:line="240" w:lineRule="auto"/>
    </w:pPr>
  </w:style>
  <w:style w:type="paragraph" w:styleId="26">
    <w:name w:val="Subtitle"/>
    <w:basedOn w:val="1"/>
    <w:next w:val="1"/>
    <w:link w:val="142"/>
    <w:qFormat/>
    <w:uiPriority w:val="11"/>
    <w:rPr>
      <w:rFonts w:asciiTheme="majorHAnsi" w:hAnsiTheme="majorHAnsi" w:eastAsiaTheme="majorEastAsia" w:cstheme="majorBidi"/>
      <w:i/>
      <w:iCs/>
      <w:color w:val="4F81BD"/>
      <w:spacing w:val="15"/>
      <w:sz w:val="24"/>
      <w:szCs w:val="24"/>
    </w:rPr>
  </w:style>
  <w:style w:type="paragraph" w:styleId="27">
    <w:name w:val="List"/>
    <w:basedOn w:val="1"/>
    <w:unhideWhenUsed/>
    <w:qFormat/>
    <w:uiPriority w:val="99"/>
    <w:pPr>
      <w:ind w:left="360" w:hanging="360"/>
      <w:contextualSpacing/>
    </w:pPr>
  </w:style>
  <w:style w:type="paragraph" w:styleId="28">
    <w:name w:val="Body Text 2"/>
    <w:basedOn w:val="1"/>
    <w:link w:val="145"/>
    <w:unhideWhenUsed/>
    <w:uiPriority w:val="99"/>
    <w:pPr>
      <w:spacing w:after="120" w:line="480" w:lineRule="auto"/>
    </w:pPr>
  </w:style>
  <w:style w:type="paragraph" w:styleId="29">
    <w:name w:val="List Continue 2"/>
    <w:basedOn w:val="1"/>
    <w:unhideWhenUsed/>
    <w:uiPriority w:val="99"/>
    <w:pPr>
      <w:spacing w:after="120"/>
      <w:ind w:left="720"/>
      <w:contextualSpacing/>
    </w:pPr>
  </w:style>
  <w:style w:type="paragraph" w:styleId="30">
    <w:name w:val="List Continue 3"/>
    <w:basedOn w:val="1"/>
    <w:unhideWhenUsed/>
    <w:qFormat/>
    <w:uiPriority w:val="99"/>
    <w:pPr>
      <w:spacing w:after="120"/>
      <w:ind w:left="1080"/>
      <w:contextualSpacing/>
    </w:pPr>
  </w:style>
  <w:style w:type="paragraph" w:styleId="31">
    <w:name w:val="Title"/>
    <w:basedOn w:val="1"/>
    <w:next w:val="1"/>
    <w:link w:val="141"/>
    <w:qFormat/>
    <w:uiPriority w:val="10"/>
    <w:pPr>
      <w:pBdr>
        <w:bottom w:val="single" w:color="4F81BD" w:sz="8" w:space="4"/>
      </w:pBdr>
      <w:spacing w:after="300" w:line="240" w:lineRule="auto"/>
      <w:contextualSpacing/>
    </w:pPr>
    <w:rPr>
      <w:rFonts w:asciiTheme="majorHAnsi" w:hAnsiTheme="majorHAnsi" w:eastAsiaTheme="majorEastAsia" w:cstheme="majorBidi"/>
      <w:color w:val="17365D"/>
      <w:spacing w:val="5"/>
      <w:kern w:val="28"/>
      <w:sz w:val="52"/>
      <w:szCs w:val="52"/>
    </w:rPr>
  </w:style>
  <w:style w:type="table" w:styleId="33">
    <w:name w:val="Table Grid"/>
    <w:basedOn w:val="32"/>
    <w:qFormat/>
    <w:uiPriority w:val="59"/>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34">
    <w:name w:val="Light Shading"/>
    <w:basedOn w:val="32"/>
    <w:qFormat/>
    <w:uiPriority w:val="60"/>
    <w:pPr>
      <w:spacing w:after="0" w:line="240" w:lineRule="auto"/>
    </w:pPr>
    <w:rPr>
      <w:color w:val="000000"/>
    </w:rPr>
    <w:tblPr>
      <w:tblBorders>
        <w:top w:val="single" w:color="auto" w:sz="8" w:space="0"/>
        <w:bottom w:val="single" w:color="auto" w:sz="8" w:space="0"/>
      </w:tblBorders>
    </w:tblPr>
    <w:tblStylePr w:type="firstRow">
      <w:pPr>
        <w:spacing w:before="0" w:after="0" w:line="240" w:lineRule="auto"/>
      </w:pPr>
      <w:rPr>
        <w:b/>
        <w:bCs/>
      </w:rPr>
      <w:tblPr/>
      <w:tcPr>
        <w:tcBorders>
          <w:top w:val="single" w:color="000000" w:themeColor="text1" w:sz="8" w:space="0"/>
          <w:left w:val="nil"/>
          <w:bottom w:val="single" w:color="000000" w:themeColor="text1" w:sz="8" w:space="0"/>
          <w:right w:val="nil"/>
          <w:insideH w:val="nil"/>
          <w:insideV w:val="nil"/>
        </w:tcBorders>
      </w:tcPr>
    </w:tblStylePr>
    <w:tblStylePr w:type="lastRow">
      <w:pPr>
        <w:spacing w:before="0" w:after="0" w:line="240" w:lineRule="auto"/>
      </w:pPr>
      <w:rPr>
        <w:b/>
        <w:bCs/>
      </w:rPr>
      <w:tblPr/>
      <w:tcPr>
        <w:tcBorders>
          <w:top w:val="single" w:color="000000" w:themeColor="text1" w:sz="8" w:space="0"/>
          <w:left w:val="nil"/>
          <w:bottom w:val="single" w:color="000000" w:themeColor="text1"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styleId="35">
    <w:name w:val="Light Shading Accent 1"/>
    <w:basedOn w:val="32"/>
    <w:uiPriority w:val="60"/>
    <w:pPr>
      <w:spacing w:after="0" w:line="240" w:lineRule="auto"/>
    </w:pPr>
    <w:rPr>
      <w:color w:val="365F91"/>
    </w:rPr>
    <w:tblPr>
      <w:tblBorders>
        <w:top w:val="single" w:color="4F81BD" w:sz="8" w:space="0"/>
        <w:bottom w:val="single" w:color="4F81BD" w:sz="8" w:space="0"/>
      </w:tblBorders>
    </w:tblPr>
    <w:tblStylePr w:type="firstRow">
      <w:pPr>
        <w:spacing w:before="0" w:after="0" w:line="240" w:lineRule="auto"/>
      </w:pPr>
      <w:rPr>
        <w:b/>
        <w:bCs/>
      </w:rPr>
      <w:tblPr/>
      <w:tcPr>
        <w:tcBorders>
          <w:top w:val="single" w:color="4F81BD" w:themeColor="accent1" w:sz="8" w:space="0"/>
          <w:left w:val="nil"/>
          <w:bottom w:val="single" w:color="4F81BD" w:themeColor="accent1" w:sz="8" w:space="0"/>
          <w:right w:val="nil"/>
          <w:insideH w:val="nil"/>
          <w:insideV w:val="nil"/>
        </w:tcBorders>
      </w:tcPr>
    </w:tblStylePr>
    <w:tblStylePr w:type="lastRow">
      <w:pPr>
        <w:spacing w:before="0" w:after="0" w:line="240" w:lineRule="auto"/>
      </w:pPr>
      <w:rPr>
        <w:b/>
        <w:bCs/>
      </w:rPr>
      <w:tblPr/>
      <w:tcPr>
        <w:tcBorders>
          <w:top w:val="single" w:color="4F81BD" w:themeColor="accent1" w:sz="8" w:space="0"/>
          <w:left w:val="nil"/>
          <w:bottom w:val="single" w:color="4F81BD" w:themeColor="accent1"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styleId="36">
    <w:name w:val="Light Shading Accent 2"/>
    <w:basedOn w:val="32"/>
    <w:uiPriority w:val="60"/>
    <w:pPr>
      <w:spacing w:after="0" w:line="240" w:lineRule="auto"/>
    </w:pPr>
    <w:rPr>
      <w:color w:val="943634"/>
    </w:rPr>
    <w:tblPr>
      <w:tblBorders>
        <w:top w:val="single" w:color="C0504D" w:sz="8" w:space="0"/>
        <w:bottom w:val="single" w:color="C0504D" w:sz="8" w:space="0"/>
      </w:tblBorders>
    </w:tblPr>
    <w:tblStylePr w:type="firstRow">
      <w:pPr>
        <w:spacing w:before="0" w:after="0" w:line="240" w:lineRule="auto"/>
      </w:pPr>
      <w:rPr>
        <w:b/>
        <w:bCs/>
      </w:rPr>
      <w:tblPr/>
      <w:tcPr>
        <w:tcBorders>
          <w:top w:val="single" w:color="C0504D" w:themeColor="accent2" w:sz="8" w:space="0"/>
          <w:left w:val="nil"/>
          <w:bottom w:val="single" w:color="C0504D" w:themeColor="accent2" w:sz="8" w:space="0"/>
          <w:right w:val="nil"/>
          <w:insideH w:val="nil"/>
          <w:insideV w:val="nil"/>
        </w:tcBorders>
      </w:tcPr>
    </w:tblStylePr>
    <w:tblStylePr w:type="lastRow">
      <w:pPr>
        <w:spacing w:before="0" w:after="0" w:line="240" w:lineRule="auto"/>
      </w:pPr>
      <w:rPr>
        <w:b/>
        <w:bCs/>
      </w:rPr>
      <w:tblPr/>
      <w:tcPr>
        <w:tcBorders>
          <w:top w:val="single" w:color="C0504D" w:themeColor="accent2" w:sz="8" w:space="0"/>
          <w:left w:val="nil"/>
          <w:bottom w:val="single" w:color="C0504D" w:themeColor="accent2"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cPr>
    </w:tblStylePr>
    <w:tblStylePr w:type="band1Horz">
      <w:tblPr/>
      <w:tcPr>
        <w:tcBorders>
          <w:left w:val="nil"/>
          <w:right w:val="nil"/>
          <w:insideH w:val="nil"/>
          <w:insideV w:val="nil"/>
        </w:tcBorders>
        <w:shd w:val="clear" w:color="auto" w:fill="EFD3D2"/>
      </w:tcPr>
    </w:tblStylePr>
  </w:style>
  <w:style w:type="table" w:styleId="37">
    <w:name w:val="Light Shading Accent 3"/>
    <w:basedOn w:val="32"/>
    <w:uiPriority w:val="60"/>
    <w:pPr>
      <w:spacing w:after="0" w:line="240" w:lineRule="auto"/>
    </w:pPr>
    <w:rPr>
      <w:color w:val="76923C"/>
    </w:rPr>
    <w:tblPr>
      <w:tblBorders>
        <w:top w:val="single" w:color="9BBB59" w:sz="8" w:space="0"/>
        <w:bottom w:val="single" w:color="9BBB59" w:sz="8" w:space="0"/>
      </w:tblBorders>
    </w:tblPr>
    <w:tblStylePr w:type="firstRow">
      <w:pPr>
        <w:spacing w:before="0" w:after="0" w:line="240" w:lineRule="auto"/>
      </w:pPr>
      <w:rPr>
        <w:b/>
        <w:bCs/>
      </w:rPr>
      <w:tblPr/>
      <w:tcPr>
        <w:tcBorders>
          <w:top w:val="single" w:color="9BBB59" w:themeColor="accent3" w:sz="8" w:space="0"/>
          <w:left w:val="nil"/>
          <w:bottom w:val="single" w:color="9BBB59" w:themeColor="accent3" w:sz="8" w:space="0"/>
          <w:right w:val="nil"/>
          <w:insideH w:val="nil"/>
          <w:insideV w:val="nil"/>
        </w:tcBorders>
      </w:tcPr>
    </w:tblStylePr>
    <w:tblStylePr w:type="lastRow">
      <w:pPr>
        <w:spacing w:before="0" w:after="0" w:line="240" w:lineRule="auto"/>
      </w:pPr>
      <w:rPr>
        <w:b/>
        <w:bCs/>
      </w:rPr>
      <w:tblPr/>
      <w:tcPr>
        <w:tcBorders>
          <w:top w:val="single" w:color="9BBB59" w:themeColor="accent3" w:sz="8" w:space="0"/>
          <w:left w:val="nil"/>
          <w:bottom w:val="single" w:color="9BBB59" w:themeColor="accent3"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styleId="38">
    <w:name w:val="Light Shading Accent 4"/>
    <w:basedOn w:val="32"/>
    <w:uiPriority w:val="60"/>
    <w:pPr>
      <w:spacing w:after="0" w:line="240" w:lineRule="auto"/>
    </w:pPr>
    <w:rPr>
      <w:color w:val="5F497A"/>
    </w:rPr>
    <w:tblPr>
      <w:tblBorders>
        <w:top w:val="single" w:color="8064A2" w:sz="8" w:space="0"/>
        <w:bottom w:val="single" w:color="8064A2" w:sz="8" w:space="0"/>
      </w:tblBorders>
    </w:tblPr>
    <w:tblStylePr w:type="firstRow">
      <w:pPr>
        <w:spacing w:before="0" w:after="0" w:line="240" w:lineRule="auto"/>
      </w:pPr>
      <w:rPr>
        <w:b/>
        <w:bCs/>
      </w:rPr>
      <w:tblPr/>
      <w:tcPr>
        <w:tcBorders>
          <w:top w:val="single" w:color="8064A2" w:themeColor="accent4" w:sz="8" w:space="0"/>
          <w:left w:val="nil"/>
          <w:bottom w:val="single" w:color="8064A2" w:themeColor="accent4" w:sz="8" w:space="0"/>
          <w:right w:val="nil"/>
          <w:insideH w:val="nil"/>
          <w:insideV w:val="nil"/>
        </w:tcBorders>
      </w:tcPr>
    </w:tblStylePr>
    <w:tblStylePr w:type="lastRow">
      <w:pPr>
        <w:spacing w:before="0" w:after="0" w:line="240" w:lineRule="auto"/>
      </w:pPr>
      <w:rPr>
        <w:b/>
        <w:bCs/>
      </w:rPr>
      <w:tblPr/>
      <w:tcPr>
        <w:tcBorders>
          <w:top w:val="single" w:color="8064A2" w:themeColor="accent4" w:sz="8" w:space="0"/>
          <w:left w:val="nil"/>
          <w:bottom w:val="single" w:color="8064A2" w:themeColor="accent4"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styleId="39">
    <w:name w:val="Light Shading Accent 5"/>
    <w:basedOn w:val="32"/>
    <w:uiPriority w:val="60"/>
    <w:pPr>
      <w:spacing w:after="0" w:line="240" w:lineRule="auto"/>
    </w:pPr>
    <w:rPr>
      <w:color w:val="31849B"/>
    </w:rPr>
    <w:tblPr>
      <w:tblBorders>
        <w:top w:val="single" w:color="4BACC6" w:sz="8" w:space="0"/>
        <w:bottom w:val="single" w:color="4BACC6" w:sz="8" w:space="0"/>
      </w:tblBorders>
    </w:tblPr>
    <w:tblStylePr w:type="firstRow">
      <w:pPr>
        <w:spacing w:before="0" w:after="0" w:line="240" w:lineRule="auto"/>
      </w:pPr>
      <w:rPr>
        <w:b/>
        <w:bCs/>
      </w:rPr>
      <w:tblPr/>
      <w:tcPr>
        <w:tcBorders>
          <w:top w:val="single" w:color="4BACC6" w:themeColor="accent5" w:sz="8" w:space="0"/>
          <w:left w:val="nil"/>
          <w:bottom w:val="single" w:color="4BACC6" w:themeColor="accent5" w:sz="8" w:space="0"/>
          <w:right w:val="nil"/>
          <w:insideH w:val="nil"/>
          <w:insideV w:val="nil"/>
        </w:tcBorders>
      </w:tcPr>
    </w:tblStylePr>
    <w:tblStylePr w:type="lastRow">
      <w:pPr>
        <w:spacing w:before="0" w:after="0" w:line="240" w:lineRule="auto"/>
      </w:pPr>
      <w:rPr>
        <w:b/>
        <w:bCs/>
      </w:rPr>
      <w:tblPr/>
      <w:tcPr>
        <w:tcBorders>
          <w:top w:val="single" w:color="4BACC6" w:themeColor="accent5" w:sz="8" w:space="0"/>
          <w:left w:val="nil"/>
          <w:bottom w:val="single" w:color="4BACC6" w:themeColor="accent5"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cPr>
    </w:tblStylePr>
    <w:tblStylePr w:type="band1Horz">
      <w:tblPr/>
      <w:tcPr>
        <w:tcBorders>
          <w:left w:val="nil"/>
          <w:right w:val="nil"/>
          <w:insideH w:val="nil"/>
          <w:insideV w:val="nil"/>
        </w:tcBorders>
        <w:shd w:val="clear" w:color="auto" w:fill="D2EAF1"/>
      </w:tcPr>
    </w:tblStylePr>
  </w:style>
  <w:style w:type="table" w:styleId="40">
    <w:name w:val="Light Shading Accent 6"/>
    <w:basedOn w:val="32"/>
    <w:qFormat/>
    <w:uiPriority w:val="60"/>
    <w:pPr>
      <w:spacing w:after="0" w:line="240" w:lineRule="auto"/>
    </w:pPr>
    <w:rPr>
      <w:color w:val="E36C0A"/>
    </w:rPr>
    <w:tblPr>
      <w:tblBorders>
        <w:top w:val="single" w:color="F79646" w:sz="8" w:space="0"/>
        <w:bottom w:val="single" w:color="F79646" w:sz="8" w:space="0"/>
      </w:tblBorders>
    </w:tblPr>
    <w:tblStylePr w:type="firstRow">
      <w:pPr>
        <w:spacing w:before="0" w:after="0" w:line="240" w:lineRule="auto"/>
      </w:pPr>
      <w:rPr>
        <w:b/>
        <w:bCs/>
      </w:rPr>
      <w:tblPr/>
      <w:tcPr>
        <w:tcBorders>
          <w:top w:val="single" w:color="F79646" w:themeColor="accent6" w:sz="8" w:space="0"/>
          <w:left w:val="nil"/>
          <w:bottom w:val="single" w:color="F79646" w:themeColor="accent6" w:sz="8" w:space="0"/>
          <w:right w:val="nil"/>
          <w:insideH w:val="nil"/>
          <w:insideV w:val="nil"/>
        </w:tcBorders>
      </w:tcPr>
    </w:tblStylePr>
    <w:tblStylePr w:type="lastRow">
      <w:pPr>
        <w:spacing w:before="0" w:after="0" w:line="240" w:lineRule="auto"/>
      </w:pPr>
      <w:rPr>
        <w:b/>
        <w:bCs/>
      </w:rPr>
      <w:tblPr/>
      <w:tcPr>
        <w:tcBorders>
          <w:top w:val="single" w:color="F79646" w:themeColor="accent6" w:sz="8" w:space="0"/>
          <w:left w:val="nil"/>
          <w:bottom w:val="single" w:color="F79646" w:themeColor="accent6"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cPr>
    </w:tblStylePr>
    <w:tblStylePr w:type="band1Horz">
      <w:tblPr/>
      <w:tcPr>
        <w:tcBorders>
          <w:left w:val="nil"/>
          <w:right w:val="nil"/>
          <w:insideH w:val="nil"/>
          <w:insideV w:val="nil"/>
        </w:tcBorders>
        <w:shd w:val="clear" w:color="auto" w:fill="FDE4D0"/>
      </w:tcPr>
    </w:tblStylePr>
  </w:style>
  <w:style w:type="table" w:styleId="41">
    <w:name w:val="Light List"/>
    <w:basedOn w:val="32"/>
    <w:qFormat/>
    <w:uiPriority w:val="61"/>
    <w:pPr>
      <w:spacing w:after="0" w:line="240" w:lineRule="auto"/>
    </w:pPr>
    <w:tblPr>
      <w:tblBorders>
        <w:top w:val="single" w:color="auto" w:sz="8" w:space="0"/>
        <w:left w:val="single" w:color="auto" w:sz="8" w:space="0"/>
        <w:bottom w:val="single" w:color="auto" w:sz="8" w:space="0"/>
        <w:right w:val="single" w:color="auto"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000000"/>
      </w:tcPr>
    </w:tblStylePr>
    <w:tblStylePr w:type="lastRow">
      <w:pPr>
        <w:spacing w:before="0" w:after="0" w:line="240" w:lineRule="auto"/>
      </w:pPr>
      <w:rPr>
        <w:b/>
        <w:bCs/>
      </w:rPr>
      <w:tblPr/>
      <w:tcPr>
        <w:tcBorders>
          <w:top w:val="double" w:color="000000" w:themeColor="text1" w:sz="6" w:space="0"/>
          <w:left w:val="single" w:color="000000" w:themeColor="text1" w:sz="8" w:space="0"/>
          <w:bottom w:val="single" w:color="000000" w:themeColor="text1" w:sz="8" w:space="0"/>
          <w:right w:val="single" w:color="000000" w:themeColor="text1" w:sz="8" w:space="0"/>
        </w:tcBorders>
      </w:tcPr>
    </w:tblStylePr>
    <w:tblStylePr w:type="firstCol">
      <w:rPr>
        <w:b/>
        <w:bCs/>
      </w:rPr>
    </w:tblStylePr>
    <w:tblStylePr w:type="lastCol">
      <w:rPr>
        <w:b/>
        <w:bCs/>
      </w:rPr>
    </w:tblStylePr>
    <w:tblStylePr w:type="band1Vert">
      <w:tblPr/>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tblStylePr w:type="band1Horz">
      <w:tblPr/>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style>
  <w:style w:type="table" w:styleId="42">
    <w:name w:val="Light List Accent 1"/>
    <w:basedOn w:val="32"/>
    <w:qFormat/>
    <w:uiPriority w:val="61"/>
    <w:pPr>
      <w:spacing w:after="0" w:line="240" w:lineRule="auto"/>
    </w:pPr>
    <w:tblPr>
      <w:tblBorders>
        <w:top w:val="single" w:color="4F81BD" w:sz="8" w:space="0"/>
        <w:left w:val="single" w:color="4F81BD" w:sz="8" w:space="0"/>
        <w:bottom w:val="single" w:color="4F81BD" w:sz="8" w:space="0"/>
        <w:right w:val="single" w:color="4F81BD"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4F81BD"/>
      </w:tcPr>
    </w:tblStylePr>
    <w:tblStylePr w:type="lastRow">
      <w:pPr>
        <w:spacing w:before="0" w:after="0" w:line="240" w:lineRule="auto"/>
      </w:pPr>
      <w:rPr>
        <w:b/>
        <w:bCs/>
      </w:rPr>
      <w:tblPr/>
      <w:tcPr>
        <w:tcBorders>
          <w:top w:val="double" w:color="4F81BD" w:themeColor="accent1" w:sz="6" w:space="0"/>
          <w:left w:val="single" w:color="4F81BD" w:themeColor="accent1" w:sz="8" w:space="0"/>
          <w:bottom w:val="single" w:color="4F81BD" w:themeColor="accent1" w:sz="8" w:space="0"/>
          <w:right w:val="single" w:color="4F81BD" w:themeColor="accent1" w:sz="8" w:space="0"/>
        </w:tcBorders>
      </w:tcPr>
    </w:tblStylePr>
    <w:tblStylePr w:type="firstCol">
      <w:rPr>
        <w:b/>
        <w:bCs/>
      </w:rPr>
    </w:tblStylePr>
    <w:tblStylePr w:type="lastCol">
      <w:rPr>
        <w:b/>
        <w:bCs/>
      </w:rPr>
    </w:tblStylePr>
    <w:tblStylePr w:type="band1Vert">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tblStylePr w:type="band1Horz">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style>
  <w:style w:type="table" w:styleId="43">
    <w:name w:val="Light List Accent 2"/>
    <w:basedOn w:val="32"/>
    <w:uiPriority w:val="61"/>
    <w:pPr>
      <w:spacing w:after="0" w:line="240" w:lineRule="auto"/>
    </w:pPr>
    <w:tblPr>
      <w:tblBorders>
        <w:top w:val="single" w:color="C0504D" w:sz="8" w:space="0"/>
        <w:left w:val="single" w:color="C0504D" w:sz="8" w:space="0"/>
        <w:bottom w:val="single" w:color="C0504D" w:sz="8" w:space="0"/>
        <w:right w:val="single" w:color="C0504D"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C0504D"/>
      </w:tcPr>
    </w:tblStylePr>
    <w:tblStylePr w:type="lastRow">
      <w:pPr>
        <w:spacing w:before="0" w:after="0" w:line="240" w:lineRule="auto"/>
      </w:pPr>
      <w:rPr>
        <w:b/>
        <w:bCs/>
      </w:rPr>
      <w:tblPr/>
      <w:tcPr>
        <w:tcBorders>
          <w:top w:val="double" w:color="C0504D" w:themeColor="accent2" w:sz="6" w:space="0"/>
          <w:left w:val="single" w:color="C0504D" w:themeColor="accent2" w:sz="8" w:space="0"/>
          <w:bottom w:val="single" w:color="C0504D" w:themeColor="accent2" w:sz="8" w:space="0"/>
          <w:right w:val="single" w:color="C0504D" w:themeColor="accent2" w:sz="8" w:space="0"/>
        </w:tcBorders>
      </w:tcPr>
    </w:tblStylePr>
    <w:tblStylePr w:type="firstCol">
      <w:rPr>
        <w:b/>
        <w:bCs/>
      </w:rPr>
    </w:tblStylePr>
    <w:tblStylePr w:type="lastCol">
      <w:rPr>
        <w:b/>
        <w:bCs/>
      </w:rPr>
    </w:tblStylePr>
    <w:tblStylePr w:type="band1Vert">
      <w:tblPr/>
      <w:tcPr>
        <w:tcBorders>
          <w:top w:val="single" w:color="C0504D" w:themeColor="accent2" w:sz="8" w:space="0"/>
          <w:left w:val="single" w:color="C0504D" w:themeColor="accent2" w:sz="8" w:space="0"/>
          <w:bottom w:val="single" w:color="C0504D" w:themeColor="accent2" w:sz="8" w:space="0"/>
          <w:right w:val="single" w:color="C0504D" w:themeColor="accent2" w:sz="8" w:space="0"/>
        </w:tcBorders>
      </w:tcPr>
    </w:tblStylePr>
    <w:tblStylePr w:type="band1Horz">
      <w:tblPr/>
      <w:tcPr>
        <w:tcBorders>
          <w:top w:val="single" w:color="C0504D" w:themeColor="accent2" w:sz="8" w:space="0"/>
          <w:left w:val="single" w:color="C0504D" w:themeColor="accent2" w:sz="8" w:space="0"/>
          <w:bottom w:val="single" w:color="C0504D" w:themeColor="accent2" w:sz="8" w:space="0"/>
          <w:right w:val="single" w:color="C0504D" w:themeColor="accent2" w:sz="8" w:space="0"/>
        </w:tcBorders>
      </w:tcPr>
    </w:tblStylePr>
  </w:style>
  <w:style w:type="table" w:styleId="44">
    <w:name w:val="Light List Accent 3"/>
    <w:basedOn w:val="32"/>
    <w:qFormat/>
    <w:uiPriority w:val="61"/>
    <w:pPr>
      <w:spacing w:after="0" w:line="240" w:lineRule="auto"/>
    </w:pPr>
    <w:tblPr>
      <w:tblBorders>
        <w:top w:val="single" w:color="9BBB59" w:sz="8" w:space="0"/>
        <w:left w:val="single" w:color="9BBB59" w:sz="8" w:space="0"/>
        <w:bottom w:val="single" w:color="9BBB59" w:sz="8" w:space="0"/>
        <w:right w:val="single" w:color="9BBB59"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9BBB59"/>
      </w:tcPr>
    </w:tblStylePr>
    <w:tblStylePr w:type="lastRow">
      <w:pPr>
        <w:spacing w:before="0" w:after="0" w:line="240" w:lineRule="auto"/>
      </w:pPr>
      <w:rPr>
        <w:b/>
        <w:bCs/>
      </w:rPr>
      <w:tblPr/>
      <w:tcPr>
        <w:tcBorders>
          <w:top w:val="double" w:color="9BBB59" w:themeColor="accent3" w:sz="6" w:space="0"/>
          <w:left w:val="single" w:color="9BBB59" w:themeColor="accent3" w:sz="8" w:space="0"/>
          <w:bottom w:val="single" w:color="9BBB59" w:themeColor="accent3" w:sz="8" w:space="0"/>
          <w:right w:val="single" w:color="9BBB59" w:themeColor="accent3" w:sz="8" w:space="0"/>
        </w:tcBorders>
      </w:tcPr>
    </w:tblStylePr>
    <w:tblStylePr w:type="firstCol">
      <w:rPr>
        <w:b/>
        <w:bCs/>
      </w:rPr>
    </w:tblStylePr>
    <w:tblStylePr w:type="lastCol">
      <w:rPr>
        <w:b/>
        <w:bCs/>
      </w:rPr>
    </w:tblStylePr>
    <w:tblStylePr w:type="band1Vert">
      <w:tblPr/>
      <w:tcPr>
        <w:tcBorders>
          <w:top w:val="single" w:color="9BBB59" w:themeColor="accent3" w:sz="8" w:space="0"/>
          <w:left w:val="single" w:color="9BBB59" w:themeColor="accent3" w:sz="8" w:space="0"/>
          <w:bottom w:val="single" w:color="9BBB59" w:themeColor="accent3" w:sz="8" w:space="0"/>
          <w:right w:val="single" w:color="9BBB59" w:themeColor="accent3" w:sz="8" w:space="0"/>
        </w:tcBorders>
      </w:tcPr>
    </w:tblStylePr>
    <w:tblStylePr w:type="band1Horz">
      <w:tblPr/>
      <w:tcPr>
        <w:tcBorders>
          <w:top w:val="single" w:color="9BBB59" w:themeColor="accent3" w:sz="8" w:space="0"/>
          <w:left w:val="single" w:color="9BBB59" w:themeColor="accent3" w:sz="8" w:space="0"/>
          <w:bottom w:val="single" w:color="9BBB59" w:themeColor="accent3" w:sz="8" w:space="0"/>
          <w:right w:val="single" w:color="9BBB59" w:themeColor="accent3" w:sz="8" w:space="0"/>
        </w:tcBorders>
      </w:tcPr>
    </w:tblStylePr>
  </w:style>
  <w:style w:type="table" w:styleId="45">
    <w:name w:val="Light List Accent 4"/>
    <w:basedOn w:val="32"/>
    <w:uiPriority w:val="61"/>
    <w:pPr>
      <w:spacing w:after="0" w:line="240" w:lineRule="auto"/>
    </w:pPr>
    <w:tblPr>
      <w:tblBorders>
        <w:top w:val="single" w:color="8064A2" w:sz="8" w:space="0"/>
        <w:left w:val="single" w:color="8064A2" w:sz="8" w:space="0"/>
        <w:bottom w:val="single" w:color="8064A2" w:sz="8" w:space="0"/>
        <w:right w:val="single" w:color="8064A2"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8064A2"/>
      </w:tcPr>
    </w:tblStylePr>
    <w:tblStylePr w:type="lastRow">
      <w:pPr>
        <w:spacing w:before="0" w:after="0" w:line="240" w:lineRule="auto"/>
      </w:pPr>
      <w:rPr>
        <w:b/>
        <w:bCs/>
      </w:rPr>
      <w:tblPr/>
      <w:tcPr>
        <w:tcBorders>
          <w:top w:val="double" w:color="8064A2" w:themeColor="accent4" w:sz="6" w:space="0"/>
          <w:left w:val="single" w:color="8064A2" w:themeColor="accent4" w:sz="8" w:space="0"/>
          <w:bottom w:val="single" w:color="8064A2" w:themeColor="accent4" w:sz="8" w:space="0"/>
          <w:right w:val="single" w:color="8064A2" w:themeColor="accent4" w:sz="8" w:space="0"/>
        </w:tcBorders>
      </w:tcPr>
    </w:tblStylePr>
    <w:tblStylePr w:type="firstCol">
      <w:rPr>
        <w:b/>
        <w:bCs/>
      </w:rPr>
    </w:tblStylePr>
    <w:tblStylePr w:type="lastCol">
      <w:rPr>
        <w:b/>
        <w:bCs/>
      </w:rPr>
    </w:tblStylePr>
    <w:tblStylePr w:type="band1Vert">
      <w:tblPr/>
      <w:tcPr>
        <w:tcBorders>
          <w:top w:val="single" w:color="8064A2" w:themeColor="accent4" w:sz="8" w:space="0"/>
          <w:left w:val="single" w:color="8064A2" w:themeColor="accent4" w:sz="8" w:space="0"/>
          <w:bottom w:val="single" w:color="8064A2" w:themeColor="accent4" w:sz="8" w:space="0"/>
          <w:right w:val="single" w:color="8064A2" w:themeColor="accent4" w:sz="8" w:space="0"/>
        </w:tcBorders>
      </w:tcPr>
    </w:tblStylePr>
    <w:tblStylePr w:type="band1Horz">
      <w:tblPr/>
      <w:tcPr>
        <w:tcBorders>
          <w:top w:val="single" w:color="8064A2" w:themeColor="accent4" w:sz="8" w:space="0"/>
          <w:left w:val="single" w:color="8064A2" w:themeColor="accent4" w:sz="8" w:space="0"/>
          <w:bottom w:val="single" w:color="8064A2" w:themeColor="accent4" w:sz="8" w:space="0"/>
          <w:right w:val="single" w:color="8064A2" w:themeColor="accent4" w:sz="8" w:space="0"/>
        </w:tcBorders>
      </w:tcPr>
    </w:tblStylePr>
  </w:style>
  <w:style w:type="table" w:styleId="46">
    <w:name w:val="Light List Accent 5"/>
    <w:basedOn w:val="32"/>
    <w:qFormat/>
    <w:uiPriority w:val="61"/>
    <w:pPr>
      <w:spacing w:after="0" w:line="240" w:lineRule="auto"/>
    </w:pPr>
    <w:tblPr>
      <w:tblBorders>
        <w:top w:val="single" w:color="4BACC6" w:sz="8" w:space="0"/>
        <w:left w:val="single" w:color="4BACC6" w:sz="8" w:space="0"/>
        <w:bottom w:val="single" w:color="4BACC6" w:sz="8" w:space="0"/>
        <w:right w:val="single" w:color="4BACC6"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4BACC6"/>
      </w:tcPr>
    </w:tblStylePr>
    <w:tblStylePr w:type="lastRow">
      <w:pPr>
        <w:spacing w:before="0" w:after="0" w:line="240" w:lineRule="auto"/>
      </w:pPr>
      <w:rPr>
        <w:b/>
        <w:bCs/>
      </w:rPr>
      <w:tblPr/>
      <w:tcPr>
        <w:tcBorders>
          <w:top w:val="double" w:color="4BACC6" w:themeColor="accent5" w:sz="6" w:space="0"/>
          <w:left w:val="single" w:color="4BACC6" w:themeColor="accent5" w:sz="8" w:space="0"/>
          <w:bottom w:val="single" w:color="4BACC6" w:themeColor="accent5" w:sz="8" w:space="0"/>
          <w:right w:val="single" w:color="4BACC6" w:themeColor="accent5" w:sz="8" w:space="0"/>
        </w:tcBorders>
      </w:tcPr>
    </w:tblStylePr>
    <w:tblStylePr w:type="firstCol">
      <w:rPr>
        <w:b/>
        <w:bCs/>
      </w:rPr>
    </w:tblStylePr>
    <w:tblStylePr w:type="lastCol">
      <w:rPr>
        <w:b/>
        <w:bCs/>
      </w:rPr>
    </w:tblStylePr>
    <w:tblStylePr w:type="band1Vert">
      <w:tblPr/>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tcPr>
    </w:tblStylePr>
    <w:tblStylePr w:type="band1Horz">
      <w:tblPr/>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tcPr>
    </w:tblStylePr>
  </w:style>
  <w:style w:type="table" w:styleId="47">
    <w:name w:val="Light List Accent 6"/>
    <w:basedOn w:val="32"/>
    <w:uiPriority w:val="61"/>
    <w:pPr>
      <w:spacing w:after="0" w:line="240" w:lineRule="auto"/>
    </w:pPr>
    <w:tblPr>
      <w:tblBorders>
        <w:top w:val="single" w:color="F79646" w:sz="8" w:space="0"/>
        <w:left w:val="single" w:color="F79646" w:sz="8" w:space="0"/>
        <w:bottom w:val="single" w:color="F79646" w:sz="8" w:space="0"/>
        <w:right w:val="single" w:color="F79646"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F79646"/>
      </w:tcPr>
    </w:tblStylePr>
    <w:tblStylePr w:type="lastRow">
      <w:pPr>
        <w:spacing w:before="0" w:after="0" w:line="240" w:lineRule="auto"/>
      </w:pPr>
      <w:rPr>
        <w:b/>
        <w:bCs/>
      </w:rPr>
      <w:tblPr/>
      <w:tcPr>
        <w:tcBorders>
          <w:top w:val="double" w:color="F79646" w:themeColor="accent6" w:sz="6" w:space="0"/>
          <w:left w:val="single" w:color="F79646" w:themeColor="accent6" w:sz="8" w:space="0"/>
          <w:bottom w:val="single" w:color="F79646" w:themeColor="accent6" w:sz="8" w:space="0"/>
          <w:right w:val="single" w:color="F79646" w:themeColor="accent6" w:sz="8" w:space="0"/>
        </w:tcBorders>
      </w:tcPr>
    </w:tblStylePr>
    <w:tblStylePr w:type="firstCol">
      <w:rPr>
        <w:b/>
        <w:bCs/>
      </w:rPr>
    </w:tblStylePr>
    <w:tblStylePr w:type="lastCol">
      <w:rPr>
        <w:b/>
        <w:bCs/>
      </w:rPr>
    </w:tblStylePr>
    <w:tblStylePr w:type="band1Vert">
      <w:tblPr/>
      <w:tcPr>
        <w:tcBorders>
          <w:top w:val="single" w:color="F79646" w:themeColor="accent6" w:sz="8" w:space="0"/>
          <w:left w:val="single" w:color="F79646" w:themeColor="accent6" w:sz="8" w:space="0"/>
          <w:bottom w:val="single" w:color="F79646" w:themeColor="accent6" w:sz="8" w:space="0"/>
          <w:right w:val="single" w:color="F79646" w:themeColor="accent6" w:sz="8" w:space="0"/>
        </w:tcBorders>
      </w:tcPr>
    </w:tblStylePr>
    <w:tblStylePr w:type="band1Horz">
      <w:tblPr/>
      <w:tcPr>
        <w:tcBorders>
          <w:top w:val="single" w:color="F79646" w:themeColor="accent6" w:sz="8" w:space="0"/>
          <w:left w:val="single" w:color="F79646" w:themeColor="accent6" w:sz="8" w:space="0"/>
          <w:bottom w:val="single" w:color="F79646" w:themeColor="accent6" w:sz="8" w:space="0"/>
          <w:right w:val="single" w:color="F79646" w:themeColor="accent6" w:sz="8" w:space="0"/>
        </w:tcBorders>
      </w:tcPr>
    </w:tblStylePr>
  </w:style>
  <w:style w:type="table" w:styleId="48">
    <w:name w:val="Light Grid"/>
    <w:basedOn w:val="32"/>
    <w:qFormat/>
    <w:uiPriority w:val="62"/>
    <w:pPr>
      <w:spacing w:after="0" w:line="240" w:lineRule="auto"/>
    </w:pPr>
    <w:tblP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
    <w:tblStylePr w:type="firstRow">
      <w:pPr>
        <w:spacing w:before="0" w:after="0" w:line="240" w:lineRule="auto"/>
      </w:pPr>
      <w:rPr>
        <w:rFonts w:asciiTheme="majorHAnsi" w:hAnsiTheme="majorHAnsi" w:eastAsiaTheme="majorEastAsia" w:cstheme="majorBidi"/>
        <w:b/>
        <w:bCs/>
      </w:rPr>
      <w:tblPr/>
      <w:tcPr>
        <w:tcBorders>
          <w:top w:val="single" w:color="000000" w:themeColor="text1" w:sz="8" w:space="0"/>
          <w:left w:val="single" w:color="000000" w:themeColor="text1" w:sz="8" w:space="0"/>
          <w:bottom w:val="single" w:color="000000" w:themeColor="text1" w:sz="18" w:space="0"/>
          <w:right w:val="single" w:color="000000" w:themeColor="text1"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000000" w:themeColor="text1" w:sz="6" w:space="0"/>
          <w:left w:val="single" w:color="000000" w:themeColor="text1" w:sz="8" w:space="0"/>
          <w:bottom w:val="single" w:color="000000" w:themeColor="text1" w:sz="8" w:space="0"/>
          <w:right w:val="single" w:color="000000" w:themeColor="text1"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tblStylePr w:type="band1Vert">
      <w:tblPr/>
      <w:tcPr>
        <w:tcBorders>
          <w:top w:val="single" w:color="000000" w:themeColor="text1" w:sz="8" w:space="0"/>
          <w:left w:val="single" w:color="000000" w:themeColor="text1" w:sz="8" w:space="0"/>
          <w:bottom w:val="single" w:color="000000" w:themeColor="text1" w:sz="8" w:space="0"/>
          <w:right w:val="single" w:color="000000" w:themeColor="text1" w:sz="8" w:space="0"/>
        </w:tcBorders>
        <w:shd w:val="clear" w:color="auto" w:fill="C0C0C0"/>
      </w:tcPr>
    </w:tblStylePr>
    <w:tblStylePr w:type="band1Horz">
      <w:tblPr/>
      <w:tcPr>
        <w:tcBorders>
          <w:top w:val="single" w:color="000000" w:themeColor="text1" w:sz="8" w:space="0"/>
          <w:left w:val="single" w:color="000000" w:themeColor="text1" w:sz="8" w:space="0"/>
          <w:bottom w:val="single" w:color="000000" w:themeColor="text1" w:sz="8" w:space="0"/>
          <w:right w:val="single" w:color="000000" w:themeColor="text1" w:sz="8" w:space="0"/>
          <w:insideV w:val="single" w:sz="8" w:space="0"/>
        </w:tcBorders>
        <w:shd w:val="clear" w:color="auto" w:fill="C0C0C0"/>
      </w:tcPr>
    </w:tblStylePr>
    <w:tblStylePr w:type="band2Horz">
      <w:tblPr/>
      <w:tcPr>
        <w:tcBorders>
          <w:top w:val="single" w:color="000000" w:themeColor="text1" w:sz="8" w:space="0"/>
          <w:left w:val="single" w:color="000000" w:themeColor="text1" w:sz="8" w:space="0"/>
          <w:bottom w:val="single" w:color="000000" w:themeColor="text1" w:sz="8" w:space="0"/>
          <w:right w:val="single" w:color="000000" w:themeColor="text1" w:sz="8" w:space="0"/>
          <w:insideV w:val="single" w:sz="8" w:space="0"/>
        </w:tcBorders>
      </w:tcPr>
    </w:tblStylePr>
  </w:style>
  <w:style w:type="table" w:styleId="49">
    <w:name w:val="Light Grid Accent 1"/>
    <w:basedOn w:val="32"/>
    <w:qFormat/>
    <w:uiPriority w:val="62"/>
    <w:pPr>
      <w:spacing w:after="0" w:line="240" w:lineRule="auto"/>
    </w:pPr>
    <w:tblPr>
      <w:tblBorders>
        <w:top w:val="single" w:color="4F81BD" w:sz="8" w:space="0"/>
        <w:left w:val="single" w:color="4F81BD" w:sz="8" w:space="0"/>
        <w:bottom w:val="single" w:color="4F81BD" w:sz="8" w:space="0"/>
        <w:right w:val="single" w:color="4F81BD" w:sz="8" w:space="0"/>
        <w:insideH w:val="single" w:color="4F81BD" w:sz="8" w:space="0"/>
        <w:insideV w:val="single" w:color="4F81BD" w:sz="8" w:space="0"/>
      </w:tblBorders>
    </w:tblPr>
    <w:tblStylePr w:type="firstRow">
      <w:pPr>
        <w:spacing w:before="0" w:after="0" w:line="240" w:lineRule="auto"/>
      </w:pPr>
      <w:rPr>
        <w:rFonts w:asciiTheme="majorHAnsi" w:hAnsiTheme="majorHAnsi" w:eastAsiaTheme="majorEastAsia" w:cstheme="majorBidi"/>
        <w:b/>
        <w:bCs/>
      </w:rPr>
      <w:tblPr/>
      <w:tcPr>
        <w:tcBorders>
          <w:top w:val="single" w:color="4F81BD" w:themeColor="accent1" w:sz="8" w:space="0"/>
          <w:left w:val="single" w:color="4F81BD" w:themeColor="accent1" w:sz="8" w:space="0"/>
          <w:bottom w:val="single" w:color="4F81BD" w:themeColor="accent1" w:sz="18" w:space="0"/>
          <w:right w:val="single" w:color="4F81BD" w:themeColor="accent1"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4F81BD" w:themeColor="accent1" w:sz="6" w:space="0"/>
          <w:left w:val="single" w:color="4F81BD" w:themeColor="accent1" w:sz="8" w:space="0"/>
          <w:bottom w:val="single" w:color="4F81BD" w:themeColor="accent1" w:sz="8" w:space="0"/>
          <w:right w:val="single" w:color="4F81BD" w:themeColor="accent1"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tblStylePr w:type="band1Vert">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shd w:val="clear" w:color="auto" w:fill="D3DFEE"/>
      </w:tcPr>
    </w:tblStylePr>
    <w:tblStylePr w:type="band1Horz">
      <w:tblPr/>
      <w:tcPr>
        <w:tcBorders>
          <w:top w:val="single" w:color="4F81BD" w:themeColor="accent1" w:sz="8" w:space="0"/>
          <w:left w:val="single" w:color="4F81BD" w:themeColor="accent1" w:sz="8" w:space="0"/>
          <w:bottom w:val="single" w:color="4F81BD" w:themeColor="accent1" w:sz="8" w:space="0"/>
          <w:right w:val="single" w:color="4F81BD" w:themeColor="accent1" w:sz="8" w:space="0"/>
          <w:insideV w:val="single" w:sz="8" w:space="0"/>
        </w:tcBorders>
        <w:shd w:val="clear" w:color="auto" w:fill="D3DFEE"/>
      </w:tcPr>
    </w:tblStylePr>
    <w:tblStylePr w:type="band2Horz">
      <w:tblPr/>
      <w:tcPr>
        <w:tcBorders>
          <w:top w:val="single" w:color="4F81BD" w:themeColor="accent1" w:sz="8" w:space="0"/>
          <w:left w:val="single" w:color="4F81BD" w:themeColor="accent1" w:sz="8" w:space="0"/>
          <w:bottom w:val="single" w:color="4F81BD" w:themeColor="accent1" w:sz="8" w:space="0"/>
          <w:right w:val="single" w:color="4F81BD" w:themeColor="accent1" w:sz="8" w:space="0"/>
          <w:insideV w:val="single" w:sz="8" w:space="0"/>
        </w:tcBorders>
      </w:tcPr>
    </w:tblStylePr>
  </w:style>
  <w:style w:type="table" w:styleId="50">
    <w:name w:val="Light Grid Accent 2"/>
    <w:basedOn w:val="32"/>
    <w:qFormat/>
    <w:uiPriority w:val="62"/>
    <w:pPr>
      <w:spacing w:after="0" w:line="240" w:lineRule="auto"/>
    </w:pPr>
    <w:tblPr>
      <w:tblBorders>
        <w:top w:val="single" w:color="C0504D" w:sz="8" w:space="0"/>
        <w:left w:val="single" w:color="C0504D" w:sz="8" w:space="0"/>
        <w:bottom w:val="single" w:color="C0504D" w:sz="8" w:space="0"/>
        <w:right w:val="single" w:color="C0504D" w:sz="8" w:space="0"/>
        <w:insideH w:val="single" w:color="C0504D" w:sz="8" w:space="0"/>
        <w:insideV w:val="single" w:color="C0504D" w:sz="8" w:space="0"/>
      </w:tblBorders>
    </w:tblPr>
    <w:tblStylePr w:type="firstRow">
      <w:pPr>
        <w:spacing w:before="0" w:after="0" w:line="240" w:lineRule="auto"/>
      </w:pPr>
      <w:rPr>
        <w:rFonts w:asciiTheme="majorHAnsi" w:hAnsiTheme="majorHAnsi" w:eastAsiaTheme="majorEastAsia" w:cstheme="majorBidi"/>
        <w:b/>
        <w:bCs/>
      </w:rPr>
      <w:tblPr/>
      <w:tcPr>
        <w:tcBorders>
          <w:top w:val="single" w:color="C0504D" w:themeColor="accent2" w:sz="8" w:space="0"/>
          <w:left w:val="single" w:color="C0504D" w:themeColor="accent2" w:sz="8" w:space="0"/>
          <w:bottom w:val="single" w:color="C0504D" w:themeColor="accent2" w:sz="18" w:space="0"/>
          <w:right w:val="single" w:color="C0504D" w:themeColor="accent2"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C0504D" w:themeColor="accent2" w:sz="6" w:space="0"/>
          <w:left w:val="single" w:color="C0504D" w:themeColor="accent2" w:sz="8" w:space="0"/>
          <w:bottom w:val="single" w:color="C0504D" w:themeColor="accent2" w:sz="8" w:space="0"/>
          <w:right w:val="single" w:color="C0504D" w:themeColor="accent2"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C0504D" w:themeColor="accent2" w:sz="8" w:space="0"/>
          <w:left w:val="single" w:color="C0504D" w:themeColor="accent2" w:sz="8" w:space="0"/>
          <w:bottom w:val="single" w:color="C0504D" w:themeColor="accent2" w:sz="8" w:space="0"/>
          <w:right w:val="single" w:color="C0504D" w:themeColor="accent2" w:sz="8" w:space="0"/>
        </w:tcBorders>
      </w:tcPr>
    </w:tblStylePr>
    <w:tblStylePr w:type="band1Vert">
      <w:tblPr/>
      <w:tcPr>
        <w:tcBorders>
          <w:top w:val="single" w:color="C0504D" w:themeColor="accent2" w:sz="8" w:space="0"/>
          <w:left w:val="single" w:color="C0504D" w:themeColor="accent2" w:sz="8" w:space="0"/>
          <w:bottom w:val="single" w:color="C0504D" w:themeColor="accent2" w:sz="8" w:space="0"/>
          <w:right w:val="single" w:color="C0504D" w:themeColor="accent2" w:sz="8" w:space="0"/>
        </w:tcBorders>
        <w:shd w:val="clear" w:color="auto" w:fill="EFD3D2"/>
      </w:tcPr>
    </w:tblStylePr>
    <w:tblStylePr w:type="band1Horz">
      <w:tblPr/>
      <w:tcPr>
        <w:tcBorders>
          <w:top w:val="single" w:color="C0504D" w:themeColor="accent2" w:sz="8" w:space="0"/>
          <w:left w:val="single" w:color="C0504D" w:themeColor="accent2" w:sz="8" w:space="0"/>
          <w:bottom w:val="single" w:color="C0504D" w:themeColor="accent2" w:sz="8" w:space="0"/>
          <w:right w:val="single" w:color="C0504D" w:themeColor="accent2" w:sz="8" w:space="0"/>
          <w:insideV w:val="single" w:sz="8" w:space="0"/>
        </w:tcBorders>
        <w:shd w:val="clear" w:color="auto" w:fill="EFD3D2"/>
      </w:tcPr>
    </w:tblStylePr>
    <w:tblStylePr w:type="band2Horz">
      <w:tblPr/>
      <w:tcPr>
        <w:tcBorders>
          <w:top w:val="single" w:color="C0504D" w:themeColor="accent2" w:sz="8" w:space="0"/>
          <w:left w:val="single" w:color="C0504D" w:themeColor="accent2" w:sz="8" w:space="0"/>
          <w:bottom w:val="single" w:color="C0504D" w:themeColor="accent2" w:sz="8" w:space="0"/>
          <w:right w:val="single" w:color="C0504D" w:themeColor="accent2" w:sz="8" w:space="0"/>
          <w:insideV w:val="single" w:sz="8" w:space="0"/>
        </w:tcBorders>
      </w:tcPr>
    </w:tblStylePr>
  </w:style>
  <w:style w:type="table" w:styleId="51">
    <w:name w:val="Light Grid Accent 3"/>
    <w:basedOn w:val="32"/>
    <w:qFormat/>
    <w:uiPriority w:val="62"/>
    <w:pPr>
      <w:spacing w:after="0" w:line="240" w:lineRule="auto"/>
    </w:pPr>
    <w:tblPr>
      <w:tblBorders>
        <w:top w:val="single" w:color="9BBB59" w:sz="8" w:space="0"/>
        <w:left w:val="single" w:color="9BBB59" w:sz="8" w:space="0"/>
        <w:bottom w:val="single" w:color="9BBB59" w:sz="8" w:space="0"/>
        <w:right w:val="single" w:color="9BBB59" w:sz="8" w:space="0"/>
        <w:insideH w:val="single" w:color="9BBB59" w:sz="8" w:space="0"/>
        <w:insideV w:val="single" w:color="9BBB59" w:sz="8" w:space="0"/>
      </w:tblBorders>
    </w:tblPr>
    <w:tblStylePr w:type="firstRow">
      <w:pPr>
        <w:spacing w:before="0" w:after="0" w:line="240" w:lineRule="auto"/>
      </w:pPr>
      <w:rPr>
        <w:rFonts w:asciiTheme="majorHAnsi" w:hAnsiTheme="majorHAnsi" w:eastAsiaTheme="majorEastAsia" w:cstheme="majorBidi"/>
        <w:b/>
        <w:bCs/>
      </w:rPr>
      <w:tblPr/>
      <w:tcPr>
        <w:tcBorders>
          <w:top w:val="single" w:color="9BBB59" w:themeColor="accent3" w:sz="8" w:space="0"/>
          <w:left w:val="single" w:color="9BBB59" w:themeColor="accent3" w:sz="8" w:space="0"/>
          <w:bottom w:val="single" w:color="9BBB59" w:themeColor="accent3" w:sz="18" w:space="0"/>
          <w:right w:val="single" w:color="9BBB59" w:themeColor="accent3"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9BBB59" w:themeColor="accent3" w:sz="6" w:space="0"/>
          <w:left w:val="single" w:color="9BBB59" w:themeColor="accent3" w:sz="8" w:space="0"/>
          <w:bottom w:val="single" w:color="9BBB59" w:themeColor="accent3" w:sz="8" w:space="0"/>
          <w:right w:val="single" w:color="9BBB59" w:themeColor="accent3"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9BBB59" w:themeColor="accent3" w:sz="8" w:space="0"/>
          <w:left w:val="single" w:color="9BBB59" w:themeColor="accent3" w:sz="8" w:space="0"/>
          <w:bottom w:val="single" w:color="9BBB59" w:themeColor="accent3" w:sz="8" w:space="0"/>
          <w:right w:val="single" w:color="9BBB59" w:themeColor="accent3" w:sz="8" w:space="0"/>
        </w:tcBorders>
      </w:tcPr>
    </w:tblStylePr>
    <w:tblStylePr w:type="band1Vert">
      <w:tblPr/>
      <w:tcPr>
        <w:tcBorders>
          <w:top w:val="single" w:color="9BBB59" w:themeColor="accent3" w:sz="8" w:space="0"/>
          <w:left w:val="single" w:color="9BBB59" w:themeColor="accent3" w:sz="8" w:space="0"/>
          <w:bottom w:val="single" w:color="9BBB59" w:themeColor="accent3" w:sz="8" w:space="0"/>
          <w:right w:val="single" w:color="9BBB59" w:themeColor="accent3" w:sz="8" w:space="0"/>
        </w:tcBorders>
        <w:shd w:val="clear" w:color="auto" w:fill="E6EED5"/>
      </w:tcPr>
    </w:tblStylePr>
    <w:tblStylePr w:type="band1Horz">
      <w:tblPr/>
      <w:tcPr>
        <w:tcBorders>
          <w:top w:val="single" w:color="9BBB59" w:themeColor="accent3" w:sz="8" w:space="0"/>
          <w:left w:val="single" w:color="9BBB59" w:themeColor="accent3" w:sz="8" w:space="0"/>
          <w:bottom w:val="single" w:color="9BBB59" w:themeColor="accent3" w:sz="8" w:space="0"/>
          <w:right w:val="single" w:color="9BBB59" w:themeColor="accent3" w:sz="8" w:space="0"/>
          <w:insideV w:val="single" w:sz="8" w:space="0"/>
        </w:tcBorders>
        <w:shd w:val="clear" w:color="auto" w:fill="E6EED5"/>
      </w:tcPr>
    </w:tblStylePr>
    <w:tblStylePr w:type="band2Horz">
      <w:tblPr/>
      <w:tcPr>
        <w:tcBorders>
          <w:top w:val="single" w:color="9BBB59" w:themeColor="accent3" w:sz="8" w:space="0"/>
          <w:left w:val="single" w:color="9BBB59" w:themeColor="accent3" w:sz="8" w:space="0"/>
          <w:bottom w:val="single" w:color="9BBB59" w:themeColor="accent3" w:sz="8" w:space="0"/>
          <w:right w:val="single" w:color="9BBB59" w:themeColor="accent3" w:sz="8" w:space="0"/>
          <w:insideV w:val="single" w:sz="8" w:space="0"/>
        </w:tcBorders>
      </w:tcPr>
    </w:tblStylePr>
  </w:style>
  <w:style w:type="table" w:styleId="52">
    <w:name w:val="Light Grid Accent 4"/>
    <w:basedOn w:val="32"/>
    <w:uiPriority w:val="62"/>
    <w:pPr>
      <w:spacing w:after="0" w:line="240" w:lineRule="auto"/>
    </w:pPr>
    <w:tblPr>
      <w:tblBorders>
        <w:top w:val="single" w:color="8064A2" w:sz="8" w:space="0"/>
        <w:left w:val="single" w:color="8064A2" w:sz="8" w:space="0"/>
        <w:bottom w:val="single" w:color="8064A2" w:sz="8" w:space="0"/>
        <w:right w:val="single" w:color="8064A2" w:sz="8" w:space="0"/>
        <w:insideH w:val="single" w:color="8064A2" w:sz="8" w:space="0"/>
        <w:insideV w:val="single" w:color="8064A2" w:sz="8" w:space="0"/>
      </w:tblBorders>
    </w:tblPr>
    <w:tblStylePr w:type="firstRow">
      <w:pPr>
        <w:spacing w:before="0" w:after="0" w:line="240" w:lineRule="auto"/>
      </w:pPr>
      <w:rPr>
        <w:rFonts w:asciiTheme="majorHAnsi" w:hAnsiTheme="majorHAnsi" w:eastAsiaTheme="majorEastAsia" w:cstheme="majorBidi"/>
        <w:b/>
        <w:bCs/>
      </w:rPr>
      <w:tblPr/>
      <w:tcPr>
        <w:tcBorders>
          <w:top w:val="single" w:color="8064A2" w:themeColor="accent4" w:sz="8" w:space="0"/>
          <w:left w:val="single" w:color="8064A2" w:themeColor="accent4" w:sz="8" w:space="0"/>
          <w:bottom w:val="single" w:color="8064A2" w:themeColor="accent4" w:sz="18" w:space="0"/>
          <w:right w:val="single" w:color="8064A2" w:themeColor="accent4"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8064A2" w:themeColor="accent4" w:sz="6" w:space="0"/>
          <w:left w:val="single" w:color="8064A2" w:themeColor="accent4" w:sz="8" w:space="0"/>
          <w:bottom w:val="single" w:color="8064A2" w:themeColor="accent4" w:sz="8" w:space="0"/>
          <w:right w:val="single" w:color="8064A2" w:themeColor="accent4"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8064A2" w:themeColor="accent4" w:sz="8" w:space="0"/>
          <w:left w:val="single" w:color="8064A2" w:themeColor="accent4" w:sz="8" w:space="0"/>
          <w:bottom w:val="single" w:color="8064A2" w:themeColor="accent4" w:sz="8" w:space="0"/>
          <w:right w:val="single" w:color="8064A2" w:themeColor="accent4" w:sz="8" w:space="0"/>
        </w:tcBorders>
      </w:tcPr>
    </w:tblStylePr>
    <w:tblStylePr w:type="band1Vert">
      <w:tblPr/>
      <w:tcPr>
        <w:tcBorders>
          <w:top w:val="single" w:color="8064A2" w:themeColor="accent4" w:sz="8" w:space="0"/>
          <w:left w:val="single" w:color="8064A2" w:themeColor="accent4" w:sz="8" w:space="0"/>
          <w:bottom w:val="single" w:color="8064A2" w:themeColor="accent4" w:sz="8" w:space="0"/>
          <w:right w:val="single" w:color="8064A2" w:themeColor="accent4" w:sz="8" w:space="0"/>
        </w:tcBorders>
        <w:shd w:val="clear" w:color="auto" w:fill="DFD8E8"/>
      </w:tcPr>
    </w:tblStylePr>
    <w:tblStylePr w:type="band1Horz">
      <w:tblPr/>
      <w:tcPr>
        <w:tcBorders>
          <w:top w:val="single" w:color="8064A2" w:themeColor="accent4" w:sz="8" w:space="0"/>
          <w:left w:val="single" w:color="8064A2" w:themeColor="accent4" w:sz="8" w:space="0"/>
          <w:bottom w:val="single" w:color="8064A2" w:themeColor="accent4" w:sz="8" w:space="0"/>
          <w:right w:val="single" w:color="8064A2" w:themeColor="accent4" w:sz="8" w:space="0"/>
          <w:insideV w:val="single" w:sz="8" w:space="0"/>
        </w:tcBorders>
        <w:shd w:val="clear" w:color="auto" w:fill="DFD8E8"/>
      </w:tcPr>
    </w:tblStylePr>
    <w:tblStylePr w:type="band2Horz">
      <w:tblPr/>
      <w:tcPr>
        <w:tcBorders>
          <w:top w:val="single" w:color="8064A2" w:themeColor="accent4" w:sz="8" w:space="0"/>
          <w:left w:val="single" w:color="8064A2" w:themeColor="accent4" w:sz="8" w:space="0"/>
          <w:bottom w:val="single" w:color="8064A2" w:themeColor="accent4" w:sz="8" w:space="0"/>
          <w:right w:val="single" w:color="8064A2" w:themeColor="accent4" w:sz="8" w:space="0"/>
          <w:insideV w:val="single" w:sz="8" w:space="0"/>
        </w:tcBorders>
      </w:tcPr>
    </w:tblStylePr>
  </w:style>
  <w:style w:type="table" w:styleId="53">
    <w:name w:val="Light Grid Accent 5"/>
    <w:basedOn w:val="32"/>
    <w:uiPriority w:val="62"/>
    <w:pPr>
      <w:spacing w:after="0" w:line="240" w:lineRule="auto"/>
    </w:pPr>
    <w:tblPr>
      <w:tblBorders>
        <w:top w:val="single" w:color="4BACC6" w:sz="8" w:space="0"/>
        <w:left w:val="single" w:color="4BACC6" w:sz="8" w:space="0"/>
        <w:bottom w:val="single" w:color="4BACC6" w:sz="8" w:space="0"/>
        <w:right w:val="single" w:color="4BACC6" w:sz="8" w:space="0"/>
        <w:insideH w:val="single" w:color="4BACC6" w:sz="8" w:space="0"/>
        <w:insideV w:val="single" w:color="4BACC6" w:sz="8" w:space="0"/>
      </w:tblBorders>
    </w:tblPr>
    <w:tblStylePr w:type="firstRow">
      <w:pPr>
        <w:spacing w:before="0" w:after="0" w:line="240" w:lineRule="auto"/>
      </w:pPr>
      <w:rPr>
        <w:rFonts w:asciiTheme="majorHAnsi" w:hAnsiTheme="majorHAnsi" w:eastAsiaTheme="majorEastAsia" w:cstheme="majorBidi"/>
        <w:b/>
        <w:bCs/>
      </w:rPr>
      <w:tblPr/>
      <w:tcPr>
        <w:tcBorders>
          <w:top w:val="single" w:color="4BACC6" w:themeColor="accent5" w:sz="8" w:space="0"/>
          <w:left w:val="single" w:color="4BACC6" w:themeColor="accent5" w:sz="8" w:space="0"/>
          <w:bottom w:val="single" w:color="4BACC6" w:themeColor="accent5" w:sz="18" w:space="0"/>
          <w:right w:val="single" w:color="4BACC6" w:themeColor="accent5"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4BACC6" w:themeColor="accent5" w:sz="6" w:space="0"/>
          <w:left w:val="single" w:color="4BACC6" w:themeColor="accent5" w:sz="8" w:space="0"/>
          <w:bottom w:val="single" w:color="4BACC6" w:themeColor="accent5" w:sz="8" w:space="0"/>
          <w:right w:val="single" w:color="4BACC6" w:themeColor="accent5"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tcPr>
    </w:tblStylePr>
    <w:tblStylePr w:type="band1Vert">
      <w:tblPr/>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shd w:val="clear" w:color="auto" w:fill="D2EAF1"/>
      </w:tcPr>
    </w:tblStylePr>
    <w:tblStylePr w:type="band1Horz">
      <w:tblPr/>
      <w:tcPr>
        <w:tcBorders>
          <w:top w:val="single" w:color="4BACC6" w:themeColor="accent5" w:sz="8" w:space="0"/>
          <w:left w:val="single" w:color="4BACC6" w:themeColor="accent5" w:sz="8" w:space="0"/>
          <w:bottom w:val="single" w:color="4BACC6" w:themeColor="accent5" w:sz="8" w:space="0"/>
          <w:right w:val="single" w:color="4BACC6" w:themeColor="accent5" w:sz="8" w:space="0"/>
          <w:insideV w:val="single" w:sz="8" w:space="0"/>
        </w:tcBorders>
        <w:shd w:val="clear" w:color="auto" w:fill="D2EAF1"/>
      </w:tcPr>
    </w:tblStylePr>
    <w:tblStylePr w:type="band2Horz">
      <w:tblPr/>
      <w:tcPr>
        <w:tcBorders>
          <w:top w:val="single" w:color="4BACC6" w:themeColor="accent5" w:sz="8" w:space="0"/>
          <w:left w:val="single" w:color="4BACC6" w:themeColor="accent5" w:sz="8" w:space="0"/>
          <w:bottom w:val="single" w:color="4BACC6" w:themeColor="accent5" w:sz="8" w:space="0"/>
          <w:right w:val="single" w:color="4BACC6" w:themeColor="accent5" w:sz="8" w:space="0"/>
          <w:insideV w:val="single" w:sz="8" w:space="0"/>
        </w:tcBorders>
      </w:tcPr>
    </w:tblStylePr>
  </w:style>
  <w:style w:type="table" w:styleId="54">
    <w:name w:val="Light Grid Accent 6"/>
    <w:basedOn w:val="32"/>
    <w:qFormat/>
    <w:uiPriority w:val="62"/>
    <w:pPr>
      <w:spacing w:after="0" w:line="240" w:lineRule="auto"/>
    </w:pPr>
    <w:tblPr>
      <w:tblBorders>
        <w:top w:val="single" w:color="F79646" w:sz="8" w:space="0"/>
        <w:left w:val="single" w:color="F79646" w:sz="8" w:space="0"/>
        <w:bottom w:val="single" w:color="F79646" w:sz="8" w:space="0"/>
        <w:right w:val="single" w:color="F79646" w:sz="8" w:space="0"/>
        <w:insideH w:val="single" w:color="F79646" w:sz="8" w:space="0"/>
        <w:insideV w:val="single" w:color="F79646" w:sz="8" w:space="0"/>
      </w:tblBorders>
    </w:tblPr>
    <w:tblStylePr w:type="firstRow">
      <w:pPr>
        <w:spacing w:before="0" w:after="0" w:line="240" w:lineRule="auto"/>
      </w:pPr>
      <w:rPr>
        <w:rFonts w:asciiTheme="majorHAnsi" w:hAnsiTheme="majorHAnsi" w:eastAsiaTheme="majorEastAsia" w:cstheme="majorBidi"/>
        <w:b/>
        <w:bCs/>
      </w:rPr>
      <w:tblPr/>
      <w:tcPr>
        <w:tcBorders>
          <w:top w:val="single" w:color="F79646" w:themeColor="accent6" w:sz="8" w:space="0"/>
          <w:left w:val="single" w:color="F79646" w:themeColor="accent6" w:sz="8" w:space="0"/>
          <w:bottom w:val="single" w:color="F79646" w:themeColor="accent6" w:sz="18" w:space="0"/>
          <w:right w:val="single" w:color="F79646" w:themeColor="accent6"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F79646" w:themeColor="accent6" w:sz="6" w:space="0"/>
          <w:left w:val="single" w:color="F79646" w:themeColor="accent6" w:sz="8" w:space="0"/>
          <w:bottom w:val="single" w:color="F79646" w:themeColor="accent6" w:sz="8" w:space="0"/>
          <w:right w:val="single" w:color="F79646" w:themeColor="accent6"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F79646" w:themeColor="accent6" w:sz="8" w:space="0"/>
          <w:left w:val="single" w:color="F79646" w:themeColor="accent6" w:sz="8" w:space="0"/>
          <w:bottom w:val="single" w:color="F79646" w:themeColor="accent6" w:sz="8" w:space="0"/>
          <w:right w:val="single" w:color="F79646" w:themeColor="accent6" w:sz="8" w:space="0"/>
        </w:tcBorders>
      </w:tcPr>
    </w:tblStylePr>
    <w:tblStylePr w:type="band1Vert">
      <w:tblPr/>
      <w:tcPr>
        <w:tcBorders>
          <w:top w:val="single" w:color="F79646" w:themeColor="accent6" w:sz="8" w:space="0"/>
          <w:left w:val="single" w:color="F79646" w:themeColor="accent6" w:sz="8" w:space="0"/>
          <w:bottom w:val="single" w:color="F79646" w:themeColor="accent6" w:sz="8" w:space="0"/>
          <w:right w:val="single" w:color="F79646" w:themeColor="accent6" w:sz="8" w:space="0"/>
        </w:tcBorders>
        <w:shd w:val="clear" w:color="auto" w:fill="FDE4D0"/>
      </w:tcPr>
    </w:tblStylePr>
    <w:tblStylePr w:type="band1Horz">
      <w:tblPr/>
      <w:tcPr>
        <w:tcBorders>
          <w:top w:val="single" w:color="F79646" w:themeColor="accent6" w:sz="8" w:space="0"/>
          <w:left w:val="single" w:color="F79646" w:themeColor="accent6" w:sz="8" w:space="0"/>
          <w:bottom w:val="single" w:color="F79646" w:themeColor="accent6" w:sz="8" w:space="0"/>
          <w:right w:val="single" w:color="F79646" w:themeColor="accent6" w:sz="8" w:space="0"/>
          <w:insideV w:val="single" w:sz="8" w:space="0"/>
        </w:tcBorders>
        <w:shd w:val="clear" w:color="auto" w:fill="FDE4D0"/>
      </w:tcPr>
    </w:tblStylePr>
    <w:tblStylePr w:type="band2Horz">
      <w:tblPr/>
      <w:tcPr>
        <w:tcBorders>
          <w:top w:val="single" w:color="F79646" w:themeColor="accent6" w:sz="8" w:space="0"/>
          <w:left w:val="single" w:color="F79646" w:themeColor="accent6" w:sz="8" w:space="0"/>
          <w:bottom w:val="single" w:color="F79646" w:themeColor="accent6" w:sz="8" w:space="0"/>
          <w:right w:val="single" w:color="F79646" w:themeColor="accent6" w:sz="8" w:space="0"/>
          <w:insideV w:val="single" w:sz="8" w:space="0"/>
        </w:tcBorders>
      </w:tcPr>
    </w:tblStylePr>
  </w:style>
  <w:style w:type="table" w:styleId="55">
    <w:name w:val="Medium Shading 1"/>
    <w:basedOn w:val="32"/>
    <w:qFormat/>
    <w:uiPriority w:val="63"/>
    <w:pPr>
      <w:spacing w:after="0" w:line="240" w:lineRule="auto"/>
    </w:pPr>
    <w:tblPr>
      <w:tblBorders>
        <w:top w:val="single" w:color="404040" w:sz="8" w:space="0"/>
        <w:left w:val="single" w:color="404040" w:sz="8" w:space="0"/>
        <w:bottom w:val="single" w:color="404040" w:sz="8" w:space="0"/>
        <w:right w:val="single" w:color="404040" w:sz="8" w:space="0"/>
        <w:insideH w:val="single" w:color="404040"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3F3F3F" w:themeColor="text1" w:themeTint="BF" w:sz="8" w:space="0"/>
          <w:left w:val="single" w:color="3F3F3F" w:themeColor="text1" w:themeTint="BF" w:sz="8" w:space="0"/>
          <w:bottom w:val="single" w:color="3F3F3F" w:themeColor="text1" w:themeTint="BF" w:sz="8" w:space="0"/>
          <w:right w:val="single" w:color="3F3F3F" w:themeColor="text1" w:themeTint="BF" w:sz="8" w:space="0"/>
          <w:insideH w:val="nil"/>
          <w:insideV w:val="nil"/>
        </w:tcBorders>
        <w:shd w:val="clear" w:color="auto" w:fill="000000"/>
      </w:tcPr>
    </w:tblStylePr>
    <w:tblStylePr w:type="lastRow">
      <w:pPr>
        <w:spacing w:before="0" w:after="0" w:line="240" w:lineRule="auto"/>
      </w:pPr>
      <w:rPr>
        <w:b/>
        <w:bCs/>
      </w:rPr>
      <w:tblPr/>
      <w:tcPr>
        <w:tcBorders>
          <w:top w:val="double" w:color="3F3F3F" w:themeColor="text1" w:themeTint="BF" w:sz="6" w:space="0"/>
          <w:left w:val="single" w:color="3F3F3F" w:themeColor="text1" w:themeTint="BF" w:sz="8" w:space="0"/>
          <w:bottom w:val="single" w:color="3F3F3F" w:themeColor="text1" w:themeTint="BF" w:sz="8" w:space="0"/>
          <w:right w:val="single" w:color="3F3F3F" w:themeColor="text1" w:themeTint="BF" w:sz="8" w:space="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56">
    <w:name w:val="Medium Shading 1 Accent 1"/>
    <w:basedOn w:val="32"/>
    <w:qFormat/>
    <w:uiPriority w:val="63"/>
    <w:pPr>
      <w:spacing w:after="0" w:line="240" w:lineRule="auto"/>
    </w:pPr>
    <w:tblPr>
      <w:tblBorders>
        <w:top w:val="single" w:color="7BA0CD" w:sz="8" w:space="0"/>
        <w:left w:val="single" w:color="7BA0CD" w:sz="8" w:space="0"/>
        <w:bottom w:val="single" w:color="7BA0CD" w:sz="8" w:space="0"/>
        <w:right w:val="single" w:color="7BA0CD" w:sz="8" w:space="0"/>
        <w:insideH w:val="single" w:color="7BA0CD"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shd w:val="clear" w:color="auto" w:fill="4F81BD"/>
      </w:tcPr>
    </w:tblStylePr>
    <w:tblStylePr w:type="lastRow">
      <w:pPr>
        <w:spacing w:before="0" w:after="0" w:line="240" w:lineRule="auto"/>
      </w:pPr>
      <w:rPr>
        <w:b/>
        <w:bCs/>
      </w:rPr>
      <w:tblPr/>
      <w:tcPr>
        <w:tcBorders>
          <w:top w:val="double" w:color="7BA0CD" w:themeColor="accent1" w:themeTint="BF" w:sz="6"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insideH w:val="nil"/>
          <w:insideV w:val="nil"/>
        </w:tcBorders>
        <w:shd w:val="clear" w:color="auto" w:fill="D3DFEE"/>
      </w:tcPr>
    </w:tblStylePr>
    <w:tblStylePr w:type="band2Horz">
      <w:tblPr/>
      <w:tcPr>
        <w:tcBorders>
          <w:insideH w:val="nil"/>
          <w:insideV w:val="nil"/>
        </w:tcBorders>
      </w:tcPr>
    </w:tblStylePr>
  </w:style>
  <w:style w:type="table" w:styleId="57">
    <w:name w:val="Medium Shading 1 Accent 2"/>
    <w:basedOn w:val="32"/>
    <w:uiPriority w:val="63"/>
    <w:pPr>
      <w:spacing w:after="0" w:line="240" w:lineRule="auto"/>
    </w:pPr>
    <w:tblPr>
      <w:tblBorders>
        <w:top w:val="single" w:color="CF7B79" w:sz="8" w:space="0"/>
        <w:left w:val="single" w:color="CF7B79" w:sz="8" w:space="0"/>
        <w:bottom w:val="single" w:color="CF7B79" w:sz="8" w:space="0"/>
        <w:right w:val="single" w:color="CF7B79" w:sz="8" w:space="0"/>
        <w:insideH w:val="single" w:color="CF7B79"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CF7B79" w:themeColor="accent2" w:themeTint="BF" w:sz="8" w:space="0"/>
          <w:left w:val="single" w:color="CF7B79" w:themeColor="accent2" w:themeTint="BF" w:sz="8" w:space="0"/>
          <w:bottom w:val="single" w:color="CF7B79" w:themeColor="accent2" w:themeTint="BF" w:sz="8" w:space="0"/>
          <w:right w:val="single" w:color="CF7B79" w:themeColor="accent2" w:themeTint="BF" w:sz="8" w:space="0"/>
          <w:insideH w:val="nil"/>
          <w:insideV w:val="nil"/>
        </w:tcBorders>
        <w:shd w:val="clear" w:color="auto" w:fill="C0504D"/>
      </w:tcPr>
    </w:tblStylePr>
    <w:tblStylePr w:type="lastRow">
      <w:pPr>
        <w:spacing w:before="0" w:after="0" w:line="240" w:lineRule="auto"/>
      </w:pPr>
      <w:rPr>
        <w:b/>
        <w:bCs/>
      </w:rPr>
      <w:tblPr/>
      <w:tcPr>
        <w:tcBorders>
          <w:top w:val="double" w:color="CF7B79" w:themeColor="accent2" w:themeTint="BF" w:sz="6" w:space="0"/>
          <w:left w:val="single" w:color="CF7B79" w:themeColor="accent2" w:themeTint="BF" w:sz="8" w:space="0"/>
          <w:bottom w:val="single" w:color="CF7B79" w:themeColor="accent2" w:themeTint="BF" w:sz="8" w:space="0"/>
          <w:right w:val="single" w:color="CF7B79" w:themeColor="accent2" w:themeTint="BF" w:sz="8" w:space="0"/>
          <w:insideH w:val="nil"/>
          <w:insideV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tcBorders>
          <w:insideH w:val="nil"/>
          <w:insideV w:val="nil"/>
        </w:tcBorders>
        <w:shd w:val="clear" w:color="auto" w:fill="EFD3D2"/>
      </w:tcPr>
    </w:tblStylePr>
    <w:tblStylePr w:type="band2Horz">
      <w:tblPr/>
      <w:tcPr>
        <w:tcBorders>
          <w:insideH w:val="nil"/>
          <w:insideV w:val="nil"/>
        </w:tcBorders>
      </w:tcPr>
    </w:tblStylePr>
  </w:style>
  <w:style w:type="table" w:styleId="58">
    <w:name w:val="Medium Shading 1 Accent 3"/>
    <w:basedOn w:val="32"/>
    <w:uiPriority w:val="63"/>
    <w:pPr>
      <w:spacing w:after="0" w:line="240" w:lineRule="auto"/>
    </w:pPr>
    <w:tblPr>
      <w:tblBorders>
        <w:top w:val="single" w:color="B3CC82" w:sz="8" w:space="0"/>
        <w:left w:val="single" w:color="B3CC82" w:sz="8" w:space="0"/>
        <w:bottom w:val="single" w:color="B3CC82" w:sz="8" w:space="0"/>
        <w:right w:val="single" w:color="B3CC82" w:sz="8" w:space="0"/>
        <w:insideH w:val="single" w:color="B3CC82"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B4CC82" w:themeColor="accent3" w:themeTint="BF" w:sz="8" w:space="0"/>
          <w:left w:val="single" w:color="B4CC82" w:themeColor="accent3" w:themeTint="BF" w:sz="8" w:space="0"/>
          <w:bottom w:val="single" w:color="B4CC82" w:themeColor="accent3" w:themeTint="BF" w:sz="8" w:space="0"/>
          <w:right w:val="single" w:color="B4CC82" w:themeColor="accent3" w:themeTint="BF" w:sz="8" w:space="0"/>
          <w:insideH w:val="nil"/>
          <w:insideV w:val="nil"/>
        </w:tcBorders>
        <w:shd w:val="clear" w:color="auto" w:fill="9BBB59"/>
      </w:tcPr>
    </w:tblStylePr>
    <w:tblStylePr w:type="lastRow">
      <w:pPr>
        <w:spacing w:before="0" w:after="0" w:line="240" w:lineRule="auto"/>
      </w:pPr>
      <w:rPr>
        <w:b/>
        <w:bCs/>
      </w:rPr>
      <w:tblPr/>
      <w:tcPr>
        <w:tcBorders>
          <w:top w:val="double" w:color="B4CC82" w:themeColor="accent3" w:themeTint="BF" w:sz="6" w:space="0"/>
          <w:left w:val="single" w:color="B4CC82" w:themeColor="accent3" w:themeTint="BF" w:sz="8" w:space="0"/>
          <w:bottom w:val="single" w:color="B4CC82" w:themeColor="accent3" w:themeTint="BF" w:sz="8" w:space="0"/>
          <w:right w:val="single" w:color="B4CC82" w:themeColor="accent3" w:themeTint="BF" w:sz="8" w:space="0"/>
          <w:insideH w:val="nil"/>
          <w:insideV w:val="nil"/>
        </w:tcBorders>
      </w:tcPr>
    </w:tblStylePr>
    <w:tblStylePr w:type="firstCol">
      <w:rPr>
        <w:b/>
        <w:bCs/>
      </w:rPr>
    </w:tblStylePr>
    <w:tblStylePr w:type="lastCol">
      <w:rPr>
        <w:b/>
        <w:bCs/>
      </w:rPr>
    </w:tblStylePr>
    <w:tblStylePr w:type="band1Vert">
      <w:tblPr/>
      <w:tcPr>
        <w:shd w:val="clear" w:color="auto" w:fill="E6EED5"/>
      </w:tcPr>
    </w:tblStylePr>
    <w:tblStylePr w:type="band1Horz">
      <w:tblPr/>
      <w:tcPr>
        <w:tcBorders>
          <w:insideH w:val="nil"/>
          <w:insideV w:val="nil"/>
        </w:tcBorders>
        <w:shd w:val="clear" w:color="auto" w:fill="E6EED5"/>
      </w:tcPr>
    </w:tblStylePr>
    <w:tblStylePr w:type="band2Horz">
      <w:tblPr/>
      <w:tcPr>
        <w:tcBorders>
          <w:insideH w:val="nil"/>
          <w:insideV w:val="nil"/>
        </w:tcBorders>
      </w:tcPr>
    </w:tblStylePr>
  </w:style>
  <w:style w:type="table" w:styleId="59">
    <w:name w:val="Medium Shading 1 Accent 4"/>
    <w:basedOn w:val="32"/>
    <w:uiPriority w:val="63"/>
    <w:pPr>
      <w:spacing w:after="0" w:line="240" w:lineRule="auto"/>
    </w:pPr>
    <w:tblPr>
      <w:tblBorders>
        <w:top w:val="single" w:color="9F8AB9" w:sz="8" w:space="0"/>
        <w:left w:val="single" w:color="9F8AB9" w:sz="8" w:space="0"/>
        <w:bottom w:val="single" w:color="9F8AB9" w:sz="8" w:space="0"/>
        <w:right w:val="single" w:color="9F8AB9" w:sz="8" w:space="0"/>
        <w:insideH w:val="single" w:color="9F8AB9"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9F8AB9" w:themeColor="accent4" w:themeTint="BF" w:sz="8" w:space="0"/>
          <w:left w:val="single" w:color="9F8AB9" w:themeColor="accent4" w:themeTint="BF" w:sz="8" w:space="0"/>
          <w:bottom w:val="single" w:color="9F8AB9" w:themeColor="accent4" w:themeTint="BF" w:sz="8" w:space="0"/>
          <w:right w:val="single" w:color="9F8AB9" w:themeColor="accent4" w:themeTint="BF" w:sz="8" w:space="0"/>
          <w:insideH w:val="nil"/>
          <w:insideV w:val="nil"/>
        </w:tcBorders>
        <w:shd w:val="clear" w:color="auto" w:fill="8064A2"/>
      </w:tcPr>
    </w:tblStylePr>
    <w:tblStylePr w:type="lastRow">
      <w:pPr>
        <w:spacing w:before="0" w:after="0" w:line="240" w:lineRule="auto"/>
      </w:pPr>
      <w:rPr>
        <w:b/>
        <w:bCs/>
      </w:rPr>
      <w:tblPr/>
      <w:tcPr>
        <w:tcBorders>
          <w:top w:val="double" w:color="9F8AB9" w:themeColor="accent4" w:themeTint="BF" w:sz="6" w:space="0"/>
          <w:left w:val="single" w:color="9F8AB9" w:themeColor="accent4" w:themeTint="BF" w:sz="8" w:space="0"/>
          <w:bottom w:val="single" w:color="9F8AB9" w:themeColor="accent4" w:themeTint="BF" w:sz="8" w:space="0"/>
          <w:right w:val="single" w:color="9F8AB9" w:themeColor="accent4" w:themeTint="BF" w:sz="8" w:space="0"/>
          <w:insideH w:val="nil"/>
          <w:insideV w:val="nil"/>
        </w:tcBorders>
      </w:tcPr>
    </w:tblStylePr>
    <w:tblStylePr w:type="firstCol">
      <w:rPr>
        <w:b/>
        <w:bCs/>
      </w:rPr>
    </w:tblStylePr>
    <w:tblStylePr w:type="lastCol">
      <w:rPr>
        <w:b/>
        <w:bCs/>
      </w:rPr>
    </w:tblStylePr>
    <w:tblStylePr w:type="band1Vert">
      <w:tblPr/>
      <w:tcPr>
        <w:shd w:val="clear" w:color="auto" w:fill="DFD8E8"/>
      </w:tcPr>
    </w:tblStylePr>
    <w:tblStylePr w:type="band1Horz">
      <w:tblPr/>
      <w:tcPr>
        <w:tcBorders>
          <w:insideH w:val="nil"/>
          <w:insideV w:val="nil"/>
        </w:tcBorders>
        <w:shd w:val="clear" w:color="auto" w:fill="DFD8E8"/>
      </w:tcPr>
    </w:tblStylePr>
    <w:tblStylePr w:type="band2Horz">
      <w:tblPr/>
      <w:tcPr>
        <w:tcBorders>
          <w:insideH w:val="nil"/>
          <w:insideV w:val="nil"/>
        </w:tcBorders>
      </w:tcPr>
    </w:tblStylePr>
  </w:style>
  <w:style w:type="table" w:styleId="60">
    <w:name w:val="Medium Shading 1 Accent 5"/>
    <w:basedOn w:val="32"/>
    <w:qFormat/>
    <w:uiPriority w:val="63"/>
    <w:pPr>
      <w:spacing w:after="0" w:line="240" w:lineRule="auto"/>
    </w:pPr>
    <w:tblPr>
      <w:tblBorders>
        <w:top w:val="single" w:color="78C0D4" w:sz="8" w:space="0"/>
        <w:left w:val="single" w:color="78C0D4" w:sz="8" w:space="0"/>
        <w:bottom w:val="single" w:color="78C0D4" w:sz="8" w:space="0"/>
        <w:right w:val="single" w:color="78C0D4" w:sz="8" w:space="0"/>
        <w:insideH w:val="single" w:color="78C0D4"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78C0D4" w:themeColor="accent5" w:themeTint="BF" w:sz="8" w:space="0"/>
          <w:left w:val="single" w:color="78C0D4" w:themeColor="accent5" w:themeTint="BF" w:sz="8" w:space="0"/>
          <w:bottom w:val="single" w:color="78C0D4" w:themeColor="accent5" w:themeTint="BF" w:sz="8" w:space="0"/>
          <w:right w:val="single" w:color="78C0D4" w:themeColor="accent5" w:themeTint="BF" w:sz="8" w:space="0"/>
          <w:insideH w:val="nil"/>
          <w:insideV w:val="nil"/>
        </w:tcBorders>
        <w:shd w:val="clear" w:color="auto" w:fill="4BACC6"/>
      </w:tcPr>
    </w:tblStylePr>
    <w:tblStylePr w:type="lastRow">
      <w:pPr>
        <w:spacing w:before="0" w:after="0" w:line="240" w:lineRule="auto"/>
      </w:pPr>
      <w:rPr>
        <w:b/>
        <w:bCs/>
      </w:rPr>
      <w:tblPr/>
      <w:tcPr>
        <w:tcBorders>
          <w:top w:val="double" w:color="78C0D4" w:themeColor="accent5" w:themeTint="BF" w:sz="6" w:space="0"/>
          <w:left w:val="single" w:color="78C0D4" w:themeColor="accent5" w:themeTint="BF" w:sz="8" w:space="0"/>
          <w:bottom w:val="single" w:color="78C0D4" w:themeColor="accent5" w:themeTint="BF" w:sz="8" w:space="0"/>
          <w:right w:val="single" w:color="78C0D4" w:themeColor="accent5" w:themeTint="BF" w:sz="8" w:space="0"/>
          <w:insideH w:val="nil"/>
          <w:insideV w:val="nil"/>
        </w:tcBorders>
      </w:tcPr>
    </w:tblStylePr>
    <w:tblStylePr w:type="firstCol">
      <w:rPr>
        <w:b/>
        <w:bCs/>
      </w:rPr>
    </w:tblStylePr>
    <w:tblStylePr w:type="lastCol">
      <w:rPr>
        <w:b/>
        <w:bCs/>
      </w:rPr>
    </w:tblStylePr>
    <w:tblStylePr w:type="band1Vert">
      <w:tblPr/>
      <w:tcPr>
        <w:shd w:val="clear" w:color="auto" w:fill="D2EAF1"/>
      </w:tcPr>
    </w:tblStylePr>
    <w:tblStylePr w:type="band1Horz">
      <w:tblPr/>
      <w:tcPr>
        <w:tcBorders>
          <w:insideH w:val="nil"/>
          <w:insideV w:val="nil"/>
        </w:tcBorders>
        <w:shd w:val="clear" w:color="auto" w:fill="D2EAF1"/>
      </w:tcPr>
    </w:tblStylePr>
    <w:tblStylePr w:type="band2Horz">
      <w:tblPr/>
      <w:tcPr>
        <w:tcBorders>
          <w:insideH w:val="nil"/>
          <w:insideV w:val="nil"/>
        </w:tcBorders>
      </w:tcPr>
    </w:tblStylePr>
  </w:style>
  <w:style w:type="table" w:styleId="61">
    <w:name w:val="Medium Shading 1 Accent 6"/>
    <w:basedOn w:val="32"/>
    <w:uiPriority w:val="63"/>
    <w:pPr>
      <w:spacing w:after="0" w:line="240" w:lineRule="auto"/>
    </w:pPr>
    <w:tblPr>
      <w:tblBorders>
        <w:top w:val="single" w:color="F9B074" w:sz="8" w:space="0"/>
        <w:left w:val="single" w:color="F9B074" w:sz="8" w:space="0"/>
        <w:bottom w:val="single" w:color="F9B074" w:sz="8" w:space="0"/>
        <w:right w:val="single" w:color="F9B074" w:sz="8" w:space="0"/>
        <w:insideH w:val="single" w:color="F9B074"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9B074" w:themeColor="accent6" w:themeTint="BF" w:sz="8" w:space="0"/>
          <w:left w:val="single" w:color="F9B074" w:themeColor="accent6" w:themeTint="BF" w:sz="8" w:space="0"/>
          <w:bottom w:val="single" w:color="F9B074" w:themeColor="accent6" w:themeTint="BF" w:sz="8" w:space="0"/>
          <w:right w:val="single" w:color="F9B074" w:themeColor="accent6" w:themeTint="BF" w:sz="8" w:space="0"/>
          <w:insideH w:val="nil"/>
          <w:insideV w:val="nil"/>
        </w:tcBorders>
        <w:shd w:val="clear" w:color="auto" w:fill="F79646"/>
      </w:tcPr>
    </w:tblStylePr>
    <w:tblStylePr w:type="lastRow">
      <w:pPr>
        <w:spacing w:before="0" w:after="0" w:line="240" w:lineRule="auto"/>
      </w:pPr>
      <w:rPr>
        <w:b/>
        <w:bCs/>
      </w:rPr>
      <w:tblPr/>
      <w:tcPr>
        <w:tcBorders>
          <w:top w:val="double" w:color="F9B074" w:themeColor="accent6" w:themeTint="BF" w:sz="6" w:space="0"/>
          <w:left w:val="single" w:color="F9B074" w:themeColor="accent6" w:themeTint="BF" w:sz="8" w:space="0"/>
          <w:bottom w:val="single" w:color="F9B074" w:themeColor="accent6" w:themeTint="BF" w:sz="8" w:space="0"/>
          <w:right w:val="single" w:color="F9B074" w:themeColor="accent6" w:themeTint="BF" w:sz="8" w:space="0"/>
          <w:insideH w:val="nil"/>
          <w:insideV w:val="nil"/>
        </w:tcBorders>
      </w:tcPr>
    </w:tblStylePr>
    <w:tblStylePr w:type="firstCol">
      <w:rPr>
        <w:b/>
        <w:bCs/>
      </w:rPr>
    </w:tblStylePr>
    <w:tblStylePr w:type="lastCol">
      <w:rPr>
        <w:b/>
        <w:bCs/>
      </w:rPr>
    </w:tblStylePr>
    <w:tblStylePr w:type="band1Vert">
      <w:tblPr/>
      <w:tcPr>
        <w:shd w:val="clear" w:color="auto" w:fill="FDE4D0"/>
      </w:tcPr>
    </w:tblStylePr>
    <w:tblStylePr w:type="band1Horz">
      <w:tblPr/>
      <w:tcPr>
        <w:tcBorders>
          <w:insideH w:val="nil"/>
          <w:insideV w:val="nil"/>
        </w:tcBorders>
        <w:shd w:val="clear" w:color="auto" w:fill="FDE4D0"/>
      </w:tcPr>
    </w:tblStylePr>
    <w:tblStylePr w:type="band2Horz">
      <w:tblPr/>
      <w:tcPr>
        <w:tcBorders>
          <w:insideH w:val="nil"/>
          <w:insideV w:val="nil"/>
        </w:tcBorders>
      </w:tcPr>
    </w:tblStylePr>
  </w:style>
  <w:style w:type="table" w:styleId="62">
    <w:name w:val="Medium Shading 2"/>
    <w:basedOn w:val="32"/>
    <w:uiPriority w:val="64"/>
    <w:pPr>
      <w:spacing w:after="0" w:line="240" w:lineRule="auto"/>
    </w:pPr>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000000"/>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000000"/>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000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63">
    <w:name w:val="Medium Shading 2 Accent 1"/>
    <w:basedOn w:val="32"/>
    <w:uiPriority w:val="64"/>
    <w:pPr>
      <w:spacing w:after="0" w:line="240" w:lineRule="auto"/>
    </w:pPr>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F81BD"/>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4F81BD"/>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F81B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64">
    <w:name w:val="Medium Shading 2 Accent 2"/>
    <w:basedOn w:val="32"/>
    <w:qFormat/>
    <w:uiPriority w:val="64"/>
    <w:pPr>
      <w:spacing w:after="0" w:line="240" w:lineRule="auto"/>
    </w:pPr>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C0504D"/>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C0504D"/>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C0504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65">
    <w:name w:val="Medium Shading 2 Accent 3"/>
    <w:basedOn w:val="32"/>
    <w:uiPriority w:val="64"/>
    <w:pPr>
      <w:spacing w:after="0" w:line="240" w:lineRule="auto"/>
    </w:pPr>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9BBB59"/>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9BBB59"/>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9BBB59"/>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66">
    <w:name w:val="Medium Shading 2 Accent 4"/>
    <w:basedOn w:val="32"/>
    <w:qFormat/>
    <w:uiPriority w:val="64"/>
    <w:pPr>
      <w:spacing w:after="0" w:line="240" w:lineRule="auto"/>
    </w:pPr>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8064A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8064A2"/>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8064A2"/>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67">
    <w:name w:val="Medium Shading 2 Accent 5"/>
    <w:basedOn w:val="32"/>
    <w:uiPriority w:val="64"/>
    <w:pPr>
      <w:spacing w:after="0" w:line="240" w:lineRule="auto"/>
    </w:pPr>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BACC6"/>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4BACC6"/>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BACC6"/>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68">
    <w:name w:val="Medium Shading 2 Accent 6"/>
    <w:basedOn w:val="32"/>
    <w:uiPriority w:val="64"/>
    <w:pPr>
      <w:spacing w:after="0" w:line="240" w:lineRule="auto"/>
    </w:pPr>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F79646"/>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F79646"/>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F79646"/>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69">
    <w:name w:val="Medium List 1"/>
    <w:basedOn w:val="32"/>
    <w:uiPriority w:val="65"/>
    <w:pPr>
      <w:spacing w:after="0" w:line="240" w:lineRule="auto"/>
    </w:pPr>
    <w:rPr>
      <w:color w:val="000000"/>
    </w:rPr>
    <w:tblPr>
      <w:tblBorders>
        <w:top w:val="single" w:color="auto" w:sz="8" w:space="0"/>
        <w:bottom w:val="single" w:color="auto" w:sz="8" w:space="0"/>
      </w:tblBorders>
    </w:tblPr>
    <w:tblStylePr w:type="firstRow">
      <w:rPr>
        <w:rFonts w:asciiTheme="majorHAnsi" w:hAnsiTheme="majorHAnsi" w:eastAsiaTheme="majorEastAsia" w:cstheme="majorBidi"/>
      </w:rPr>
      <w:tblPr/>
      <w:tcPr>
        <w:tcBorders>
          <w:top w:val="nil"/>
          <w:bottom w:val="single" w:color="000000" w:themeColor="text1" w:sz="8" w:space="0"/>
        </w:tcBorders>
      </w:tcPr>
    </w:tblStylePr>
    <w:tblStylePr w:type="lastRow">
      <w:rPr>
        <w:b/>
        <w:bCs/>
        <w:color w:val="1F497D" w:themeColor="text2"/>
        <w14:textFill>
          <w14:solidFill>
            <w14:schemeClr w14:val="tx2"/>
          </w14:solidFill>
        </w14:textFill>
      </w:rPr>
      <w:tblPr/>
      <w:tcPr>
        <w:tcBorders>
          <w:top w:val="single" w:color="000000" w:themeColor="text1" w:sz="8" w:space="0"/>
          <w:bottom w:val="single" w:color="000000" w:themeColor="text1" w:sz="8" w:space="0"/>
        </w:tcBorders>
      </w:tcPr>
    </w:tblStylePr>
    <w:tblStylePr w:type="firstCol">
      <w:rPr>
        <w:b/>
        <w:bCs/>
      </w:rPr>
    </w:tblStylePr>
    <w:tblStylePr w:type="lastCol">
      <w:rPr>
        <w:b/>
        <w:bCs/>
      </w:rPr>
      <w:tblPr/>
      <w:tcPr>
        <w:tcBorders>
          <w:top w:val="single" w:color="000000" w:themeColor="text1" w:sz="8" w:space="0"/>
          <w:bottom w:val="single" w:color="000000" w:themeColor="text1" w:sz="8" w:space="0"/>
        </w:tcBorders>
      </w:tcPr>
    </w:tblStylePr>
    <w:tblStylePr w:type="band1Vert">
      <w:tblPr/>
      <w:tcPr>
        <w:shd w:val="clear" w:color="auto" w:fill="C0C0C0"/>
      </w:tcPr>
    </w:tblStylePr>
    <w:tblStylePr w:type="band1Horz">
      <w:tblPr/>
      <w:tcPr>
        <w:shd w:val="clear" w:color="auto" w:fill="C0C0C0"/>
      </w:tcPr>
    </w:tblStylePr>
  </w:style>
  <w:style w:type="table" w:styleId="70">
    <w:name w:val="Medium List 1 Accent 1"/>
    <w:basedOn w:val="32"/>
    <w:uiPriority w:val="65"/>
    <w:pPr>
      <w:spacing w:after="0" w:line="240" w:lineRule="auto"/>
    </w:pPr>
    <w:rPr>
      <w:color w:val="000000"/>
    </w:rPr>
    <w:tblPr>
      <w:tblBorders>
        <w:top w:val="single" w:color="4F81BD" w:sz="8" w:space="0"/>
        <w:bottom w:val="single" w:color="4F81BD" w:sz="8" w:space="0"/>
      </w:tblBorders>
    </w:tblPr>
    <w:tblStylePr w:type="firstRow">
      <w:rPr>
        <w:rFonts w:asciiTheme="majorHAnsi" w:hAnsiTheme="majorHAnsi" w:eastAsiaTheme="majorEastAsia" w:cstheme="majorBidi"/>
      </w:rPr>
      <w:tblPr/>
      <w:tcPr>
        <w:tcBorders>
          <w:top w:val="nil"/>
          <w:bottom w:val="single" w:color="4F81BD" w:themeColor="accent1" w:sz="8" w:space="0"/>
        </w:tcBorders>
      </w:tcPr>
    </w:tblStylePr>
    <w:tblStylePr w:type="lastRow">
      <w:rPr>
        <w:b/>
        <w:bCs/>
        <w:color w:val="1F497D" w:themeColor="text2"/>
        <w14:textFill>
          <w14:solidFill>
            <w14:schemeClr w14:val="tx2"/>
          </w14:solidFill>
        </w14:textFill>
      </w:rPr>
      <w:tblPr/>
      <w:tcPr>
        <w:tcBorders>
          <w:top w:val="single" w:color="4F81BD" w:themeColor="accent1" w:sz="8" w:space="0"/>
          <w:bottom w:val="single" w:color="4F81BD" w:themeColor="accent1" w:sz="8" w:space="0"/>
        </w:tcBorders>
      </w:tcPr>
    </w:tblStylePr>
    <w:tblStylePr w:type="firstCol">
      <w:rPr>
        <w:b/>
        <w:bCs/>
      </w:rPr>
    </w:tblStylePr>
    <w:tblStylePr w:type="lastCol">
      <w:rPr>
        <w:b/>
        <w:bCs/>
      </w:rPr>
      <w:tblPr/>
      <w:tcPr>
        <w:tcBorders>
          <w:top w:val="single" w:color="4F81BD" w:themeColor="accent1" w:sz="8" w:space="0"/>
          <w:bottom w:val="single" w:color="4F81BD" w:themeColor="accent1" w:sz="8" w:space="0"/>
        </w:tcBorders>
      </w:tcPr>
    </w:tblStylePr>
    <w:tblStylePr w:type="band1Vert">
      <w:tblPr/>
      <w:tcPr>
        <w:shd w:val="clear" w:color="auto" w:fill="D3DFEE"/>
      </w:tcPr>
    </w:tblStylePr>
    <w:tblStylePr w:type="band1Horz">
      <w:tblPr/>
      <w:tcPr>
        <w:shd w:val="clear" w:color="auto" w:fill="D3DFEE"/>
      </w:tcPr>
    </w:tblStylePr>
  </w:style>
  <w:style w:type="table" w:styleId="71">
    <w:name w:val="Medium List 1 Accent 2"/>
    <w:basedOn w:val="32"/>
    <w:uiPriority w:val="65"/>
    <w:pPr>
      <w:spacing w:after="0" w:line="240" w:lineRule="auto"/>
    </w:pPr>
    <w:rPr>
      <w:color w:val="000000"/>
    </w:rPr>
    <w:tblPr>
      <w:tblBorders>
        <w:top w:val="single" w:color="C0504D" w:sz="8" w:space="0"/>
        <w:bottom w:val="single" w:color="C0504D" w:sz="8" w:space="0"/>
      </w:tblBorders>
    </w:tblPr>
    <w:tblStylePr w:type="firstRow">
      <w:rPr>
        <w:rFonts w:asciiTheme="majorHAnsi" w:hAnsiTheme="majorHAnsi" w:eastAsiaTheme="majorEastAsia" w:cstheme="majorBidi"/>
      </w:rPr>
      <w:tblPr/>
      <w:tcPr>
        <w:tcBorders>
          <w:top w:val="nil"/>
          <w:bottom w:val="single" w:color="C0504D" w:themeColor="accent2" w:sz="8" w:space="0"/>
        </w:tcBorders>
      </w:tcPr>
    </w:tblStylePr>
    <w:tblStylePr w:type="lastRow">
      <w:rPr>
        <w:b/>
        <w:bCs/>
        <w:color w:val="1F497D" w:themeColor="text2"/>
        <w14:textFill>
          <w14:solidFill>
            <w14:schemeClr w14:val="tx2"/>
          </w14:solidFill>
        </w14:textFill>
      </w:rPr>
      <w:tblPr/>
      <w:tcPr>
        <w:tcBorders>
          <w:top w:val="single" w:color="C0504D" w:themeColor="accent2" w:sz="8" w:space="0"/>
          <w:bottom w:val="single" w:color="C0504D" w:themeColor="accent2" w:sz="8" w:space="0"/>
        </w:tcBorders>
      </w:tcPr>
    </w:tblStylePr>
    <w:tblStylePr w:type="firstCol">
      <w:rPr>
        <w:b/>
        <w:bCs/>
      </w:rPr>
    </w:tblStylePr>
    <w:tblStylePr w:type="lastCol">
      <w:rPr>
        <w:b/>
        <w:bCs/>
      </w:rPr>
      <w:tblPr/>
      <w:tcPr>
        <w:tcBorders>
          <w:top w:val="single" w:color="C0504D" w:themeColor="accent2" w:sz="8" w:space="0"/>
          <w:bottom w:val="single" w:color="C0504D" w:themeColor="accent2" w:sz="8" w:space="0"/>
        </w:tcBorders>
      </w:tcPr>
    </w:tblStylePr>
    <w:tblStylePr w:type="band1Vert">
      <w:tblPr/>
      <w:tcPr>
        <w:shd w:val="clear" w:color="auto" w:fill="EFD3D2"/>
      </w:tcPr>
    </w:tblStylePr>
    <w:tblStylePr w:type="band1Horz">
      <w:tblPr/>
      <w:tcPr>
        <w:shd w:val="clear" w:color="auto" w:fill="EFD3D2"/>
      </w:tcPr>
    </w:tblStylePr>
  </w:style>
  <w:style w:type="table" w:styleId="72">
    <w:name w:val="Medium List 1 Accent 3"/>
    <w:basedOn w:val="32"/>
    <w:qFormat/>
    <w:uiPriority w:val="65"/>
    <w:pPr>
      <w:spacing w:after="0" w:line="240" w:lineRule="auto"/>
    </w:pPr>
    <w:rPr>
      <w:color w:val="000000"/>
    </w:rPr>
    <w:tblPr>
      <w:tblBorders>
        <w:top w:val="single" w:color="9BBB59" w:sz="8" w:space="0"/>
        <w:bottom w:val="single" w:color="9BBB59" w:sz="8" w:space="0"/>
      </w:tblBorders>
    </w:tblPr>
    <w:tblStylePr w:type="firstRow">
      <w:rPr>
        <w:rFonts w:asciiTheme="majorHAnsi" w:hAnsiTheme="majorHAnsi" w:eastAsiaTheme="majorEastAsia" w:cstheme="majorBidi"/>
      </w:rPr>
      <w:tblPr/>
      <w:tcPr>
        <w:tcBorders>
          <w:top w:val="nil"/>
          <w:bottom w:val="single" w:color="9BBB59" w:themeColor="accent3" w:sz="8" w:space="0"/>
        </w:tcBorders>
      </w:tcPr>
    </w:tblStylePr>
    <w:tblStylePr w:type="lastRow">
      <w:rPr>
        <w:b/>
        <w:bCs/>
        <w:color w:val="1F497D" w:themeColor="text2"/>
        <w14:textFill>
          <w14:solidFill>
            <w14:schemeClr w14:val="tx2"/>
          </w14:solidFill>
        </w14:textFill>
      </w:rPr>
      <w:tblPr/>
      <w:tcPr>
        <w:tcBorders>
          <w:top w:val="single" w:color="9BBB59" w:themeColor="accent3" w:sz="8" w:space="0"/>
          <w:bottom w:val="single" w:color="9BBB59" w:themeColor="accent3" w:sz="8" w:space="0"/>
        </w:tcBorders>
      </w:tcPr>
    </w:tblStylePr>
    <w:tblStylePr w:type="firstCol">
      <w:rPr>
        <w:b/>
        <w:bCs/>
      </w:rPr>
    </w:tblStylePr>
    <w:tblStylePr w:type="lastCol">
      <w:rPr>
        <w:b/>
        <w:bCs/>
      </w:rPr>
      <w:tblPr/>
      <w:tcPr>
        <w:tcBorders>
          <w:top w:val="single" w:color="9BBB59" w:themeColor="accent3" w:sz="8" w:space="0"/>
          <w:bottom w:val="single" w:color="9BBB59" w:themeColor="accent3" w:sz="8" w:space="0"/>
        </w:tcBorders>
      </w:tcPr>
    </w:tblStylePr>
    <w:tblStylePr w:type="band1Vert">
      <w:tblPr/>
      <w:tcPr>
        <w:shd w:val="clear" w:color="auto" w:fill="E6EED5"/>
      </w:tcPr>
    </w:tblStylePr>
    <w:tblStylePr w:type="band1Horz">
      <w:tblPr/>
      <w:tcPr>
        <w:shd w:val="clear" w:color="auto" w:fill="E6EED5"/>
      </w:tcPr>
    </w:tblStylePr>
  </w:style>
  <w:style w:type="table" w:styleId="73">
    <w:name w:val="Medium List 1 Accent 4"/>
    <w:basedOn w:val="32"/>
    <w:qFormat/>
    <w:uiPriority w:val="65"/>
    <w:pPr>
      <w:spacing w:after="0" w:line="240" w:lineRule="auto"/>
    </w:pPr>
    <w:rPr>
      <w:color w:val="000000"/>
    </w:rPr>
    <w:tblPr>
      <w:tblBorders>
        <w:top w:val="single" w:color="8064A2" w:sz="8" w:space="0"/>
        <w:bottom w:val="single" w:color="8064A2" w:sz="8" w:space="0"/>
      </w:tblBorders>
    </w:tblPr>
    <w:tblStylePr w:type="firstRow">
      <w:rPr>
        <w:rFonts w:asciiTheme="majorHAnsi" w:hAnsiTheme="majorHAnsi" w:eastAsiaTheme="majorEastAsia" w:cstheme="majorBidi"/>
      </w:rPr>
      <w:tblPr/>
      <w:tcPr>
        <w:tcBorders>
          <w:top w:val="nil"/>
          <w:bottom w:val="single" w:color="8064A2" w:themeColor="accent4" w:sz="8" w:space="0"/>
        </w:tcBorders>
      </w:tcPr>
    </w:tblStylePr>
    <w:tblStylePr w:type="lastRow">
      <w:rPr>
        <w:b/>
        <w:bCs/>
        <w:color w:val="1F497D" w:themeColor="text2"/>
        <w14:textFill>
          <w14:solidFill>
            <w14:schemeClr w14:val="tx2"/>
          </w14:solidFill>
        </w14:textFill>
      </w:rPr>
      <w:tblPr/>
      <w:tcPr>
        <w:tcBorders>
          <w:top w:val="single" w:color="8064A2" w:themeColor="accent4" w:sz="8" w:space="0"/>
          <w:bottom w:val="single" w:color="8064A2" w:themeColor="accent4" w:sz="8" w:space="0"/>
        </w:tcBorders>
      </w:tcPr>
    </w:tblStylePr>
    <w:tblStylePr w:type="firstCol">
      <w:rPr>
        <w:b/>
        <w:bCs/>
      </w:rPr>
    </w:tblStylePr>
    <w:tblStylePr w:type="lastCol">
      <w:rPr>
        <w:b/>
        <w:bCs/>
      </w:rPr>
      <w:tblPr/>
      <w:tcPr>
        <w:tcBorders>
          <w:top w:val="single" w:color="8064A2" w:themeColor="accent4" w:sz="8" w:space="0"/>
          <w:bottom w:val="single" w:color="8064A2" w:themeColor="accent4" w:sz="8" w:space="0"/>
        </w:tcBorders>
      </w:tcPr>
    </w:tblStylePr>
    <w:tblStylePr w:type="band1Vert">
      <w:tblPr/>
      <w:tcPr>
        <w:shd w:val="clear" w:color="auto" w:fill="DFD8E8"/>
      </w:tcPr>
    </w:tblStylePr>
    <w:tblStylePr w:type="band1Horz">
      <w:tblPr/>
      <w:tcPr>
        <w:shd w:val="clear" w:color="auto" w:fill="DFD8E8"/>
      </w:tcPr>
    </w:tblStylePr>
  </w:style>
  <w:style w:type="table" w:styleId="74">
    <w:name w:val="Medium List 1 Accent 5"/>
    <w:basedOn w:val="32"/>
    <w:qFormat/>
    <w:uiPriority w:val="65"/>
    <w:pPr>
      <w:spacing w:after="0" w:line="240" w:lineRule="auto"/>
    </w:pPr>
    <w:rPr>
      <w:color w:val="000000"/>
    </w:rPr>
    <w:tblPr>
      <w:tblBorders>
        <w:top w:val="single" w:color="4BACC6" w:sz="8" w:space="0"/>
        <w:bottom w:val="single" w:color="4BACC6" w:sz="8" w:space="0"/>
      </w:tblBorders>
    </w:tblPr>
    <w:tblStylePr w:type="firstRow">
      <w:rPr>
        <w:rFonts w:asciiTheme="majorHAnsi" w:hAnsiTheme="majorHAnsi" w:eastAsiaTheme="majorEastAsia" w:cstheme="majorBidi"/>
      </w:rPr>
      <w:tblPr/>
      <w:tcPr>
        <w:tcBorders>
          <w:top w:val="nil"/>
          <w:bottom w:val="single" w:color="4BACC6" w:themeColor="accent5" w:sz="8" w:space="0"/>
        </w:tcBorders>
      </w:tcPr>
    </w:tblStylePr>
    <w:tblStylePr w:type="lastRow">
      <w:rPr>
        <w:b/>
        <w:bCs/>
        <w:color w:val="1F497D" w:themeColor="text2"/>
        <w14:textFill>
          <w14:solidFill>
            <w14:schemeClr w14:val="tx2"/>
          </w14:solidFill>
        </w14:textFill>
      </w:rPr>
      <w:tblPr/>
      <w:tcPr>
        <w:tcBorders>
          <w:top w:val="single" w:color="4BACC6" w:themeColor="accent5" w:sz="8" w:space="0"/>
          <w:bottom w:val="single" w:color="4BACC6" w:themeColor="accent5" w:sz="8" w:space="0"/>
        </w:tcBorders>
      </w:tcPr>
    </w:tblStylePr>
    <w:tblStylePr w:type="firstCol">
      <w:rPr>
        <w:b/>
        <w:bCs/>
      </w:rPr>
    </w:tblStylePr>
    <w:tblStylePr w:type="lastCol">
      <w:rPr>
        <w:b/>
        <w:bCs/>
      </w:rPr>
      <w:tblPr/>
      <w:tcPr>
        <w:tcBorders>
          <w:top w:val="single" w:color="4BACC6" w:themeColor="accent5" w:sz="8" w:space="0"/>
          <w:bottom w:val="single" w:color="4BACC6" w:themeColor="accent5" w:sz="8" w:space="0"/>
        </w:tcBorders>
      </w:tcPr>
    </w:tblStylePr>
    <w:tblStylePr w:type="band1Vert">
      <w:tblPr/>
      <w:tcPr>
        <w:shd w:val="clear" w:color="auto" w:fill="D2EAF1"/>
      </w:tcPr>
    </w:tblStylePr>
    <w:tblStylePr w:type="band1Horz">
      <w:tblPr/>
      <w:tcPr>
        <w:shd w:val="clear" w:color="auto" w:fill="D2EAF1"/>
      </w:tcPr>
    </w:tblStylePr>
  </w:style>
  <w:style w:type="table" w:styleId="75">
    <w:name w:val="Medium List 1 Accent 6"/>
    <w:basedOn w:val="32"/>
    <w:uiPriority w:val="65"/>
    <w:pPr>
      <w:spacing w:after="0" w:line="240" w:lineRule="auto"/>
    </w:pPr>
    <w:rPr>
      <w:color w:val="000000"/>
    </w:rPr>
    <w:tblPr>
      <w:tblBorders>
        <w:top w:val="single" w:color="F79646" w:sz="8" w:space="0"/>
        <w:bottom w:val="single" w:color="F79646" w:sz="8" w:space="0"/>
      </w:tblBorders>
    </w:tblPr>
    <w:tblStylePr w:type="firstRow">
      <w:rPr>
        <w:rFonts w:asciiTheme="majorHAnsi" w:hAnsiTheme="majorHAnsi" w:eastAsiaTheme="majorEastAsia" w:cstheme="majorBidi"/>
      </w:rPr>
      <w:tblPr/>
      <w:tcPr>
        <w:tcBorders>
          <w:top w:val="nil"/>
          <w:bottom w:val="single" w:color="F79646" w:themeColor="accent6" w:sz="8" w:space="0"/>
        </w:tcBorders>
      </w:tcPr>
    </w:tblStylePr>
    <w:tblStylePr w:type="lastRow">
      <w:rPr>
        <w:b/>
        <w:bCs/>
        <w:color w:val="1F497D" w:themeColor="text2"/>
        <w14:textFill>
          <w14:solidFill>
            <w14:schemeClr w14:val="tx2"/>
          </w14:solidFill>
        </w14:textFill>
      </w:rPr>
      <w:tblPr/>
      <w:tcPr>
        <w:tcBorders>
          <w:top w:val="single" w:color="F79646" w:themeColor="accent6" w:sz="8" w:space="0"/>
          <w:bottom w:val="single" w:color="F79646" w:themeColor="accent6" w:sz="8" w:space="0"/>
        </w:tcBorders>
      </w:tcPr>
    </w:tblStylePr>
    <w:tblStylePr w:type="firstCol">
      <w:rPr>
        <w:b/>
        <w:bCs/>
      </w:rPr>
    </w:tblStylePr>
    <w:tblStylePr w:type="lastCol">
      <w:rPr>
        <w:b/>
        <w:bCs/>
      </w:rPr>
      <w:tblPr/>
      <w:tcPr>
        <w:tcBorders>
          <w:top w:val="single" w:color="F79646" w:themeColor="accent6" w:sz="8" w:space="0"/>
          <w:bottom w:val="single" w:color="F79646" w:themeColor="accent6" w:sz="8" w:space="0"/>
        </w:tcBorders>
      </w:tcPr>
    </w:tblStylePr>
    <w:tblStylePr w:type="band1Vert">
      <w:tblPr/>
      <w:tcPr>
        <w:shd w:val="clear" w:color="auto" w:fill="FDE4D0"/>
      </w:tcPr>
    </w:tblStylePr>
    <w:tblStylePr w:type="band1Horz">
      <w:tblPr/>
      <w:tcPr>
        <w:shd w:val="clear" w:color="auto" w:fill="FDE4D0"/>
      </w:tcPr>
    </w:tblStylePr>
  </w:style>
  <w:style w:type="table" w:styleId="76">
    <w:name w:val="Medium List 2"/>
    <w:basedOn w:val="32"/>
    <w:uiPriority w:val="66"/>
    <w:pPr>
      <w:spacing w:after="0" w:line="240" w:lineRule="auto"/>
    </w:pPr>
    <w:rPr>
      <w:rFonts w:asciiTheme="majorHAnsi" w:hAnsiTheme="majorHAnsi" w:eastAsiaTheme="majorEastAsia" w:cstheme="majorBidi"/>
      <w:color w:val="000000"/>
    </w:rPr>
    <w:tblPr>
      <w:tblBorders>
        <w:top w:val="single" w:color="auto" w:sz="8" w:space="0"/>
        <w:left w:val="single" w:color="auto" w:sz="8" w:space="0"/>
        <w:bottom w:val="single" w:color="auto" w:sz="8" w:space="0"/>
        <w:right w:val="single" w:color="auto" w:sz="8" w:space="0"/>
      </w:tblBorders>
    </w:tblPr>
    <w:tblStylePr w:type="firstRow">
      <w:rPr>
        <w:sz w:val="24"/>
        <w:szCs w:val="24"/>
      </w:rPr>
      <w:tblPr/>
      <w:tcPr>
        <w:tcBorders>
          <w:top w:val="nil"/>
          <w:left w:val="nil"/>
          <w:bottom w:val="single" w:color="000000" w:themeColor="text1" w:sz="24" w:space="0"/>
          <w:right w:val="nil"/>
          <w:insideH w:val="nil"/>
          <w:insideV w:val="nil"/>
        </w:tcBorders>
        <w:shd w:val="clear" w:color="auto" w:fill="FFFFFF"/>
      </w:tcPr>
    </w:tblStylePr>
    <w:tblStylePr w:type="lastRow">
      <w:tblPr/>
      <w:tcPr>
        <w:tcBorders>
          <w:top w:val="single" w:color="000000" w:themeColor="text1" w:sz="8" w:space="0"/>
          <w:left w:val="nil"/>
          <w:bottom w:val="nil"/>
          <w:right w:val="nil"/>
          <w:insideH w:val="nil"/>
          <w:insideV w:val="nil"/>
        </w:tcBorders>
        <w:shd w:val="clear" w:color="auto" w:fill="FFFFFF"/>
      </w:tcPr>
    </w:tblStylePr>
    <w:tblStylePr w:type="firstCol">
      <w:tblPr/>
      <w:tcPr>
        <w:tcBorders>
          <w:top w:val="nil"/>
          <w:left w:val="nil"/>
          <w:bottom w:val="nil"/>
          <w:right w:val="single" w:color="000000" w:themeColor="text1" w:sz="8" w:space="0"/>
          <w:insideH w:val="nil"/>
          <w:insideV w:val="nil"/>
        </w:tcBorders>
        <w:shd w:val="clear" w:color="auto" w:fill="FFFFFF"/>
      </w:tcPr>
    </w:tblStylePr>
    <w:tblStylePr w:type="lastCol">
      <w:tblPr/>
      <w:tcPr>
        <w:tcBorders>
          <w:top w:val="nil"/>
          <w:left w:val="single" w:color="000000" w:themeColor="text1" w:sz="8" w:space="0"/>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C0C0C0"/>
      </w:tcPr>
    </w:tblStylePr>
    <w:tblStylePr w:type="band1Horz">
      <w:tblPr/>
      <w:tcPr>
        <w:tcBorders>
          <w:top w:val="nil"/>
          <w:bottom w:val="nil"/>
          <w:insideH w:val="nil"/>
          <w:insideV w:val="nil"/>
        </w:tcBorders>
        <w:shd w:val="clear" w:color="auto" w:fill="C0C0C0"/>
      </w:tcPr>
    </w:tblStylePr>
    <w:tblStylePr w:type="nwCell">
      <w:tblPr/>
      <w:tcPr>
        <w:shd w:val="clear" w:color="auto" w:fill="FFFFFF"/>
      </w:tcPr>
    </w:tblStylePr>
    <w:tblStylePr w:type="swCell">
      <w:tblPr/>
      <w:tcPr>
        <w:tcBorders>
          <w:top w:val="nil"/>
        </w:tcBorders>
      </w:tcPr>
    </w:tblStylePr>
  </w:style>
  <w:style w:type="table" w:styleId="77">
    <w:name w:val="Medium List 2 Accent 1"/>
    <w:basedOn w:val="32"/>
    <w:qFormat/>
    <w:uiPriority w:val="66"/>
    <w:pPr>
      <w:spacing w:after="0" w:line="240" w:lineRule="auto"/>
    </w:pPr>
    <w:rPr>
      <w:rFonts w:asciiTheme="majorHAnsi" w:hAnsiTheme="majorHAnsi" w:eastAsiaTheme="majorEastAsia" w:cstheme="majorBidi"/>
      <w:color w:val="000000"/>
    </w:rPr>
    <w:tblPr>
      <w:tblBorders>
        <w:top w:val="single" w:color="4F81BD" w:sz="8" w:space="0"/>
        <w:left w:val="single" w:color="4F81BD" w:sz="8" w:space="0"/>
        <w:bottom w:val="single" w:color="4F81BD" w:sz="8" w:space="0"/>
        <w:right w:val="single" w:color="4F81BD" w:sz="8" w:space="0"/>
      </w:tblBorders>
    </w:tblPr>
    <w:tblStylePr w:type="firstRow">
      <w:rPr>
        <w:sz w:val="24"/>
        <w:szCs w:val="24"/>
      </w:rPr>
      <w:tblPr/>
      <w:tcPr>
        <w:tcBorders>
          <w:top w:val="nil"/>
          <w:left w:val="nil"/>
          <w:bottom w:val="single" w:color="4F81BD" w:themeColor="accent1" w:sz="24" w:space="0"/>
          <w:right w:val="nil"/>
          <w:insideH w:val="nil"/>
          <w:insideV w:val="nil"/>
        </w:tcBorders>
        <w:shd w:val="clear" w:color="auto" w:fill="FFFFFF"/>
      </w:tcPr>
    </w:tblStylePr>
    <w:tblStylePr w:type="lastRow">
      <w:tblPr/>
      <w:tcPr>
        <w:tcBorders>
          <w:top w:val="single" w:color="4F81BD" w:themeColor="accent1" w:sz="8" w:space="0"/>
          <w:left w:val="nil"/>
          <w:bottom w:val="nil"/>
          <w:right w:val="nil"/>
          <w:insideH w:val="nil"/>
          <w:insideV w:val="nil"/>
        </w:tcBorders>
        <w:shd w:val="clear" w:color="auto" w:fill="FFFFFF"/>
      </w:tcPr>
    </w:tblStylePr>
    <w:tblStylePr w:type="firstCol">
      <w:tblPr/>
      <w:tcPr>
        <w:tcBorders>
          <w:top w:val="nil"/>
          <w:left w:val="nil"/>
          <w:bottom w:val="nil"/>
          <w:right w:val="single" w:color="4F81BD" w:themeColor="accent1" w:sz="8" w:space="0"/>
          <w:insideH w:val="nil"/>
          <w:insideV w:val="nil"/>
        </w:tcBorders>
        <w:shd w:val="clear" w:color="auto" w:fill="FFFFFF"/>
      </w:tcPr>
    </w:tblStylePr>
    <w:tblStylePr w:type="lastCol">
      <w:tblPr/>
      <w:tcPr>
        <w:tcBorders>
          <w:top w:val="nil"/>
          <w:left w:val="single" w:color="4F81BD" w:themeColor="accent1" w:sz="8" w:space="0"/>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D3DFEE"/>
      </w:tcPr>
    </w:tblStylePr>
    <w:tblStylePr w:type="band1Horz">
      <w:tblPr/>
      <w:tcPr>
        <w:tcBorders>
          <w:top w:val="nil"/>
          <w:bottom w:val="nil"/>
          <w:insideH w:val="nil"/>
          <w:insideV w:val="nil"/>
        </w:tcBorders>
        <w:shd w:val="clear" w:color="auto" w:fill="D3DFEE"/>
      </w:tcPr>
    </w:tblStylePr>
    <w:tblStylePr w:type="nwCell">
      <w:tblPr/>
      <w:tcPr>
        <w:shd w:val="clear" w:color="auto" w:fill="FFFFFF"/>
      </w:tcPr>
    </w:tblStylePr>
    <w:tblStylePr w:type="swCell">
      <w:tblPr/>
      <w:tcPr>
        <w:tcBorders>
          <w:top w:val="nil"/>
        </w:tcBorders>
      </w:tcPr>
    </w:tblStylePr>
  </w:style>
  <w:style w:type="table" w:styleId="78">
    <w:name w:val="Medium List 2 Accent 2"/>
    <w:basedOn w:val="32"/>
    <w:qFormat/>
    <w:uiPriority w:val="66"/>
    <w:pPr>
      <w:spacing w:after="0" w:line="240" w:lineRule="auto"/>
    </w:pPr>
    <w:rPr>
      <w:rFonts w:asciiTheme="majorHAnsi" w:hAnsiTheme="majorHAnsi" w:eastAsiaTheme="majorEastAsia" w:cstheme="majorBidi"/>
      <w:color w:val="000000"/>
    </w:rPr>
    <w:tblPr>
      <w:tblBorders>
        <w:top w:val="single" w:color="C0504D" w:sz="8" w:space="0"/>
        <w:left w:val="single" w:color="C0504D" w:sz="8" w:space="0"/>
        <w:bottom w:val="single" w:color="C0504D" w:sz="8" w:space="0"/>
        <w:right w:val="single" w:color="C0504D" w:sz="8" w:space="0"/>
      </w:tblBorders>
    </w:tblPr>
    <w:tblStylePr w:type="firstRow">
      <w:rPr>
        <w:sz w:val="24"/>
        <w:szCs w:val="24"/>
      </w:rPr>
      <w:tblPr/>
      <w:tcPr>
        <w:tcBorders>
          <w:top w:val="nil"/>
          <w:left w:val="nil"/>
          <w:bottom w:val="single" w:color="C0504D" w:themeColor="accent2" w:sz="24" w:space="0"/>
          <w:right w:val="nil"/>
          <w:insideH w:val="nil"/>
          <w:insideV w:val="nil"/>
        </w:tcBorders>
        <w:shd w:val="clear" w:color="auto" w:fill="FFFFFF"/>
      </w:tcPr>
    </w:tblStylePr>
    <w:tblStylePr w:type="lastRow">
      <w:tblPr/>
      <w:tcPr>
        <w:tcBorders>
          <w:top w:val="single" w:color="C0504D" w:themeColor="accent2" w:sz="8" w:space="0"/>
          <w:left w:val="nil"/>
          <w:bottom w:val="nil"/>
          <w:right w:val="nil"/>
          <w:insideH w:val="nil"/>
          <w:insideV w:val="nil"/>
        </w:tcBorders>
        <w:shd w:val="clear" w:color="auto" w:fill="FFFFFF"/>
      </w:tcPr>
    </w:tblStylePr>
    <w:tblStylePr w:type="firstCol">
      <w:tblPr/>
      <w:tcPr>
        <w:tcBorders>
          <w:top w:val="nil"/>
          <w:left w:val="nil"/>
          <w:bottom w:val="nil"/>
          <w:right w:val="single" w:color="C0504D" w:themeColor="accent2" w:sz="8" w:space="0"/>
          <w:insideH w:val="nil"/>
          <w:insideV w:val="nil"/>
        </w:tcBorders>
        <w:shd w:val="clear" w:color="auto" w:fill="FFFFFF"/>
      </w:tcPr>
    </w:tblStylePr>
    <w:tblStylePr w:type="lastCol">
      <w:tblPr/>
      <w:tcPr>
        <w:tcBorders>
          <w:top w:val="nil"/>
          <w:left w:val="single" w:color="C0504D" w:themeColor="accent2" w:sz="8" w:space="0"/>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EFD3D2"/>
      </w:tcPr>
    </w:tblStylePr>
    <w:tblStylePr w:type="band1Horz">
      <w:tblPr/>
      <w:tcPr>
        <w:tcBorders>
          <w:top w:val="nil"/>
          <w:bottom w:val="nil"/>
          <w:insideH w:val="nil"/>
          <w:insideV w:val="nil"/>
        </w:tcBorders>
        <w:shd w:val="clear" w:color="auto" w:fill="EFD3D2"/>
      </w:tcPr>
    </w:tblStylePr>
    <w:tblStylePr w:type="nwCell">
      <w:tblPr/>
      <w:tcPr>
        <w:shd w:val="clear" w:color="auto" w:fill="FFFFFF"/>
      </w:tcPr>
    </w:tblStylePr>
    <w:tblStylePr w:type="swCell">
      <w:tblPr/>
      <w:tcPr>
        <w:tcBorders>
          <w:top w:val="nil"/>
        </w:tcBorders>
      </w:tcPr>
    </w:tblStylePr>
  </w:style>
  <w:style w:type="table" w:styleId="79">
    <w:name w:val="Medium List 2 Accent 3"/>
    <w:basedOn w:val="32"/>
    <w:qFormat/>
    <w:uiPriority w:val="66"/>
    <w:pPr>
      <w:spacing w:after="0" w:line="240" w:lineRule="auto"/>
    </w:pPr>
    <w:rPr>
      <w:rFonts w:asciiTheme="majorHAnsi" w:hAnsiTheme="majorHAnsi" w:eastAsiaTheme="majorEastAsia" w:cstheme="majorBidi"/>
      <w:color w:val="000000"/>
    </w:rPr>
    <w:tblPr>
      <w:tblBorders>
        <w:top w:val="single" w:color="9BBB59" w:sz="8" w:space="0"/>
        <w:left w:val="single" w:color="9BBB59" w:sz="8" w:space="0"/>
        <w:bottom w:val="single" w:color="9BBB59" w:sz="8" w:space="0"/>
        <w:right w:val="single" w:color="9BBB59" w:sz="8" w:space="0"/>
      </w:tblBorders>
    </w:tblPr>
    <w:tblStylePr w:type="firstRow">
      <w:rPr>
        <w:sz w:val="24"/>
        <w:szCs w:val="24"/>
      </w:rPr>
      <w:tblPr/>
      <w:tcPr>
        <w:tcBorders>
          <w:top w:val="nil"/>
          <w:left w:val="nil"/>
          <w:bottom w:val="single" w:color="9BBB59" w:themeColor="accent3" w:sz="24" w:space="0"/>
          <w:right w:val="nil"/>
          <w:insideH w:val="nil"/>
          <w:insideV w:val="nil"/>
        </w:tcBorders>
        <w:shd w:val="clear" w:color="auto" w:fill="FFFFFF"/>
      </w:tcPr>
    </w:tblStylePr>
    <w:tblStylePr w:type="lastRow">
      <w:tblPr/>
      <w:tcPr>
        <w:tcBorders>
          <w:top w:val="single" w:color="9BBB59" w:themeColor="accent3" w:sz="8" w:space="0"/>
          <w:left w:val="nil"/>
          <w:bottom w:val="nil"/>
          <w:right w:val="nil"/>
          <w:insideH w:val="nil"/>
          <w:insideV w:val="nil"/>
        </w:tcBorders>
        <w:shd w:val="clear" w:color="auto" w:fill="FFFFFF"/>
      </w:tcPr>
    </w:tblStylePr>
    <w:tblStylePr w:type="firstCol">
      <w:tblPr/>
      <w:tcPr>
        <w:tcBorders>
          <w:top w:val="nil"/>
          <w:left w:val="nil"/>
          <w:bottom w:val="nil"/>
          <w:right w:val="single" w:color="9BBB59" w:themeColor="accent3" w:sz="8" w:space="0"/>
          <w:insideH w:val="nil"/>
          <w:insideV w:val="nil"/>
        </w:tcBorders>
        <w:shd w:val="clear" w:color="auto" w:fill="FFFFFF"/>
      </w:tcPr>
    </w:tblStylePr>
    <w:tblStylePr w:type="lastCol">
      <w:tblPr/>
      <w:tcPr>
        <w:tcBorders>
          <w:top w:val="nil"/>
          <w:left w:val="single" w:color="9BBB59" w:themeColor="accent3" w:sz="8" w:space="0"/>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E6EED5"/>
      </w:tcPr>
    </w:tblStylePr>
    <w:tblStylePr w:type="band1Horz">
      <w:tblPr/>
      <w:tcPr>
        <w:tcBorders>
          <w:top w:val="nil"/>
          <w:bottom w:val="nil"/>
          <w:insideH w:val="nil"/>
          <w:insideV w:val="nil"/>
        </w:tcBorders>
        <w:shd w:val="clear" w:color="auto" w:fill="E6EED5"/>
      </w:tcPr>
    </w:tblStylePr>
    <w:tblStylePr w:type="nwCell">
      <w:tblPr/>
      <w:tcPr>
        <w:shd w:val="clear" w:color="auto" w:fill="FFFFFF"/>
      </w:tcPr>
    </w:tblStylePr>
    <w:tblStylePr w:type="swCell">
      <w:tblPr/>
      <w:tcPr>
        <w:tcBorders>
          <w:top w:val="nil"/>
        </w:tcBorders>
      </w:tcPr>
    </w:tblStylePr>
  </w:style>
  <w:style w:type="table" w:styleId="80">
    <w:name w:val="Medium List 2 Accent 4"/>
    <w:basedOn w:val="32"/>
    <w:uiPriority w:val="66"/>
    <w:pPr>
      <w:spacing w:after="0" w:line="240" w:lineRule="auto"/>
    </w:pPr>
    <w:rPr>
      <w:rFonts w:asciiTheme="majorHAnsi" w:hAnsiTheme="majorHAnsi" w:eastAsiaTheme="majorEastAsia" w:cstheme="majorBidi"/>
      <w:color w:val="000000"/>
    </w:rPr>
    <w:tblPr>
      <w:tblBorders>
        <w:top w:val="single" w:color="8064A2" w:sz="8" w:space="0"/>
        <w:left w:val="single" w:color="8064A2" w:sz="8" w:space="0"/>
        <w:bottom w:val="single" w:color="8064A2" w:sz="8" w:space="0"/>
        <w:right w:val="single" w:color="8064A2" w:sz="8" w:space="0"/>
      </w:tblBorders>
    </w:tblPr>
    <w:tblStylePr w:type="firstRow">
      <w:rPr>
        <w:sz w:val="24"/>
        <w:szCs w:val="24"/>
      </w:rPr>
      <w:tblPr/>
      <w:tcPr>
        <w:tcBorders>
          <w:top w:val="nil"/>
          <w:left w:val="nil"/>
          <w:bottom w:val="single" w:color="8064A2" w:themeColor="accent4" w:sz="24" w:space="0"/>
          <w:right w:val="nil"/>
          <w:insideH w:val="nil"/>
          <w:insideV w:val="nil"/>
        </w:tcBorders>
        <w:shd w:val="clear" w:color="auto" w:fill="FFFFFF"/>
      </w:tcPr>
    </w:tblStylePr>
    <w:tblStylePr w:type="lastRow">
      <w:tblPr/>
      <w:tcPr>
        <w:tcBorders>
          <w:top w:val="single" w:color="8064A2" w:themeColor="accent4" w:sz="8" w:space="0"/>
          <w:left w:val="nil"/>
          <w:bottom w:val="nil"/>
          <w:right w:val="nil"/>
          <w:insideH w:val="nil"/>
          <w:insideV w:val="nil"/>
        </w:tcBorders>
        <w:shd w:val="clear" w:color="auto" w:fill="FFFFFF"/>
      </w:tcPr>
    </w:tblStylePr>
    <w:tblStylePr w:type="firstCol">
      <w:tblPr/>
      <w:tcPr>
        <w:tcBorders>
          <w:top w:val="nil"/>
          <w:left w:val="nil"/>
          <w:bottom w:val="nil"/>
          <w:right w:val="single" w:color="8064A2" w:themeColor="accent4" w:sz="8" w:space="0"/>
          <w:insideH w:val="nil"/>
          <w:insideV w:val="nil"/>
        </w:tcBorders>
        <w:shd w:val="clear" w:color="auto" w:fill="FFFFFF"/>
      </w:tcPr>
    </w:tblStylePr>
    <w:tblStylePr w:type="lastCol">
      <w:tblPr/>
      <w:tcPr>
        <w:tcBorders>
          <w:top w:val="nil"/>
          <w:left w:val="single" w:color="8064A2" w:themeColor="accent4" w:sz="8" w:space="0"/>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DFD8E8"/>
      </w:tcPr>
    </w:tblStylePr>
    <w:tblStylePr w:type="band1Horz">
      <w:tblPr/>
      <w:tcPr>
        <w:tcBorders>
          <w:top w:val="nil"/>
          <w:bottom w:val="nil"/>
          <w:insideH w:val="nil"/>
          <w:insideV w:val="nil"/>
        </w:tcBorders>
        <w:shd w:val="clear" w:color="auto" w:fill="DFD8E8"/>
      </w:tcPr>
    </w:tblStylePr>
    <w:tblStylePr w:type="nwCell">
      <w:tblPr/>
      <w:tcPr>
        <w:shd w:val="clear" w:color="auto" w:fill="FFFFFF"/>
      </w:tcPr>
    </w:tblStylePr>
    <w:tblStylePr w:type="swCell">
      <w:tblPr/>
      <w:tcPr>
        <w:tcBorders>
          <w:top w:val="nil"/>
        </w:tcBorders>
      </w:tcPr>
    </w:tblStylePr>
  </w:style>
  <w:style w:type="table" w:styleId="81">
    <w:name w:val="Medium List 2 Accent 5"/>
    <w:basedOn w:val="32"/>
    <w:uiPriority w:val="66"/>
    <w:pPr>
      <w:spacing w:after="0" w:line="240" w:lineRule="auto"/>
    </w:pPr>
    <w:rPr>
      <w:rFonts w:asciiTheme="majorHAnsi" w:hAnsiTheme="majorHAnsi" w:eastAsiaTheme="majorEastAsia" w:cstheme="majorBidi"/>
      <w:color w:val="000000"/>
    </w:rPr>
    <w:tblPr>
      <w:tblBorders>
        <w:top w:val="single" w:color="4BACC6" w:sz="8" w:space="0"/>
        <w:left w:val="single" w:color="4BACC6" w:sz="8" w:space="0"/>
        <w:bottom w:val="single" w:color="4BACC6" w:sz="8" w:space="0"/>
        <w:right w:val="single" w:color="4BACC6" w:sz="8" w:space="0"/>
      </w:tblBorders>
    </w:tblPr>
    <w:tblStylePr w:type="firstRow">
      <w:rPr>
        <w:sz w:val="24"/>
        <w:szCs w:val="24"/>
      </w:rPr>
      <w:tblPr/>
      <w:tcPr>
        <w:tcBorders>
          <w:top w:val="nil"/>
          <w:left w:val="nil"/>
          <w:bottom w:val="single" w:color="4BACC6" w:themeColor="accent5" w:sz="24" w:space="0"/>
          <w:right w:val="nil"/>
          <w:insideH w:val="nil"/>
          <w:insideV w:val="nil"/>
        </w:tcBorders>
        <w:shd w:val="clear" w:color="auto" w:fill="FFFFFF"/>
      </w:tcPr>
    </w:tblStylePr>
    <w:tblStylePr w:type="lastRow">
      <w:tblPr/>
      <w:tcPr>
        <w:tcBorders>
          <w:top w:val="single" w:color="4BACC6" w:themeColor="accent5" w:sz="8" w:space="0"/>
          <w:left w:val="nil"/>
          <w:bottom w:val="nil"/>
          <w:right w:val="nil"/>
          <w:insideH w:val="nil"/>
          <w:insideV w:val="nil"/>
        </w:tcBorders>
        <w:shd w:val="clear" w:color="auto" w:fill="FFFFFF"/>
      </w:tcPr>
    </w:tblStylePr>
    <w:tblStylePr w:type="firstCol">
      <w:tblPr/>
      <w:tcPr>
        <w:tcBorders>
          <w:top w:val="nil"/>
          <w:left w:val="nil"/>
          <w:bottom w:val="nil"/>
          <w:right w:val="single" w:color="4BACC6" w:themeColor="accent5" w:sz="8" w:space="0"/>
          <w:insideH w:val="nil"/>
          <w:insideV w:val="nil"/>
        </w:tcBorders>
        <w:shd w:val="clear" w:color="auto" w:fill="FFFFFF"/>
      </w:tcPr>
    </w:tblStylePr>
    <w:tblStylePr w:type="lastCol">
      <w:tblPr/>
      <w:tcPr>
        <w:tcBorders>
          <w:top w:val="nil"/>
          <w:left w:val="single" w:color="4BACC6" w:themeColor="accent5" w:sz="8" w:space="0"/>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D2EAF1"/>
      </w:tcPr>
    </w:tblStylePr>
    <w:tblStylePr w:type="band1Horz">
      <w:tblPr/>
      <w:tcPr>
        <w:tcBorders>
          <w:top w:val="nil"/>
          <w:bottom w:val="nil"/>
          <w:insideH w:val="nil"/>
          <w:insideV w:val="nil"/>
        </w:tcBorders>
        <w:shd w:val="clear" w:color="auto" w:fill="D2EAF1"/>
      </w:tcPr>
    </w:tblStylePr>
    <w:tblStylePr w:type="nwCell">
      <w:tblPr/>
      <w:tcPr>
        <w:shd w:val="clear" w:color="auto" w:fill="FFFFFF"/>
      </w:tcPr>
    </w:tblStylePr>
    <w:tblStylePr w:type="swCell">
      <w:tblPr/>
      <w:tcPr>
        <w:tcBorders>
          <w:top w:val="nil"/>
        </w:tcBorders>
      </w:tcPr>
    </w:tblStylePr>
  </w:style>
  <w:style w:type="table" w:styleId="82">
    <w:name w:val="Medium List 2 Accent 6"/>
    <w:basedOn w:val="32"/>
    <w:uiPriority w:val="66"/>
    <w:pPr>
      <w:spacing w:after="0" w:line="240" w:lineRule="auto"/>
    </w:pPr>
    <w:rPr>
      <w:rFonts w:asciiTheme="majorHAnsi" w:hAnsiTheme="majorHAnsi" w:eastAsiaTheme="majorEastAsia" w:cstheme="majorBidi"/>
      <w:color w:val="000000"/>
    </w:rPr>
    <w:tblPr>
      <w:tblBorders>
        <w:top w:val="single" w:color="F79646" w:sz="8" w:space="0"/>
        <w:left w:val="single" w:color="F79646" w:sz="8" w:space="0"/>
        <w:bottom w:val="single" w:color="F79646" w:sz="8" w:space="0"/>
        <w:right w:val="single" w:color="F79646" w:sz="8" w:space="0"/>
      </w:tblBorders>
    </w:tblPr>
    <w:tblStylePr w:type="firstRow">
      <w:rPr>
        <w:sz w:val="24"/>
        <w:szCs w:val="24"/>
      </w:rPr>
      <w:tblPr/>
      <w:tcPr>
        <w:tcBorders>
          <w:top w:val="nil"/>
          <w:left w:val="nil"/>
          <w:bottom w:val="single" w:color="F79646" w:themeColor="accent6" w:sz="24" w:space="0"/>
          <w:right w:val="nil"/>
          <w:insideH w:val="nil"/>
          <w:insideV w:val="nil"/>
        </w:tcBorders>
        <w:shd w:val="clear" w:color="auto" w:fill="FFFFFF"/>
      </w:tcPr>
    </w:tblStylePr>
    <w:tblStylePr w:type="lastRow">
      <w:tblPr/>
      <w:tcPr>
        <w:tcBorders>
          <w:top w:val="single" w:color="F79646" w:themeColor="accent6" w:sz="8" w:space="0"/>
          <w:left w:val="nil"/>
          <w:bottom w:val="nil"/>
          <w:right w:val="nil"/>
          <w:insideH w:val="nil"/>
          <w:insideV w:val="nil"/>
        </w:tcBorders>
        <w:shd w:val="clear" w:color="auto" w:fill="FFFFFF"/>
      </w:tcPr>
    </w:tblStylePr>
    <w:tblStylePr w:type="firstCol">
      <w:tblPr/>
      <w:tcPr>
        <w:tcBorders>
          <w:top w:val="nil"/>
          <w:left w:val="nil"/>
          <w:bottom w:val="nil"/>
          <w:right w:val="single" w:color="F79646" w:themeColor="accent6" w:sz="8" w:space="0"/>
          <w:insideH w:val="nil"/>
          <w:insideV w:val="nil"/>
        </w:tcBorders>
        <w:shd w:val="clear" w:color="auto" w:fill="FFFFFF"/>
      </w:tcPr>
    </w:tblStylePr>
    <w:tblStylePr w:type="lastCol">
      <w:tblPr/>
      <w:tcPr>
        <w:tcBorders>
          <w:top w:val="nil"/>
          <w:left w:val="single" w:color="F79646" w:themeColor="accent6" w:sz="8" w:space="0"/>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FDE4D0"/>
      </w:tcPr>
    </w:tblStylePr>
    <w:tblStylePr w:type="band1Horz">
      <w:tblPr/>
      <w:tcPr>
        <w:tcBorders>
          <w:top w:val="nil"/>
          <w:bottom w:val="nil"/>
          <w:insideH w:val="nil"/>
          <w:insideV w:val="nil"/>
        </w:tcBorders>
        <w:shd w:val="clear" w:color="auto" w:fill="FDE4D0"/>
      </w:tcPr>
    </w:tblStylePr>
    <w:tblStylePr w:type="nwCell">
      <w:tblPr/>
      <w:tcPr>
        <w:shd w:val="clear" w:color="auto" w:fill="FFFFFF"/>
      </w:tcPr>
    </w:tblStylePr>
    <w:tblStylePr w:type="swCell">
      <w:tblPr/>
      <w:tcPr>
        <w:tcBorders>
          <w:top w:val="nil"/>
        </w:tcBorders>
      </w:tcPr>
    </w:tblStylePr>
  </w:style>
  <w:style w:type="table" w:styleId="83">
    <w:name w:val="Medium Grid 1"/>
    <w:basedOn w:val="32"/>
    <w:qFormat/>
    <w:uiPriority w:val="67"/>
    <w:pPr>
      <w:spacing w:after="0" w:line="240" w:lineRule="auto"/>
    </w:pPr>
    <w:tblPr>
      <w:tblBorders>
        <w:top w:val="single" w:color="404040" w:sz="8" w:space="0"/>
        <w:left w:val="single" w:color="404040" w:sz="8" w:space="0"/>
        <w:bottom w:val="single" w:color="404040" w:sz="8" w:space="0"/>
        <w:right w:val="single" w:color="404040" w:sz="8" w:space="0"/>
        <w:insideH w:val="single" w:color="404040" w:sz="8" w:space="0"/>
        <w:insideV w:val="single" w:color="404040" w:sz="8" w:space="0"/>
      </w:tblBorders>
    </w:tblPr>
    <w:tcPr>
      <w:shd w:val="clear" w:color="auto" w:fill="C0C0C0"/>
    </w:tcPr>
    <w:tblStylePr w:type="firstRow">
      <w:rPr>
        <w:b/>
        <w:bCs/>
      </w:rPr>
    </w:tblStylePr>
    <w:tblStylePr w:type="lastRow">
      <w:rPr>
        <w:b/>
        <w:bCs/>
      </w:rPr>
      <w:tblPr/>
      <w:tcPr>
        <w:tcBorders>
          <w:top w:val="single" w:color="3F3F3F" w:themeColor="text1" w:themeTint="BF" w:sz="18" w:space="0"/>
        </w:tcBorders>
      </w:tcPr>
    </w:tblStylePr>
    <w:tblStylePr w:type="firstCol">
      <w:rPr>
        <w:b/>
        <w:bCs/>
      </w:rPr>
    </w:tblStylePr>
    <w:tblStylePr w:type="lastCol">
      <w:rPr>
        <w:b/>
        <w:bCs/>
      </w:rPr>
    </w:tblStylePr>
    <w:tblStylePr w:type="band1Vert">
      <w:tblPr/>
      <w:tcPr>
        <w:shd w:val="clear" w:color="auto" w:fill="808080"/>
      </w:tcPr>
    </w:tblStylePr>
    <w:tblStylePr w:type="band1Horz">
      <w:tblPr/>
      <w:tcPr>
        <w:shd w:val="clear" w:color="auto" w:fill="808080"/>
      </w:tcPr>
    </w:tblStylePr>
  </w:style>
  <w:style w:type="table" w:styleId="84">
    <w:name w:val="Medium Grid 1 Accent 1"/>
    <w:basedOn w:val="32"/>
    <w:qFormat/>
    <w:uiPriority w:val="67"/>
    <w:pPr>
      <w:spacing w:after="0" w:line="240" w:lineRule="auto"/>
    </w:pPr>
    <w:tblPr>
      <w:tblBorders>
        <w:top w:val="single" w:color="7BA0CD" w:sz="8" w:space="0"/>
        <w:left w:val="single" w:color="7BA0CD" w:sz="8" w:space="0"/>
        <w:bottom w:val="single" w:color="7BA0CD" w:sz="8" w:space="0"/>
        <w:right w:val="single" w:color="7BA0CD" w:sz="8" w:space="0"/>
        <w:insideH w:val="single" w:color="7BA0CD" w:sz="8" w:space="0"/>
        <w:insideV w:val="single" w:color="7BA0CD" w:sz="8" w:space="0"/>
      </w:tblBorders>
    </w:tblPr>
    <w:tcPr>
      <w:shd w:val="clear" w:color="auto" w:fill="D3DFEE"/>
    </w:tcPr>
    <w:tblStylePr w:type="firstRow">
      <w:rPr>
        <w:b/>
        <w:bCs/>
      </w:rPr>
    </w:tblStylePr>
    <w:tblStylePr w:type="lastRow">
      <w:rPr>
        <w:b/>
        <w:bCs/>
      </w:rPr>
      <w:tblPr/>
      <w:tcPr>
        <w:tcBorders>
          <w:top w:val="single" w:color="7BA0CD" w:themeColor="accent1" w:themeTint="BF" w:sz="18" w:space="0"/>
        </w:tcBorders>
      </w:tcPr>
    </w:tblStylePr>
    <w:tblStylePr w:type="firstCol">
      <w:rPr>
        <w:b/>
        <w:bCs/>
      </w:rPr>
    </w:tblStylePr>
    <w:tblStylePr w:type="lastCol">
      <w:rPr>
        <w:b/>
        <w:bCs/>
      </w:rPr>
    </w:tblStylePr>
    <w:tblStylePr w:type="band1Vert">
      <w:tblPr/>
      <w:tcPr>
        <w:shd w:val="clear" w:color="auto" w:fill="A7BFDE"/>
      </w:tcPr>
    </w:tblStylePr>
    <w:tblStylePr w:type="band1Horz">
      <w:tblPr/>
      <w:tcPr>
        <w:shd w:val="clear" w:color="auto" w:fill="A7BFDE"/>
      </w:tcPr>
    </w:tblStylePr>
  </w:style>
  <w:style w:type="table" w:styleId="85">
    <w:name w:val="Medium Grid 1 Accent 2"/>
    <w:basedOn w:val="32"/>
    <w:qFormat/>
    <w:uiPriority w:val="67"/>
    <w:pPr>
      <w:spacing w:after="0" w:line="240" w:lineRule="auto"/>
    </w:pPr>
    <w:tblPr>
      <w:tblBorders>
        <w:top w:val="single" w:color="CF7B79" w:sz="8" w:space="0"/>
        <w:left w:val="single" w:color="CF7B79" w:sz="8" w:space="0"/>
        <w:bottom w:val="single" w:color="CF7B79" w:sz="8" w:space="0"/>
        <w:right w:val="single" w:color="CF7B79" w:sz="8" w:space="0"/>
        <w:insideH w:val="single" w:color="CF7B79" w:sz="8" w:space="0"/>
        <w:insideV w:val="single" w:color="CF7B79" w:sz="8" w:space="0"/>
      </w:tblBorders>
    </w:tblPr>
    <w:tcPr>
      <w:shd w:val="clear" w:color="auto" w:fill="EFD3D2"/>
    </w:tcPr>
    <w:tblStylePr w:type="firstRow">
      <w:rPr>
        <w:b/>
        <w:bCs/>
      </w:rPr>
    </w:tblStylePr>
    <w:tblStylePr w:type="lastRow">
      <w:rPr>
        <w:b/>
        <w:bCs/>
      </w:rPr>
      <w:tblPr/>
      <w:tcPr>
        <w:tcBorders>
          <w:top w:val="single" w:color="CF7B79" w:themeColor="accent2" w:themeTint="BF" w:sz="18" w:space="0"/>
        </w:tcBorders>
      </w:tcPr>
    </w:tblStylePr>
    <w:tblStylePr w:type="firstCol">
      <w:rPr>
        <w:b/>
        <w:bCs/>
      </w:rPr>
    </w:tblStylePr>
    <w:tblStylePr w:type="lastCol">
      <w:rPr>
        <w:b/>
        <w:bCs/>
      </w:rPr>
    </w:tblStylePr>
    <w:tblStylePr w:type="band1Vert">
      <w:tblPr/>
      <w:tcPr>
        <w:shd w:val="clear" w:color="auto" w:fill="DFA7A6"/>
      </w:tcPr>
    </w:tblStylePr>
    <w:tblStylePr w:type="band1Horz">
      <w:tblPr/>
      <w:tcPr>
        <w:shd w:val="clear" w:color="auto" w:fill="DFA7A6"/>
      </w:tcPr>
    </w:tblStylePr>
  </w:style>
  <w:style w:type="table" w:styleId="86">
    <w:name w:val="Medium Grid 1 Accent 3"/>
    <w:basedOn w:val="32"/>
    <w:qFormat/>
    <w:uiPriority w:val="67"/>
    <w:pPr>
      <w:spacing w:after="0" w:line="240" w:lineRule="auto"/>
    </w:pPr>
    <w:tblPr>
      <w:tblBorders>
        <w:top w:val="single" w:color="B3CC82" w:sz="8" w:space="0"/>
        <w:left w:val="single" w:color="B3CC82" w:sz="8" w:space="0"/>
        <w:bottom w:val="single" w:color="B3CC82" w:sz="8" w:space="0"/>
        <w:right w:val="single" w:color="B3CC82" w:sz="8" w:space="0"/>
        <w:insideH w:val="single" w:color="B3CC82" w:sz="8" w:space="0"/>
        <w:insideV w:val="single" w:color="B3CC82" w:sz="8" w:space="0"/>
      </w:tblBorders>
    </w:tblPr>
    <w:tcPr>
      <w:shd w:val="clear" w:color="auto" w:fill="E6EED5"/>
    </w:tcPr>
    <w:tblStylePr w:type="firstRow">
      <w:rPr>
        <w:b/>
        <w:bCs/>
      </w:rPr>
    </w:tblStylePr>
    <w:tblStylePr w:type="lastRow">
      <w:rPr>
        <w:b/>
        <w:bCs/>
      </w:rPr>
      <w:tblPr/>
      <w:tcPr>
        <w:tcBorders>
          <w:top w:val="single" w:color="B4CC82" w:themeColor="accent3" w:themeTint="BF" w:sz="18" w:space="0"/>
        </w:tcBorders>
      </w:tcPr>
    </w:tblStylePr>
    <w:tblStylePr w:type="firstCol">
      <w:rPr>
        <w:b/>
        <w:bCs/>
      </w:rPr>
    </w:tblStylePr>
    <w:tblStylePr w:type="lastCol">
      <w:rPr>
        <w:b/>
        <w:bCs/>
      </w:rPr>
    </w:tblStylePr>
    <w:tblStylePr w:type="band1Vert">
      <w:tblPr/>
      <w:tcPr>
        <w:shd w:val="clear" w:color="auto" w:fill="CDDDAC"/>
      </w:tcPr>
    </w:tblStylePr>
    <w:tblStylePr w:type="band1Horz">
      <w:tblPr/>
      <w:tcPr>
        <w:shd w:val="clear" w:color="auto" w:fill="CDDDAC"/>
      </w:tcPr>
    </w:tblStylePr>
  </w:style>
  <w:style w:type="table" w:styleId="87">
    <w:name w:val="Medium Grid 1 Accent 4"/>
    <w:basedOn w:val="32"/>
    <w:uiPriority w:val="67"/>
    <w:pPr>
      <w:spacing w:after="0" w:line="240" w:lineRule="auto"/>
    </w:pPr>
    <w:tblPr>
      <w:tblBorders>
        <w:top w:val="single" w:color="9F8AB9" w:sz="8" w:space="0"/>
        <w:left w:val="single" w:color="9F8AB9" w:sz="8" w:space="0"/>
        <w:bottom w:val="single" w:color="9F8AB9" w:sz="8" w:space="0"/>
        <w:right w:val="single" w:color="9F8AB9" w:sz="8" w:space="0"/>
        <w:insideH w:val="single" w:color="9F8AB9" w:sz="8" w:space="0"/>
        <w:insideV w:val="single" w:color="9F8AB9" w:sz="8" w:space="0"/>
      </w:tblBorders>
    </w:tblPr>
    <w:tcPr>
      <w:shd w:val="clear" w:color="auto" w:fill="DFD8E8"/>
    </w:tcPr>
    <w:tblStylePr w:type="firstRow">
      <w:rPr>
        <w:b/>
        <w:bCs/>
      </w:rPr>
    </w:tblStylePr>
    <w:tblStylePr w:type="lastRow">
      <w:rPr>
        <w:b/>
        <w:bCs/>
      </w:rPr>
      <w:tblPr/>
      <w:tcPr>
        <w:tcBorders>
          <w:top w:val="single" w:color="9F8AB9" w:themeColor="accent4" w:themeTint="BF" w:sz="18" w:space="0"/>
        </w:tcBorders>
      </w:tcPr>
    </w:tblStylePr>
    <w:tblStylePr w:type="firstCol">
      <w:rPr>
        <w:b/>
        <w:bCs/>
      </w:rPr>
    </w:tblStylePr>
    <w:tblStylePr w:type="lastCol">
      <w:rPr>
        <w:b/>
        <w:bCs/>
      </w:rPr>
    </w:tblStylePr>
    <w:tblStylePr w:type="band1Vert">
      <w:tblPr/>
      <w:tcPr>
        <w:shd w:val="clear" w:color="auto" w:fill="BFB1D0"/>
      </w:tcPr>
    </w:tblStylePr>
    <w:tblStylePr w:type="band1Horz">
      <w:tblPr/>
      <w:tcPr>
        <w:shd w:val="clear" w:color="auto" w:fill="BFB1D0"/>
      </w:tcPr>
    </w:tblStylePr>
  </w:style>
  <w:style w:type="table" w:styleId="88">
    <w:name w:val="Medium Grid 1 Accent 5"/>
    <w:basedOn w:val="32"/>
    <w:qFormat/>
    <w:uiPriority w:val="67"/>
    <w:pPr>
      <w:spacing w:after="0" w:line="240" w:lineRule="auto"/>
    </w:pPr>
    <w:tblPr>
      <w:tblBorders>
        <w:top w:val="single" w:color="78C0D4" w:sz="8" w:space="0"/>
        <w:left w:val="single" w:color="78C0D4" w:sz="8" w:space="0"/>
        <w:bottom w:val="single" w:color="78C0D4" w:sz="8" w:space="0"/>
        <w:right w:val="single" w:color="78C0D4" w:sz="8" w:space="0"/>
        <w:insideH w:val="single" w:color="78C0D4" w:sz="8" w:space="0"/>
        <w:insideV w:val="single" w:color="78C0D4" w:sz="8" w:space="0"/>
      </w:tblBorders>
    </w:tblPr>
    <w:tcPr>
      <w:shd w:val="clear" w:color="auto" w:fill="D2EAF1"/>
    </w:tcPr>
    <w:tblStylePr w:type="firstRow">
      <w:rPr>
        <w:b/>
        <w:bCs/>
      </w:rPr>
    </w:tblStylePr>
    <w:tblStylePr w:type="lastRow">
      <w:rPr>
        <w:b/>
        <w:bCs/>
      </w:rPr>
      <w:tblPr/>
      <w:tcPr>
        <w:tcBorders>
          <w:top w:val="single" w:color="78C0D4" w:themeColor="accent5" w:themeTint="BF" w:sz="18" w:space="0"/>
        </w:tcBorders>
      </w:tcPr>
    </w:tblStylePr>
    <w:tblStylePr w:type="firstCol">
      <w:rPr>
        <w:b/>
        <w:bCs/>
      </w:rPr>
    </w:tblStylePr>
    <w:tblStylePr w:type="lastCol">
      <w:rPr>
        <w:b/>
        <w:bCs/>
      </w:rPr>
    </w:tblStylePr>
    <w:tblStylePr w:type="band1Vert">
      <w:tblPr/>
      <w:tcPr>
        <w:shd w:val="clear" w:color="auto" w:fill="A5D5E2"/>
      </w:tcPr>
    </w:tblStylePr>
    <w:tblStylePr w:type="band1Horz">
      <w:tblPr/>
      <w:tcPr>
        <w:shd w:val="clear" w:color="auto" w:fill="A5D5E2"/>
      </w:tcPr>
    </w:tblStylePr>
  </w:style>
  <w:style w:type="table" w:styleId="89">
    <w:name w:val="Medium Grid 1 Accent 6"/>
    <w:basedOn w:val="32"/>
    <w:uiPriority w:val="67"/>
    <w:pPr>
      <w:spacing w:after="0" w:line="240" w:lineRule="auto"/>
    </w:pPr>
    <w:tblPr>
      <w:tblBorders>
        <w:top w:val="single" w:color="F9B074" w:sz="8" w:space="0"/>
        <w:left w:val="single" w:color="F9B074" w:sz="8" w:space="0"/>
        <w:bottom w:val="single" w:color="F9B074" w:sz="8" w:space="0"/>
        <w:right w:val="single" w:color="F9B074" w:sz="8" w:space="0"/>
        <w:insideH w:val="single" w:color="F9B074" w:sz="8" w:space="0"/>
        <w:insideV w:val="single" w:color="F9B074" w:sz="8" w:space="0"/>
      </w:tblBorders>
    </w:tblPr>
    <w:tcPr>
      <w:shd w:val="clear" w:color="auto" w:fill="FDE4D0"/>
    </w:tcPr>
    <w:tblStylePr w:type="firstRow">
      <w:rPr>
        <w:b/>
        <w:bCs/>
      </w:rPr>
    </w:tblStylePr>
    <w:tblStylePr w:type="lastRow">
      <w:rPr>
        <w:b/>
        <w:bCs/>
      </w:rPr>
      <w:tblPr/>
      <w:tcPr>
        <w:tcBorders>
          <w:top w:val="single" w:color="F9B074" w:themeColor="accent6" w:themeTint="BF" w:sz="18" w:space="0"/>
        </w:tcBorders>
      </w:tcPr>
    </w:tblStylePr>
    <w:tblStylePr w:type="firstCol">
      <w:rPr>
        <w:b/>
        <w:bCs/>
      </w:rPr>
    </w:tblStylePr>
    <w:tblStylePr w:type="lastCol">
      <w:rPr>
        <w:b/>
        <w:bCs/>
      </w:rPr>
    </w:tblStylePr>
    <w:tblStylePr w:type="band1Vert">
      <w:tblPr/>
      <w:tcPr>
        <w:shd w:val="clear" w:color="auto" w:fill="FBCAA2"/>
      </w:tcPr>
    </w:tblStylePr>
    <w:tblStylePr w:type="band1Horz">
      <w:tblPr/>
      <w:tcPr>
        <w:shd w:val="clear" w:color="auto" w:fill="FBCAA2"/>
      </w:tcPr>
    </w:tblStylePr>
  </w:style>
  <w:style w:type="table" w:styleId="90">
    <w:name w:val="Medium Grid 2"/>
    <w:basedOn w:val="32"/>
    <w:uiPriority w:val="68"/>
    <w:pPr>
      <w:spacing w:after="0" w:line="240" w:lineRule="auto"/>
    </w:pPr>
    <w:rPr>
      <w:rFonts w:asciiTheme="majorHAnsi" w:hAnsiTheme="majorHAnsi" w:eastAsiaTheme="majorEastAsia" w:cstheme="majorBidi"/>
      <w:color w:val="000000"/>
    </w:rPr>
    <w:tblP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
    <w:tcPr>
      <w:shd w:val="clear" w:color="auto" w:fill="C0C0C0"/>
    </w:tcPr>
    <w:tblStylePr w:type="firstRow">
      <w:rPr>
        <w:b/>
        <w:bCs/>
        <w:color w:val="000000" w:themeColor="text1"/>
        <w14:textFill>
          <w14:solidFill>
            <w14:schemeClr w14:val="tx1"/>
          </w14:solidFill>
        </w14:textFill>
      </w:rPr>
      <w:tblPr/>
      <w:tcPr>
        <w:shd w:val="clear" w:color="auto" w:fill="E6E6E6"/>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CCCCCC"/>
      </w:tcPr>
    </w:tblStylePr>
    <w:tblStylePr w:type="band1Vert">
      <w:tblPr/>
      <w:tcPr>
        <w:shd w:val="clear" w:color="auto" w:fill="808080"/>
      </w:tcPr>
    </w:tblStylePr>
    <w:tblStylePr w:type="band1Horz">
      <w:tblPr/>
      <w:tcPr>
        <w:tcBorders>
          <w:insideH w:val="single" w:sz="6" w:space="0"/>
          <w:insideV w:val="single" w:sz="6" w:space="0"/>
        </w:tcBorders>
        <w:shd w:val="clear" w:color="auto" w:fill="808080"/>
      </w:tcPr>
    </w:tblStylePr>
    <w:tblStylePr w:type="nwCell">
      <w:tblPr/>
      <w:tcPr>
        <w:shd w:val="clear" w:color="auto" w:fill="FFFFFF"/>
      </w:tcPr>
    </w:tblStylePr>
  </w:style>
  <w:style w:type="table" w:styleId="91">
    <w:name w:val="Medium Grid 2 Accent 1"/>
    <w:basedOn w:val="32"/>
    <w:uiPriority w:val="68"/>
    <w:pPr>
      <w:spacing w:after="0" w:line="240" w:lineRule="auto"/>
    </w:pPr>
    <w:rPr>
      <w:rFonts w:asciiTheme="majorHAnsi" w:hAnsiTheme="majorHAnsi" w:eastAsiaTheme="majorEastAsia" w:cstheme="majorBidi"/>
      <w:color w:val="000000"/>
    </w:rPr>
    <w:tblPr>
      <w:tblBorders>
        <w:top w:val="single" w:color="4F81BD" w:sz="8" w:space="0"/>
        <w:left w:val="single" w:color="4F81BD" w:sz="8" w:space="0"/>
        <w:bottom w:val="single" w:color="4F81BD" w:sz="8" w:space="0"/>
        <w:right w:val="single" w:color="4F81BD" w:sz="8" w:space="0"/>
        <w:insideH w:val="single" w:color="4F81BD" w:sz="8" w:space="0"/>
        <w:insideV w:val="single" w:color="4F81BD" w:sz="8" w:space="0"/>
      </w:tblBorders>
    </w:tblPr>
    <w:tcPr>
      <w:shd w:val="clear" w:color="auto" w:fill="D3DFEE"/>
    </w:tcPr>
    <w:tblStylePr w:type="firstRow">
      <w:rPr>
        <w:b/>
        <w:bCs/>
        <w:color w:val="000000" w:themeColor="text1"/>
        <w14:textFill>
          <w14:solidFill>
            <w14:schemeClr w14:val="tx1"/>
          </w14:solidFill>
        </w14:textFill>
      </w:rPr>
      <w:tblPr/>
      <w:tcPr>
        <w:shd w:val="clear" w:color="auto" w:fill="EDF2F8"/>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DBE5F1"/>
      </w:tcPr>
    </w:tblStylePr>
    <w:tblStylePr w:type="band1Vert">
      <w:tblPr/>
      <w:tcPr>
        <w:shd w:val="clear" w:color="auto" w:fill="A7BFDE"/>
      </w:tcPr>
    </w:tblStylePr>
    <w:tblStylePr w:type="band1Horz">
      <w:tblPr/>
      <w:tcPr>
        <w:tcBorders>
          <w:insideH w:val="single" w:sz="6" w:space="0"/>
          <w:insideV w:val="single" w:sz="6" w:space="0"/>
        </w:tcBorders>
        <w:shd w:val="clear" w:color="auto" w:fill="A7BFDE"/>
      </w:tcPr>
    </w:tblStylePr>
    <w:tblStylePr w:type="nwCell">
      <w:tblPr/>
      <w:tcPr>
        <w:shd w:val="clear" w:color="auto" w:fill="FFFFFF"/>
      </w:tcPr>
    </w:tblStylePr>
  </w:style>
  <w:style w:type="table" w:styleId="92">
    <w:name w:val="Medium Grid 2 Accent 2"/>
    <w:basedOn w:val="32"/>
    <w:qFormat/>
    <w:uiPriority w:val="68"/>
    <w:pPr>
      <w:spacing w:after="0" w:line="240" w:lineRule="auto"/>
    </w:pPr>
    <w:rPr>
      <w:rFonts w:asciiTheme="majorHAnsi" w:hAnsiTheme="majorHAnsi" w:eastAsiaTheme="majorEastAsia" w:cstheme="majorBidi"/>
      <w:color w:val="000000"/>
    </w:rPr>
    <w:tblPr>
      <w:tblBorders>
        <w:top w:val="single" w:color="C0504D" w:sz="8" w:space="0"/>
        <w:left w:val="single" w:color="C0504D" w:sz="8" w:space="0"/>
        <w:bottom w:val="single" w:color="C0504D" w:sz="8" w:space="0"/>
        <w:right w:val="single" w:color="C0504D" w:sz="8" w:space="0"/>
        <w:insideH w:val="single" w:color="C0504D" w:sz="8" w:space="0"/>
        <w:insideV w:val="single" w:color="C0504D" w:sz="8" w:space="0"/>
      </w:tblBorders>
    </w:tblPr>
    <w:tcPr>
      <w:shd w:val="clear" w:color="auto" w:fill="EFD3D2"/>
    </w:tcPr>
    <w:tblStylePr w:type="firstRow">
      <w:rPr>
        <w:b/>
        <w:bCs/>
        <w:color w:val="000000" w:themeColor="text1"/>
        <w14:textFill>
          <w14:solidFill>
            <w14:schemeClr w14:val="tx1"/>
          </w14:solidFill>
        </w14:textFill>
      </w:rPr>
      <w:tblPr/>
      <w:tcPr>
        <w:shd w:val="clear" w:color="auto" w:fill="F8EDED"/>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F2DBDB"/>
      </w:tcPr>
    </w:tblStylePr>
    <w:tblStylePr w:type="band1Vert">
      <w:tblPr/>
      <w:tcPr>
        <w:shd w:val="clear" w:color="auto" w:fill="DFA7A6"/>
      </w:tcPr>
    </w:tblStylePr>
    <w:tblStylePr w:type="band1Horz">
      <w:tblPr/>
      <w:tcPr>
        <w:tcBorders>
          <w:insideH w:val="single" w:sz="6" w:space="0"/>
          <w:insideV w:val="single" w:sz="6" w:space="0"/>
        </w:tcBorders>
        <w:shd w:val="clear" w:color="auto" w:fill="DFA7A6"/>
      </w:tcPr>
    </w:tblStylePr>
    <w:tblStylePr w:type="nwCell">
      <w:tblPr/>
      <w:tcPr>
        <w:shd w:val="clear" w:color="auto" w:fill="FFFFFF"/>
      </w:tcPr>
    </w:tblStylePr>
  </w:style>
  <w:style w:type="table" w:styleId="93">
    <w:name w:val="Medium Grid 2 Accent 3"/>
    <w:basedOn w:val="32"/>
    <w:qFormat/>
    <w:uiPriority w:val="68"/>
    <w:pPr>
      <w:spacing w:after="0" w:line="240" w:lineRule="auto"/>
    </w:pPr>
    <w:rPr>
      <w:rFonts w:asciiTheme="majorHAnsi" w:hAnsiTheme="majorHAnsi" w:eastAsiaTheme="majorEastAsia" w:cstheme="majorBidi"/>
      <w:color w:val="000000"/>
    </w:rPr>
    <w:tblPr>
      <w:tblBorders>
        <w:top w:val="single" w:color="9BBB59" w:sz="8" w:space="0"/>
        <w:left w:val="single" w:color="9BBB59" w:sz="8" w:space="0"/>
        <w:bottom w:val="single" w:color="9BBB59" w:sz="8" w:space="0"/>
        <w:right w:val="single" w:color="9BBB59" w:sz="8" w:space="0"/>
        <w:insideH w:val="single" w:color="9BBB59" w:sz="8" w:space="0"/>
        <w:insideV w:val="single" w:color="9BBB59" w:sz="8" w:space="0"/>
      </w:tblBorders>
    </w:tblPr>
    <w:tcPr>
      <w:shd w:val="clear" w:color="auto" w:fill="E6EED5"/>
    </w:tcPr>
    <w:tblStylePr w:type="firstRow">
      <w:rPr>
        <w:b/>
        <w:bCs/>
        <w:color w:val="000000" w:themeColor="text1"/>
        <w14:textFill>
          <w14:solidFill>
            <w14:schemeClr w14:val="tx1"/>
          </w14:solidFill>
        </w14:textFill>
      </w:rPr>
      <w:tblPr/>
      <w:tcPr>
        <w:shd w:val="clear" w:color="auto" w:fill="F5F8EE"/>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EAF1DD"/>
      </w:tcPr>
    </w:tblStylePr>
    <w:tblStylePr w:type="band1Vert">
      <w:tblPr/>
      <w:tcPr>
        <w:shd w:val="clear" w:color="auto" w:fill="CDDDAC"/>
      </w:tcPr>
    </w:tblStylePr>
    <w:tblStylePr w:type="band1Horz">
      <w:tblPr/>
      <w:tcPr>
        <w:tcBorders>
          <w:insideH w:val="single" w:sz="6" w:space="0"/>
          <w:insideV w:val="single" w:sz="6" w:space="0"/>
        </w:tcBorders>
        <w:shd w:val="clear" w:color="auto" w:fill="CDDDAC"/>
      </w:tcPr>
    </w:tblStylePr>
    <w:tblStylePr w:type="nwCell">
      <w:tblPr/>
      <w:tcPr>
        <w:shd w:val="clear" w:color="auto" w:fill="FFFFFF"/>
      </w:tcPr>
    </w:tblStylePr>
  </w:style>
  <w:style w:type="table" w:styleId="94">
    <w:name w:val="Medium Grid 2 Accent 4"/>
    <w:basedOn w:val="32"/>
    <w:uiPriority w:val="68"/>
    <w:pPr>
      <w:spacing w:after="0" w:line="240" w:lineRule="auto"/>
    </w:pPr>
    <w:rPr>
      <w:rFonts w:asciiTheme="majorHAnsi" w:hAnsiTheme="majorHAnsi" w:eastAsiaTheme="majorEastAsia" w:cstheme="majorBidi"/>
      <w:color w:val="000000"/>
    </w:rPr>
    <w:tblPr>
      <w:tblBorders>
        <w:top w:val="single" w:color="8064A2" w:sz="8" w:space="0"/>
        <w:left w:val="single" w:color="8064A2" w:sz="8" w:space="0"/>
        <w:bottom w:val="single" w:color="8064A2" w:sz="8" w:space="0"/>
        <w:right w:val="single" w:color="8064A2" w:sz="8" w:space="0"/>
        <w:insideH w:val="single" w:color="8064A2" w:sz="8" w:space="0"/>
        <w:insideV w:val="single" w:color="8064A2" w:sz="8" w:space="0"/>
      </w:tblBorders>
    </w:tblPr>
    <w:tcPr>
      <w:shd w:val="clear" w:color="auto" w:fill="DFD8E8"/>
    </w:tcPr>
    <w:tblStylePr w:type="firstRow">
      <w:rPr>
        <w:b/>
        <w:bCs/>
        <w:color w:val="000000" w:themeColor="text1"/>
        <w14:textFill>
          <w14:solidFill>
            <w14:schemeClr w14:val="tx1"/>
          </w14:solidFill>
        </w14:textFill>
      </w:rPr>
      <w:tblPr/>
      <w:tcPr>
        <w:shd w:val="clear" w:color="auto" w:fill="F2EFF6"/>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E5DFEC"/>
      </w:tcPr>
    </w:tblStylePr>
    <w:tblStylePr w:type="band1Vert">
      <w:tblPr/>
      <w:tcPr>
        <w:shd w:val="clear" w:color="auto" w:fill="BFB1D0"/>
      </w:tcPr>
    </w:tblStylePr>
    <w:tblStylePr w:type="band1Horz">
      <w:tblPr/>
      <w:tcPr>
        <w:tcBorders>
          <w:insideH w:val="single" w:sz="6" w:space="0"/>
          <w:insideV w:val="single" w:sz="6" w:space="0"/>
        </w:tcBorders>
        <w:shd w:val="clear" w:color="auto" w:fill="BFB1D0"/>
      </w:tcPr>
    </w:tblStylePr>
    <w:tblStylePr w:type="nwCell">
      <w:tblPr/>
      <w:tcPr>
        <w:shd w:val="clear" w:color="auto" w:fill="FFFFFF"/>
      </w:tcPr>
    </w:tblStylePr>
  </w:style>
  <w:style w:type="table" w:styleId="95">
    <w:name w:val="Medium Grid 2 Accent 5"/>
    <w:basedOn w:val="32"/>
    <w:uiPriority w:val="68"/>
    <w:pPr>
      <w:spacing w:after="0" w:line="240" w:lineRule="auto"/>
    </w:pPr>
    <w:rPr>
      <w:rFonts w:asciiTheme="majorHAnsi" w:hAnsiTheme="majorHAnsi" w:eastAsiaTheme="majorEastAsia" w:cstheme="majorBidi"/>
      <w:color w:val="000000"/>
    </w:rPr>
    <w:tblPr>
      <w:tblBorders>
        <w:top w:val="single" w:color="4BACC6" w:sz="8" w:space="0"/>
        <w:left w:val="single" w:color="4BACC6" w:sz="8" w:space="0"/>
        <w:bottom w:val="single" w:color="4BACC6" w:sz="8" w:space="0"/>
        <w:right w:val="single" w:color="4BACC6" w:sz="8" w:space="0"/>
        <w:insideH w:val="single" w:color="4BACC6" w:sz="8" w:space="0"/>
        <w:insideV w:val="single" w:color="4BACC6" w:sz="8" w:space="0"/>
      </w:tblBorders>
    </w:tblPr>
    <w:tcPr>
      <w:shd w:val="clear" w:color="auto" w:fill="D2EAF1"/>
    </w:tcPr>
    <w:tblStylePr w:type="firstRow">
      <w:rPr>
        <w:b/>
        <w:bCs/>
        <w:color w:val="000000" w:themeColor="text1"/>
        <w14:textFill>
          <w14:solidFill>
            <w14:schemeClr w14:val="tx1"/>
          </w14:solidFill>
        </w14:textFill>
      </w:rPr>
      <w:tblPr/>
      <w:tcPr>
        <w:shd w:val="clear" w:color="auto" w:fill="EDF6F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DAEEF3"/>
      </w:tcPr>
    </w:tblStylePr>
    <w:tblStylePr w:type="band1Vert">
      <w:tblPr/>
      <w:tcPr>
        <w:shd w:val="clear" w:color="auto" w:fill="A5D5E2"/>
      </w:tcPr>
    </w:tblStylePr>
    <w:tblStylePr w:type="band1Horz">
      <w:tblPr/>
      <w:tcPr>
        <w:tcBorders>
          <w:insideH w:val="single" w:sz="6" w:space="0"/>
          <w:insideV w:val="single" w:sz="6" w:space="0"/>
        </w:tcBorders>
        <w:shd w:val="clear" w:color="auto" w:fill="A5D5E2"/>
      </w:tcPr>
    </w:tblStylePr>
    <w:tblStylePr w:type="nwCell">
      <w:tblPr/>
      <w:tcPr>
        <w:shd w:val="clear" w:color="auto" w:fill="FFFFFF"/>
      </w:tcPr>
    </w:tblStylePr>
  </w:style>
  <w:style w:type="table" w:styleId="96">
    <w:name w:val="Medium Grid 2 Accent 6"/>
    <w:basedOn w:val="32"/>
    <w:uiPriority w:val="68"/>
    <w:pPr>
      <w:spacing w:after="0" w:line="240" w:lineRule="auto"/>
    </w:pPr>
    <w:rPr>
      <w:rFonts w:asciiTheme="majorHAnsi" w:hAnsiTheme="majorHAnsi" w:eastAsiaTheme="majorEastAsia" w:cstheme="majorBidi"/>
      <w:color w:val="000000"/>
    </w:rPr>
    <w:tblPr>
      <w:tblBorders>
        <w:top w:val="single" w:color="F79646" w:sz="8" w:space="0"/>
        <w:left w:val="single" w:color="F79646" w:sz="8" w:space="0"/>
        <w:bottom w:val="single" w:color="F79646" w:sz="8" w:space="0"/>
        <w:right w:val="single" w:color="F79646" w:sz="8" w:space="0"/>
        <w:insideH w:val="single" w:color="F79646" w:sz="8" w:space="0"/>
        <w:insideV w:val="single" w:color="F79646" w:sz="8" w:space="0"/>
      </w:tblBorders>
    </w:tblPr>
    <w:tcPr>
      <w:shd w:val="clear" w:color="auto" w:fill="FDE4D0"/>
    </w:tcPr>
    <w:tblStylePr w:type="firstRow">
      <w:rPr>
        <w:b/>
        <w:bCs/>
        <w:color w:val="000000" w:themeColor="text1"/>
        <w14:textFill>
          <w14:solidFill>
            <w14:schemeClr w14:val="tx1"/>
          </w14:solidFill>
        </w14:textFill>
      </w:rPr>
      <w:tblPr/>
      <w:tcPr>
        <w:shd w:val="clear" w:color="auto" w:fill="FEF4EC"/>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FDE9D9"/>
      </w:tcPr>
    </w:tblStylePr>
    <w:tblStylePr w:type="band1Vert">
      <w:tblPr/>
      <w:tcPr>
        <w:shd w:val="clear" w:color="auto" w:fill="FBCAA2"/>
      </w:tcPr>
    </w:tblStylePr>
    <w:tblStylePr w:type="band1Horz">
      <w:tblPr/>
      <w:tcPr>
        <w:tcBorders>
          <w:insideH w:val="single" w:sz="6" w:space="0"/>
          <w:insideV w:val="single" w:sz="6" w:space="0"/>
        </w:tcBorders>
        <w:shd w:val="clear" w:color="auto" w:fill="FBCAA2"/>
      </w:tcPr>
    </w:tblStylePr>
    <w:tblStylePr w:type="nwCell">
      <w:tblPr/>
      <w:tcPr>
        <w:shd w:val="clear" w:color="auto" w:fill="FFFFFF"/>
      </w:tcPr>
    </w:tblStylePr>
  </w:style>
  <w:style w:type="table" w:styleId="97">
    <w:name w:val="Medium Grid 3"/>
    <w:basedOn w:val="32"/>
    <w:uiPriority w:val="69"/>
    <w:pPr>
      <w:spacing w:after="0" w:line="240" w:lineRule="auto"/>
    </w:p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C0C0C0"/>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000000"/>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000000"/>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000000"/>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000000"/>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808080"/>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808080"/>
      </w:tcPr>
    </w:tblStylePr>
  </w:style>
  <w:style w:type="table" w:styleId="98">
    <w:name w:val="Medium Grid 3 Accent 1"/>
    <w:basedOn w:val="32"/>
    <w:uiPriority w:val="69"/>
    <w:pPr>
      <w:spacing w:after="0" w:line="240" w:lineRule="auto"/>
    </w:p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3DFEE"/>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4F81BD"/>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4F81BD"/>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4F81BD"/>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4F81BD"/>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7BFDE"/>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7BFDE"/>
      </w:tcPr>
    </w:tblStylePr>
  </w:style>
  <w:style w:type="table" w:styleId="99">
    <w:name w:val="Medium Grid 3 Accent 2"/>
    <w:basedOn w:val="32"/>
    <w:uiPriority w:val="69"/>
    <w:pPr>
      <w:spacing w:after="0" w:line="240" w:lineRule="auto"/>
    </w:p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EFD3D2"/>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C0504D"/>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C0504D"/>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C0504D"/>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C0504D"/>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DFA7A6"/>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DFA7A6"/>
      </w:tcPr>
    </w:tblStylePr>
  </w:style>
  <w:style w:type="table" w:styleId="100">
    <w:name w:val="Medium Grid 3 Accent 3"/>
    <w:basedOn w:val="32"/>
    <w:uiPriority w:val="69"/>
    <w:pPr>
      <w:spacing w:after="0" w:line="240" w:lineRule="auto"/>
    </w:p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E6EED5"/>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9BBB59"/>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9BBB59"/>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9BBB59"/>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9BBB59"/>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CDDDAC"/>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CDDDAC"/>
      </w:tcPr>
    </w:tblStylePr>
  </w:style>
  <w:style w:type="table" w:styleId="101">
    <w:name w:val="Medium Grid 3 Accent 4"/>
    <w:basedOn w:val="32"/>
    <w:uiPriority w:val="69"/>
    <w:pPr>
      <w:spacing w:after="0" w:line="240" w:lineRule="auto"/>
    </w:p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FD8E8"/>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8064A2"/>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8064A2"/>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8064A2"/>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8064A2"/>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BFB1D0"/>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BFB1D0"/>
      </w:tcPr>
    </w:tblStylePr>
  </w:style>
  <w:style w:type="table" w:styleId="102">
    <w:name w:val="Medium Grid 3 Accent 5"/>
    <w:basedOn w:val="32"/>
    <w:uiPriority w:val="69"/>
    <w:pPr>
      <w:spacing w:after="0" w:line="240" w:lineRule="auto"/>
    </w:p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2EAF1"/>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4BACC6"/>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4BACC6"/>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4BACC6"/>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4BACC6"/>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5D5E2"/>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5D5E2"/>
      </w:tcPr>
    </w:tblStylePr>
  </w:style>
  <w:style w:type="table" w:styleId="103">
    <w:name w:val="Medium Grid 3 Accent 6"/>
    <w:basedOn w:val="32"/>
    <w:uiPriority w:val="69"/>
    <w:pPr>
      <w:spacing w:after="0" w:line="240" w:lineRule="auto"/>
    </w:p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FDE4D0"/>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F79646"/>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F79646"/>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F79646"/>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F79646"/>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FBCAA2"/>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FBCAA2"/>
      </w:tcPr>
    </w:tblStylePr>
  </w:style>
  <w:style w:type="table" w:styleId="104">
    <w:name w:val="Dark List"/>
    <w:basedOn w:val="32"/>
    <w:uiPriority w:val="70"/>
    <w:pPr>
      <w:spacing w:after="0" w:line="240" w:lineRule="auto"/>
    </w:pPr>
    <w:rPr>
      <w:color w:val="FFFFFF"/>
    </w:rPr>
    <w:tblPr>
      <w:tblStyleRowBandSize w:val="1"/>
      <w:tblStyleColBandSize w:val="1"/>
    </w:tblPr>
    <w:tcPr>
      <w:shd w:val="clear" w:color="auto" w:fill="000000"/>
    </w:tcPr>
    <w:tblStylePr w:type="firstRow">
      <w:rPr>
        <w:b/>
        <w:bCs/>
      </w:rPr>
      <w:tblPr/>
      <w:tcPr>
        <w:tcBorders>
          <w:top w:val="nil"/>
          <w:left w:val="nil"/>
          <w:bottom w:val="single" w:color="FFFFFF" w:themeColor="background1" w:sz="18" w:space="0"/>
          <w:right w:val="nil"/>
          <w:insideH w:val="nil"/>
          <w:insideV w:val="nil"/>
        </w:tcBorders>
        <w:shd w:val="clear" w:color="auto" w:fill="000000"/>
      </w:tcPr>
    </w:tblStylePr>
    <w:tblStylePr w:type="lastRow">
      <w:tblPr/>
      <w:tcPr>
        <w:tcBorders>
          <w:top w:val="single" w:color="FFFFFF" w:themeColor="background1" w:sz="18" w:space="0"/>
          <w:left w:val="nil"/>
          <w:bottom w:val="nil"/>
          <w:right w:val="nil"/>
          <w:insideH w:val="nil"/>
          <w:insideV w:val="nil"/>
        </w:tcBorders>
        <w:shd w:val="clear" w:color="auto" w:fill="000000"/>
      </w:tcPr>
    </w:tblStylePr>
    <w:tblStylePr w:type="firstCol">
      <w:tblPr/>
      <w:tcPr>
        <w:tcBorders>
          <w:top w:val="nil"/>
          <w:left w:val="nil"/>
          <w:bottom w:val="nil"/>
          <w:right w:val="single" w:color="FFFFFF" w:themeColor="background1" w:sz="18" w:space="0"/>
          <w:insideH w:val="nil"/>
          <w:insideV w:val="nil"/>
        </w:tcBorders>
        <w:shd w:val="clear" w:color="auto" w:fill="000000"/>
      </w:tcPr>
    </w:tblStylePr>
    <w:tblStylePr w:type="lastCol">
      <w:tblPr/>
      <w:tcPr>
        <w:tcBorders>
          <w:top w:val="nil"/>
          <w:left w:val="single" w:color="FFFFFF" w:themeColor="background1" w:sz="18" w:space="0"/>
          <w:bottom w:val="nil"/>
          <w:right w:val="nil"/>
          <w:insideH w:val="nil"/>
          <w:insideV w:val="nil"/>
        </w:tcBorders>
        <w:shd w:val="clear" w:color="auto" w:fill="000000"/>
      </w:tcPr>
    </w:tblStylePr>
    <w:tblStylePr w:type="band1Vert">
      <w:tblPr/>
      <w:tcPr>
        <w:tcBorders>
          <w:top w:val="nil"/>
          <w:left w:val="nil"/>
          <w:bottom w:val="nil"/>
          <w:right w:val="nil"/>
          <w:insideH w:val="nil"/>
          <w:insideV w:val="nil"/>
        </w:tcBorders>
        <w:shd w:val="clear" w:color="auto" w:fill="000000"/>
      </w:tcPr>
    </w:tblStylePr>
    <w:tblStylePr w:type="band1Horz">
      <w:tblPr/>
      <w:tcPr>
        <w:tcBorders>
          <w:top w:val="nil"/>
          <w:left w:val="nil"/>
          <w:bottom w:val="nil"/>
          <w:right w:val="nil"/>
          <w:insideH w:val="nil"/>
          <w:insideV w:val="nil"/>
        </w:tcBorders>
        <w:shd w:val="clear" w:color="auto" w:fill="000000"/>
      </w:tcPr>
    </w:tblStylePr>
  </w:style>
  <w:style w:type="table" w:styleId="105">
    <w:name w:val="Dark List Accent 1"/>
    <w:basedOn w:val="32"/>
    <w:uiPriority w:val="70"/>
    <w:pPr>
      <w:spacing w:after="0" w:line="240" w:lineRule="auto"/>
    </w:pPr>
    <w:rPr>
      <w:color w:val="FFFFFF"/>
    </w:rPr>
    <w:tblPr>
      <w:tblStyleRowBandSize w:val="1"/>
      <w:tblStyleColBandSize w:val="1"/>
    </w:tblPr>
    <w:tcPr>
      <w:shd w:val="clear" w:color="auto" w:fill="4F81BD"/>
    </w:tcPr>
    <w:tblStylePr w:type="firstRow">
      <w:rPr>
        <w:b/>
        <w:bCs/>
      </w:rPr>
      <w:tblPr/>
      <w:tcPr>
        <w:tcBorders>
          <w:top w:val="nil"/>
          <w:left w:val="nil"/>
          <w:bottom w:val="single" w:color="FFFFFF" w:themeColor="background1" w:sz="18" w:space="0"/>
          <w:right w:val="nil"/>
          <w:insideH w:val="nil"/>
          <w:insideV w:val="nil"/>
        </w:tcBorders>
        <w:shd w:val="clear" w:color="auto" w:fill="000000"/>
      </w:tcPr>
    </w:tblStylePr>
    <w:tblStylePr w:type="lastRow">
      <w:tblPr/>
      <w:tcPr>
        <w:tcBorders>
          <w:top w:val="single" w:color="FFFFFF" w:themeColor="background1" w:sz="18" w:space="0"/>
          <w:left w:val="nil"/>
          <w:bottom w:val="nil"/>
          <w:right w:val="nil"/>
          <w:insideH w:val="nil"/>
          <w:insideV w:val="nil"/>
        </w:tcBorders>
        <w:shd w:val="clear" w:color="auto" w:fill="243F60"/>
      </w:tcPr>
    </w:tblStylePr>
    <w:tblStylePr w:type="firstCol">
      <w:tblPr/>
      <w:tcPr>
        <w:tcBorders>
          <w:top w:val="nil"/>
          <w:left w:val="nil"/>
          <w:bottom w:val="nil"/>
          <w:right w:val="single" w:color="FFFFFF" w:themeColor="background1" w:sz="18" w:space="0"/>
          <w:insideH w:val="nil"/>
          <w:insideV w:val="nil"/>
        </w:tcBorders>
        <w:shd w:val="clear" w:color="auto" w:fill="365F91"/>
      </w:tcPr>
    </w:tblStylePr>
    <w:tblStylePr w:type="lastCol">
      <w:tblPr/>
      <w:tcPr>
        <w:tcBorders>
          <w:top w:val="nil"/>
          <w:left w:val="single" w:color="FFFFFF" w:themeColor="background1" w:sz="18" w:space="0"/>
          <w:bottom w:val="nil"/>
          <w:right w:val="nil"/>
          <w:insideH w:val="nil"/>
          <w:insideV w:val="nil"/>
        </w:tcBorders>
        <w:shd w:val="clear" w:color="auto" w:fill="365F91"/>
      </w:tcPr>
    </w:tblStylePr>
    <w:tblStylePr w:type="band1Vert">
      <w:tblPr/>
      <w:tcPr>
        <w:tcBorders>
          <w:top w:val="nil"/>
          <w:left w:val="nil"/>
          <w:bottom w:val="nil"/>
          <w:right w:val="nil"/>
          <w:insideH w:val="nil"/>
          <w:insideV w:val="nil"/>
        </w:tcBorders>
        <w:shd w:val="clear" w:color="auto" w:fill="365F91"/>
      </w:tcPr>
    </w:tblStylePr>
    <w:tblStylePr w:type="band1Horz">
      <w:tblPr/>
      <w:tcPr>
        <w:tcBorders>
          <w:top w:val="nil"/>
          <w:left w:val="nil"/>
          <w:bottom w:val="nil"/>
          <w:right w:val="nil"/>
          <w:insideH w:val="nil"/>
          <w:insideV w:val="nil"/>
        </w:tcBorders>
        <w:shd w:val="clear" w:color="auto" w:fill="365F91"/>
      </w:tcPr>
    </w:tblStylePr>
  </w:style>
  <w:style w:type="table" w:styleId="106">
    <w:name w:val="Dark List Accent 2"/>
    <w:basedOn w:val="32"/>
    <w:uiPriority w:val="70"/>
    <w:pPr>
      <w:spacing w:after="0" w:line="240" w:lineRule="auto"/>
    </w:pPr>
    <w:rPr>
      <w:color w:val="FFFFFF"/>
    </w:rPr>
    <w:tblPr>
      <w:tblStyleRowBandSize w:val="1"/>
      <w:tblStyleColBandSize w:val="1"/>
    </w:tblPr>
    <w:tcPr>
      <w:shd w:val="clear" w:color="auto" w:fill="C0504D"/>
    </w:tcPr>
    <w:tblStylePr w:type="firstRow">
      <w:rPr>
        <w:b/>
        <w:bCs/>
      </w:rPr>
      <w:tblPr/>
      <w:tcPr>
        <w:tcBorders>
          <w:top w:val="nil"/>
          <w:left w:val="nil"/>
          <w:bottom w:val="single" w:color="FFFFFF" w:themeColor="background1" w:sz="18" w:space="0"/>
          <w:right w:val="nil"/>
          <w:insideH w:val="nil"/>
          <w:insideV w:val="nil"/>
        </w:tcBorders>
        <w:shd w:val="clear" w:color="auto" w:fill="000000"/>
      </w:tcPr>
    </w:tblStylePr>
    <w:tblStylePr w:type="lastRow">
      <w:tblPr/>
      <w:tcPr>
        <w:tcBorders>
          <w:top w:val="single" w:color="FFFFFF" w:themeColor="background1" w:sz="18" w:space="0"/>
          <w:left w:val="nil"/>
          <w:bottom w:val="nil"/>
          <w:right w:val="nil"/>
          <w:insideH w:val="nil"/>
          <w:insideV w:val="nil"/>
        </w:tcBorders>
        <w:shd w:val="clear" w:color="auto" w:fill="622423"/>
      </w:tcPr>
    </w:tblStylePr>
    <w:tblStylePr w:type="firstCol">
      <w:tblPr/>
      <w:tcPr>
        <w:tcBorders>
          <w:top w:val="nil"/>
          <w:left w:val="nil"/>
          <w:bottom w:val="nil"/>
          <w:right w:val="single" w:color="FFFFFF" w:themeColor="background1" w:sz="18" w:space="0"/>
          <w:insideH w:val="nil"/>
          <w:insideV w:val="nil"/>
        </w:tcBorders>
        <w:shd w:val="clear" w:color="auto" w:fill="943634"/>
      </w:tcPr>
    </w:tblStylePr>
    <w:tblStylePr w:type="lastCol">
      <w:tblPr/>
      <w:tcPr>
        <w:tcBorders>
          <w:top w:val="nil"/>
          <w:left w:val="single" w:color="FFFFFF" w:themeColor="background1" w:sz="18" w:space="0"/>
          <w:bottom w:val="nil"/>
          <w:right w:val="nil"/>
          <w:insideH w:val="nil"/>
          <w:insideV w:val="nil"/>
        </w:tcBorders>
        <w:shd w:val="clear" w:color="auto" w:fill="943634"/>
      </w:tcPr>
    </w:tblStylePr>
    <w:tblStylePr w:type="band1Vert">
      <w:tblPr/>
      <w:tcPr>
        <w:tcBorders>
          <w:top w:val="nil"/>
          <w:left w:val="nil"/>
          <w:bottom w:val="nil"/>
          <w:right w:val="nil"/>
          <w:insideH w:val="nil"/>
          <w:insideV w:val="nil"/>
        </w:tcBorders>
        <w:shd w:val="clear" w:color="auto" w:fill="943634"/>
      </w:tcPr>
    </w:tblStylePr>
    <w:tblStylePr w:type="band1Horz">
      <w:tblPr/>
      <w:tcPr>
        <w:tcBorders>
          <w:top w:val="nil"/>
          <w:left w:val="nil"/>
          <w:bottom w:val="nil"/>
          <w:right w:val="nil"/>
          <w:insideH w:val="nil"/>
          <w:insideV w:val="nil"/>
        </w:tcBorders>
        <w:shd w:val="clear" w:color="auto" w:fill="943634"/>
      </w:tcPr>
    </w:tblStylePr>
  </w:style>
  <w:style w:type="table" w:styleId="107">
    <w:name w:val="Dark List Accent 3"/>
    <w:basedOn w:val="32"/>
    <w:uiPriority w:val="70"/>
    <w:pPr>
      <w:spacing w:after="0" w:line="240" w:lineRule="auto"/>
    </w:pPr>
    <w:rPr>
      <w:color w:val="FFFFFF"/>
    </w:rPr>
    <w:tblPr>
      <w:tblStyleRowBandSize w:val="1"/>
      <w:tblStyleColBandSize w:val="1"/>
    </w:tblPr>
    <w:tcPr>
      <w:shd w:val="clear" w:color="auto" w:fill="9BBB59"/>
    </w:tcPr>
    <w:tblStylePr w:type="firstRow">
      <w:rPr>
        <w:b/>
        <w:bCs/>
      </w:rPr>
      <w:tblPr/>
      <w:tcPr>
        <w:tcBorders>
          <w:top w:val="nil"/>
          <w:left w:val="nil"/>
          <w:bottom w:val="single" w:color="FFFFFF" w:themeColor="background1" w:sz="18" w:space="0"/>
          <w:right w:val="nil"/>
          <w:insideH w:val="nil"/>
          <w:insideV w:val="nil"/>
        </w:tcBorders>
        <w:shd w:val="clear" w:color="auto" w:fill="000000"/>
      </w:tcPr>
    </w:tblStylePr>
    <w:tblStylePr w:type="lastRow">
      <w:tblPr/>
      <w:tcPr>
        <w:tcBorders>
          <w:top w:val="single" w:color="FFFFFF" w:themeColor="background1" w:sz="18" w:space="0"/>
          <w:left w:val="nil"/>
          <w:bottom w:val="nil"/>
          <w:right w:val="nil"/>
          <w:insideH w:val="nil"/>
          <w:insideV w:val="nil"/>
        </w:tcBorders>
        <w:shd w:val="clear" w:color="auto" w:fill="4E6128"/>
      </w:tcPr>
    </w:tblStylePr>
    <w:tblStylePr w:type="firstCol">
      <w:tblPr/>
      <w:tcPr>
        <w:tcBorders>
          <w:top w:val="nil"/>
          <w:left w:val="nil"/>
          <w:bottom w:val="nil"/>
          <w:right w:val="single" w:color="FFFFFF" w:themeColor="background1" w:sz="18" w:space="0"/>
          <w:insideH w:val="nil"/>
          <w:insideV w:val="nil"/>
        </w:tcBorders>
        <w:shd w:val="clear" w:color="auto" w:fill="76923C"/>
      </w:tcPr>
    </w:tblStylePr>
    <w:tblStylePr w:type="lastCol">
      <w:tblPr/>
      <w:tcPr>
        <w:tcBorders>
          <w:top w:val="nil"/>
          <w:left w:val="single" w:color="FFFFFF" w:themeColor="background1" w:sz="18" w:space="0"/>
          <w:bottom w:val="nil"/>
          <w:right w:val="nil"/>
          <w:insideH w:val="nil"/>
          <w:insideV w:val="nil"/>
        </w:tcBorders>
        <w:shd w:val="clear" w:color="auto" w:fill="76923C"/>
      </w:tcPr>
    </w:tblStylePr>
    <w:tblStylePr w:type="band1Vert">
      <w:tblPr/>
      <w:tcPr>
        <w:tcBorders>
          <w:top w:val="nil"/>
          <w:left w:val="nil"/>
          <w:bottom w:val="nil"/>
          <w:right w:val="nil"/>
          <w:insideH w:val="nil"/>
          <w:insideV w:val="nil"/>
        </w:tcBorders>
        <w:shd w:val="clear" w:color="auto" w:fill="76923C"/>
      </w:tcPr>
    </w:tblStylePr>
    <w:tblStylePr w:type="band1Horz">
      <w:tblPr/>
      <w:tcPr>
        <w:tcBorders>
          <w:top w:val="nil"/>
          <w:left w:val="nil"/>
          <w:bottom w:val="nil"/>
          <w:right w:val="nil"/>
          <w:insideH w:val="nil"/>
          <w:insideV w:val="nil"/>
        </w:tcBorders>
        <w:shd w:val="clear" w:color="auto" w:fill="76923C"/>
      </w:tcPr>
    </w:tblStylePr>
  </w:style>
  <w:style w:type="table" w:styleId="108">
    <w:name w:val="Dark List Accent 4"/>
    <w:basedOn w:val="32"/>
    <w:uiPriority w:val="70"/>
    <w:pPr>
      <w:spacing w:after="0" w:line="240" w:lineRule="auto"/>
    </w:pPr>
    <w:rPr>
      <w:color w:val="FFFFFF"/>
    </w:rPr>
    <w:tblPr>
      <w:tblStyleRowBandSize w:val="1"/>
      <w:tblStyleColBandSize w:val="1"/>
    </w:tblPr>
    <w:tcPr>
      <w:shd w:val="clear" w:color="auto" w:fill="8064A2"/>
    </w:tcPr>
    <w:tblStylePr w:type="firstRow">
      <w:rPr>
        <w:b/>
        <w:bCs/>
      </w:rPr>
      <w:tblPr/>
      <w:tcPr>
        <w:tcBorders>
          <w:top w:val="nil"/>
          <w:left w:val="nil"/>
          <w:bottom w:val="single" w:color="FFFFFF" w:themeColor="background1" w:sz="18" w:space="0"/>
          <w:right w:val="nil"/>
          <w:insideH w:val="nil"/>
          <w:insideV w:val="nil"/>
        </w:tcBorders>
        <w:shd w:val="clear" w:color="auto" w:fill="000000"/>
      </w:tcPr>
    </w:tblStylePr>
    <w:tblStylePr w:type="lastRow">
      <w:tblPr/>
      <w:tcPr>
        <w:tcBorders>
          <w:top w:val="single" w:color="FFFFFF" w:themeColor="background1" w:sz="18" w:space="0"/>
          <w:left w:val="nil"/>
          <w:bottom w:val="nil"/>
          <w:right w:val="nil"/>
          <w:insideH w:val="nil"/>
          <w:insideV w:val="nil"/>
        </w:tcBorders>
        <w:shd w:val="clear" w:color="auto" w:fill="3F3151"/>
      </w:tcPr>
    </w:tblStylePr>
    <w:tblStylePr w:type="firstCol">
      <w:tblPr/>
      <w:tcPr>
        <w:tcBorders>
          <w:top w:val="nil"/>
          <w:left w:val="nil"/>
          <w:bottom w:val="nil"/>
          <w:right w:val="single" w:color="FFFFFF" w:themeColor="background1" w:sz="18" w:space="0"/>
          <w:insideH w:val="nil"/>
          <w:insideV w:val="nil"/>
        </w:tcBorders>
        <w:shd w:val="clear" w:color="auto" w:fill="5F497A"/>
      </w:tcPr>
    </w:tblStylePr>
    <w:tblStylePr w:type="lastCol">
      <w:tblPr/>
      <w:tcPr>
        <w:tcBorders>
          <w:top w:val="nil"/>
          <w:left w:val="single" w:color="FFFFFF" w:themeColor="background1" w:sz="18" w:space="0"/>
          <w:bottom w:val="nil"/>
          <w:right w:val="nil"/>
          <w:insideH w:val="nil"/>
          <w:insideV w:val="nil"/>
        </w:tcBorders>
        <w:shd w:val="clear" w:color="auto" w:fill="5F497A"/>
      </w:tcPr>
    </w:tblStylePr>
    <w:tblStylePr w:type="band1Vert">
      <w:tblPr/>
      <w:tcPr>
        <w:tcBorders>
          <w:top w:val="nil"/>
          <w:left w:val="nil"/>
          <w:bottom w:val="nil"/>
          <w:right w:val="nil"/>
          <w:insideH w:val="nil"/>
          <w:insideV w:val="nil"/>
        </w:tcBorders>
        <w:shd w:val="clear" w:color="auto" w:fill="5F497A"/>
      </w:tcPr>
    </w:tblStylePr>
    <w:tblStylePr w:type="band1Horz">
      <w:tblPr/>
      <w:tcPr>
        <w:tcBorders>
          <w:top w:val="nil"/>
          <w:left w:val="nil"/>
          <w:bottom w:val="nil"/>
          <w:right w:val="nil"/>
          <w:insideH w:val="nil"/>
          <w:insideV w:val="nil"/>
        </w:tcBorders>
        <w:shd w:val="clear" w:color="auto" w:fill="5F497A"/>
      </w:tcPr>
    </w:tblStylePr>
  </w:style>
  <w:style w:type="table" w:styleId="109">
    <w:name w:val="Dark List Accent 5"/>
    <w:basedOn w:val="32"/>
    <w:qFormat/>
    <w:uiPriority w:val="70"/>
    <w:pPr>
      <w:spacing w:after="0" w:line="240" w:lineRule="auto"/>
    </w:pPr>
    <w:rPr>
      <w:color w:val="FFFFFF"/>
    </w:rPr>
    <w:tblPr>
      <w:tblStyleRowBandSize w:val="1"/>
      <w:tblStyleColBandSize w:val="1"/>
    </w:tblPr>
    <w:tcPr>
      <w:shd w:val="clear" w:color="auto" w:fill="4BACC6"/>
    </w:tcPr>
    <w:tblStylePr w:type="firstRow">
      <w:rPr>
        <w:b/>
        <w:bCs/>
      </w:rPr>
      <w:tblPr/>
      <w:tcPr>
        <w:tcBorders>
          <w:top w:val="nil"/>
          <w:left w:val="nil"/>
          <w:bottom w:val="single" w:color="FFFFFF" w:themeColor="background1" w:sz="18" w:space="0"/>
          <w:right w:val="nil"/>
          <w:insideH w:val="nil"/>
          <w:insideV w:val="nil"/>
        </w:tcBorders>
        <w:shd w:val="clear" w:color="auto" w:fill="000000"/>
      </w:tcPr>
    </w:tblStylePr>
    <w:tblStylePr w:type="lastRow">
      <w:tblPr/>
      <w:tcPr>
        <w:tcBorders>
          <w:top w:val="single" w:color="FFFFFF" w:themeColor="background1" w:sz="18" w:space="0"/>
          <w:left w:val="nil"/>
          <w:bottom w:val="nil"/>
          <w:right w:val="nil"/>
          <w:insideH w:val="nil"/>
          <w:insideV w:val="nil"/>
        </w:tcBorders>
        <w:shd w:val="clear" w:color="auto" w:fill="205867"/>
      </w:tcPr>
    </w:tblStylePr>
    <w:tblStylePr w:type="firstCol">
      <w:tblPr/>
      <w:tcPr>
        <w:tcBorders>
          <w:top w:val="nil"/>
          <w:left w:val="nil"/>
          <w:bottom w:val="nil"/>
          <w:right w:val="single" w:color="FFFFFF" w:themeColor="background1" w:sz="18" w:space="0"/>
          <w:insideH w:val="nil"/>
          <w:insideV w:val="nil"/>
        </w:tcBorders>
        <w:shd w:val="clear" w:color="auto" w:fill="31849B"/>
      </w:tcPr>
    </w:tblStylePr>
    <w:tblStylePr w:type="lastCol">
      <w:tblPr/>
      <w:tcPr>
        <w:tcBorders>
          <w:top w:val="nil"/>
          <w:left w:val="single" w:color="FFFFFF" w:themeColor="background1" w:sz="18" w:space="0"/>
          <w:bottom w:val="nil"/>
          <w:right w:val="nil"/>
          <w:insideH w:val="nil"/>
          <w:insideV w:val="nil"/>
        </w:tcBorders>
        <w:shd w:val="clear" w:color="auto" w:fill="31849B"/>
      </w:tcPr>
    </w:tblStylePr>
    <w:tblStylePr w:type="band1Vert">
      <w:tblPr/>
      <w:tcPr>
        <w:tcBorders>
          <w:top w:val="nil"/>
          <w:left w:val="nil"/>
          <w:bottom w:val="nil"/>
          <w:right w:val="nil"/>
          <w:insideH w:val="nil"/>
          <w:insideV w:val="nil"/>
        </w:tcBorders>
        <w:shd w:val="clear" w:color="auto" w:fill="31849B"/>
      </w:tcPr>
    </w:tblStylePr>
    <w:tblStylePr w:type="band1Horz">
      <w:tblPr/>
      <w:tcPr>
        <w:tcBorders>
          <w:top w:val="nil"/>
          <w:left w:val="nil"/>
          <w:bottom w:val="nil"/>
          <w:right w:val="nil"/>
          <w:insideH w:val="nil"/>
          <w:insideV w:val="nil"/>
        </w:tcBorders>
        <w:shd w:val="clear" w:color="auto" w:fill="31849B"/>
      </w:tcPr>
    </w:tblStylePr>
  </w:style>
  <w:style w:type="table" w:styleId="110">
    <w:name w:val="Dark List Accent 6"/>
    <w:basedOn w:val="32"/>
    <w:qFormat/>
    <w:uiPriority w:val="70"/>
    <w:pPr>
      <w:spacing w:after="0" w:line="240" w:lineRule="auto"/>
    </w:pPr>
    <w:rPr>
      <w:color w:val="FFFFFF"/>
    </w:rPr>
    <w:tblPr>
      <w:tblStyleRowBandSize w:val="1"/>
      <w:tblStyleColBandSize w:val="1"/>
    </w:tblPr>
    <w:tcPr>
      <w:shd w:val="clear" w:color="auto" w:fill="F79646"/>
    </w:tcPr>
    <w:tblStylePr w:type="firstRow">
      <w:rPr>
        <w:b/>
        <w:bCs/>
      </w:rPr>
      <w:tblPr/>
      <w:tcPr>
        <w:tcBorders>
          <w:top w:val="nil"/>
          <w:left w:val="nil"/>
          <w:bottom w:val="single" w:color="FFFFFF" w:themeColor="background1" w:sz="18" w:space="0"/>
          <w:right w:val="nil"/>
          <w:insideH w:val="nil"/>
          <w:insideV w:val="nil"/>
        </w:tcBorders>
        <w:shd w:val="clear" w:color="auto" w:fill="000000"/>
      </w:tcPr>
    </w:tblStylePr>
    <w:tblStylePr w:type="lastRow">
      <w:tblPr/>
      <w:tcPr>
        <w:tcBorders>
          <w:top w:val="single" w:color="FFFFFF" w:themeColor="background1" w:sz="18" w:space="0"/>
          <w:left w:val="nil"/>
          <w:bottom w:val="nil"/>
          <w:right w:val="nil"/>
          <w:insideH w:val="nil"/>
          <w:insideV w:val="nil"/>
        </w:tcBorders>
        <w:shd w:val="clear" w:color="auto" w:fill="974706"/>
      </w:tcPr>
    </w:tblStylePr>
    <w:tblStylePr w:type="firstCol">
      <w:tblPr/>
      <w:tcPr>
        <w:tcBorders>
          <w:top w:val="nil"/>
          <w:left w:val="nil"/>
          <w:bottom w:val="nil"/>
          <w:right w:val="single" w:color="FFFFFF" w:themeColor="background1" w:sz="18" w:space="0"/>
          <w:insideH w:val="nil"/>
          <w:insideV w:val="nil"/>
        </w:tcBorders>
        <w:shd w:val="clear" w:color="auto" w:fill="E36C0A"/>
      </w:tcPr>
    </w:tblStylePr>
    <w:tblStylePr w:type="lastCol">
      <w:tblPr/>
      <w:tcPr>
        <w:tcBorders>
          <w:top w:val="nil"/>
          <w:left w:val="single" w:color="FFFFFF" w:themeColor="background1" w:sz="18" w:space="0"/>
          <w:bottom w:val="nil"/>
          <w:right w:val="nil"/>
          <w:insideH w:val="nil"/>
          <w:insideV w:val="nil"/>
        </w:tcBorders>
        <w:shd w:val="clear" w:color="auto" w:fill="E36C0A"/>
      </w:tcPr>
    </w:tblStylePr>
    <w:tblStylePr w:type="band1Vert">
      <w:tblPr/>
      <w:tcPr>
        <w:tcBorders>
          <w:top w:val="nil"/>
          <w:left w:val="nil"/>
          <w:bottom w:val="nil"/>
          <w:right w:val="nil"/>
          <w:insideH w:val="nil"/>
          <w:insideV w:val="nil"/>
        </w:tcBorders>
        <w:shd w:val="clear" w:color="auto" w:fill="E36C0A"/>
      </w:tcPr>
    </w:tblStylePr>
    <w:tblStylePr w:type="band1Horz">
      <w:tblPr/>
      <w:tcPr>
        <w:tcBorders>
          <w:top w:val="nil"/>
          <w:left w:val="nil"/>
          <w:bottom w:val="nil"/>
          <w:right w:val="nil"/>
          <w:insideH w:val="nil"/>
          <w:insideV w:val="nil"/>
        </w:tcBorders>
        <w:shd w:val="clear" w:color="auto" w:fill="E36C0A"/>
      </w:tcPr>
    </w:tblStylePr>
  </w:style>
  <w:style w:type="table" w:styleId="111">
    <w:name w:val="Colorful Shading"/>
    <w:basedOn w:val="32"/>
    <w:uiPriority w:val="71"/>
    <w:pPr>
      <w:spacing w:after="0" w:line="240" w:lineRule="auto"/>
    </w:pPr>
    <w:rPr>
      <w:color w:val="000000"/>
    </w:rPr>
    <w:tblPr>
      <w:tblBorders>
        <w:top w:val="single" w:color="C0504D" w:sz="24" w:space="0"/>
        <w:left w:val="single" w:color="auto" w:sz="4" w:space="0"/>
        <w:bottom w:val="single" w:color="auto" w:sz="4" w:space="0"/>
        <w:right w:val="single" w:color="auto" w:sz="4" w:space="0"/>
        <w:insideH w:val="single" w:color="FFFFFF" w:sz="4" w:space="0"/>
        <w:insideV w:val="single" w:color="FFFFFF" w:sz="4" w:space="0"/>
      </w:tblBorders>
    </w:tblPr>
    <w:tcPr>
      <w:shd w:val="clear" w:color="auto" w:fill="E6E6E6"/>
    </w:tcPr>
    <w:tblStylePr w:type="firstRow">
      <w:rPr>
        <w:b/>
        <w:bCs/>
      </w:rPr>
      <w:tblPr/>
      <w:tcPr>
        <w:tcBorders>
          <w:top w:val="nil"/>
          <w:left w:val="nil"/>
          <w:bottom w:val="single" w:color="C0504D" w:themeColor="accent2" w:sz="24" w:space="0"/>
          <w:right w:val="nil"/>
          <w:insideH w:val="nil"/>
          <w:insideV w:val="nil"/>
        </w:tcBorders>
        <w:shd w:val="clear" w:color="auto" w:fill="FFFFFF"/>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000000"/>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000000"/>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000000"/>
      </w:tcPr>
    </w:tblStylePr>
    <w:tblStylePr w:type="band1Vert">
      <w:tblPr/>
      <w:tcPr>
        <w:shd w:val="clear" w:color="auto" w:fill="999999"/>
      </w:tcPr>
    </w:tblStylePr>
    <w:tblStylePr w:type="band1Horz">
      <w:tblPr/>
      <w:tcPr>
        <w:shd w:val="clear" w:color="auto" w:fill="808080"/>
      </w:tcPr>
    </w:tblStylePr>
    <w:tblStylePr w:type="neCell">
      <w:rPr>
        <w:color w:val="000000" w:themeColor="text1"/>
        <w14:textFill>
          <w14:solidFill>
            <w14:schemeClr w14:val="tx1"/>
          </w14:solidFill>
        </w14:textFill>
      </w:rPr>
    </w:tblStylePr>
    <w:tblStylePr w:type="nwCell">
      <w:rPr>
        <w:color w:val="000000" w:themeColor="text1"/>
        <w14:textFill>
          <w14:solidFill>
            <w14:schemeClr w14:val="tx1"/>
          </w14:solidFill>
        </w14:textFill>
      </w:rPr>
    </w:tblStylePr>
  </w:style>
  <w:style w:type="table" w:styleId="112">
    <w:name w:val="Colorful Shading Accent 1"/>
    <w:basedOn w:val="32"/>
    <w:uiPriority w:val="71"/>
    <w:pPr>
      <w:spacing w:after="0" w:line="240" w:lineRule="auto"/>
    </w:pPr>
    <w:rPr>
      <w:color w:val="000000"/>
    </w:rPr>
    <w:tblPr>
      <w:tblBorders>
        <w:top w:val="single" w:color="C0504D" w:sz="24" w:space="0"/>
        <w:left w:val="single" w:color="4F81BD" w:sz="4" w:space="0"/>
        <w:bottom w:val="single" w:color="4F81BD" w:sz="4" w:space="0"/>
        <w:right w:val="single" w:color="4F81BD" w:sz="4" w:space="0"/>
        <w:insideH w:val="single" w:color="FFFFFF" w:sz="4" w:space="0"/>
        <w:insideV w:val="single" w:color="FFFFFF" w:sz="4" w:space="0"/>
      </w:tblBorders>
    </w:tblPr>
    <w:tcPr>
      <w:shd w:val="clear" w:color="auto" w:fill="EDF2F8"/>
    </w:tcPr>
    <w:tblStylePr w:type="firstRow">
      <w:rPr>
        <w:b/>
        <w:bCs/>
      </w:rPr>
      <w:tblPr/>
      <w:tcPr>
        <w:tcBorders>
          <w:top w:val="nil"/>
          <w:left w:val="nil"/>
          <w:bottom w:val="single" w:color="C0504D" w:themeColor="accent2" w:sz="24" w:space="0"/>
          <w:right w:val="nil"/>
          <w:insideH w:val="nil"/>
          <w:insideV w:val="nil"/>
        </w:tcBorders>
        <w:shd w:val="clear" w:color="auto" w:fill="FFFFFF"/>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2C4C74"/>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2C4C74"/>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2C4C74"/>
      </w:tcPr>
    </w:tblStylePr>
    <w:tblStylePr w:type="band1Vert">
      <w:tblPr/>
      <w:tcPr>
        <w:shd w:val="clear" w:color="auto" w:fill="B8CCE4"/>
      </w:tcPr>
    </w:tblStylePr>
    <w:tblStylePr w:type="band1Horz">
      <w:tblPr/>
      <w:tcPr>
        <w:shd w:val="clear" w:color="auto" w:fill="A7BFDE"/>
      </w:tcPr>
    </w:tblStylePr>
    <w:tblStylePr w:type="neCell">
      <w:rPr>
        <w:color w:val="000000" w:themeColor="text1"/>
        <w14:textFill>
          <w14:solidFill>
            <w14:schemeClr w14:val="tx1"/>
          </w14:solidFill>
        </w14:textFill>
      </w:rPr>
    </w:tblStylePr>
    <w:tblStylePr w:type="nwCell">
      <w:rPr>
        <w:color w:val="000000" w:themeColor="text1"/>
        <w14:textFill>
          <w14:solidFill>
            <w14:schemeClr w14:val="tx1"/>
          </w14:solidFill>
        </w14:textFill>
      </w:rPr>
    </w:tblStylePr>
  </w:style>
  <w:style w:type="table" w:styleId="113">
    <w:name w:val="Colorful Shading Accent 2"/>
    <w:basedOn w:val="32"/>
    <w:qFormat/>
    <w:uiPriority w:val="71"/>
    <w:pPr>
      <w:spacing w:after="0" w:line="240" w:lineRule="auto"/>
    </w:pPr>
    <w:rPr>
      <w:color w:val="000000"/>
    </w:rPr>
    <w:tblPr>
      <w:tblBorders>
        <w:top w:val="single" w:color="C0504D" w:sz="24" w:space="0"/>
        <w:left w:val="single" w:color="C0504D" w:sz="4" w:space="0"/>
        <w:bottom w:val="single" w:color="C0504D" w:sz="4" w:space="0"/>
        <w:right w:val="single" w:color="C0504D" w:sz="4" w:space="0"/>
        <w:insideH w:val="single" w:color="FFFFFF" w:sz="4" w:space="0"/>
        <w:insideV w:val="single" w:color="FFFFFF" w:sz="4" w:space="0"/>
      </w:tblBorders>
    </w:tblPr>
    <w:tcPr>
      <w:shd w:val="clear" w:color="auto" w:fill="F8EDED"/>
    </w:tcPr>
    <w:tblStylePr w:type="firstRow">
      <w:rPr>
        <w:b/>
        <w:bCs/>
      </w:rPr>
      <w:tblPr/>
      <w:tcPr>
        <w:tcBorders>
          <w:top w:val="nil"/>
          <w:left w:val="nil"/>
          <w:bottom w:val="single" w:color="C0504D" w:themeColor="accent2" w:sz="24" w:space="0"/>
          <w:right w:val="nil"/>
          <w:insideH w:val="nil"/>
          <w:insideV w:val="nil"/>
        </w:tcBorders>
        <w:shd w:val="clear" w:color="auto" w:fill="FFFFFF"/>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772C2A"/>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772C2A"/>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772C2A"/>
      </w:tcPr>
    </w:tblStylePr>
    <w:tblStylePr w:type="band1Vert">
      <w:tblPr/>
      <w:tcPr>
        <w:shd w:val="clear" w:color="auto" w:fill="E5B8B7"/>
      </w:tcPr>
    </w:tblStylePr>
    <w:tblStylePr w:type="band1Horz">
      <w:tblPr/>
      <w:tcPr>
        <w:shd w:val="clear" w:color="auto" w:fill="DFA7A6"/>
      </w:tcPr>
    </w:tblStylePr>
    <w:tblStylePr w:type="neCell">
      <w:rPr>
        <w:color w:val="000000" w:themeColor="text1"/>
        <w14:textFill>
          <w14:solidFill>
            <w14:schemeClr w14:val="tx1"/>
          </w14:solidFill>
        </w14:textFill>
      </w:rPr>
    </w:tblStylePr>
    <w:tblStylePr w:type="nwCell">
      <w:rPr>
        <w:color w:val="000000" w:themeColor="text1"/>
        <w14:textFill>
          <w14:solidFill>
            <w14:schemeClr w14:val="tx1"/>
          </w14:solidFill>
        </w14:textFill>
      </w:rPr>
    </w:tblStylePr>
  </w:style>
  <w:style w:type="table" w:styleId="114">
    <w:name w:val="Colorful Shading Accent 3"/>
    <w:basedOn w:val="32"/>
    <w:uiPriority w:val="71"/>
    <w:pPr>
      <w:spacing w:after="0" w:line="240" w:lineRule="auto"/>
    </w:pPr>
    <w:rPr>
      <w:color w:val="000000"/>
    </w:rPr>
    <w:tblPr>
      <w:tblBorders>
        <w:top w:val="single" w:color="8064A2" w:sz="24" w:space="0"/>
        <w:left w:val="single" w:color="9BBB59" w:sz="4" w:space="0"/>
        <w:bottom w:val="single" w:color="9BBB59" w:sz="4" w:space="0"/>
        <w:right w:val="single" w:color="9BBB59" w:sz="4" w:space="0"/>
        <w:insideH w:val="single" w:color="FFFFFF" w:sz="4" w:space="0"/>
        <w:insideV w:val="single" w:color="FFFFFF" w:sz="4" w:space="0"/>
      </w:tblBorders>
    </w:tblPr>
    <w:tcPr>
      <w:shd w:val="clear" w:color="auto" w:fill="F5F8EE"/>
    </w:tcPr>
    <w:tblStylePr w:type="firstRow">
      <w:rPr>
        <w:b/>
        <w:bCs/>
      </w:rPr>
      <w:tblPr/>
      <w:tcPr>
        <w:tcBorders>
          <w:top w:val="nil"/>
          <w:left w:val="nil"/>
          <w:bottom w:val="single" w:color="8064A2" w:themeColor="accent4" w:sz="24" w:space="0"/>
          <w:right w:val="nil"/>
          <w:insideH w:val="nil"/>
          <w:insideV w:val="nil"/>
        </w:tcBorders>
        <w:shd w:val="clear" w:color="auto" w:fill="FFFFFF"/>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5E7530"/>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5E7530"/>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5E7530"/>
      </w:tcPr>
    </w:tblStylePr>
    <w:tblStylePr w:type="band1Vert">
      <w:tblPr/>
      <w:tcPr>
        <w:shd w:val="clear" w:color="auto" w:fill="D6E3BC"/>
      </w:tcPr>
    </w:tblStylePr>
    <w:tblStylePr w:type="band1Horz">
      <w:tblPr/>
      <w:tcPr>
        <w:shd w:val="clear" w:color="auto" w:fill="CDDDAC"/>
      </w:tcPr>
    </w:tblStylePr>
  </w:style>
  <w:style w:type="table" w:styleId="115">
    <w:name w:val="Colorful Shading Accent 4"/>
    <w:basedOn w:val="32"/>
    <w:uiPriority w:val="71"/>
    <w:pPr>
      <w:spacing w:after="0" w:line="240" w:lineRule="auto"/>
    </w:pPr>
    <w:rPr>
      <w:color w:val="000000"/>
    </w:rPr>
    <w:tblPr>
      <w:tblBorders>
        <w:top w:val="single" w:color="9BBB59" w:sz="24" w:space="0"/>
        <w:left w:val="single" w:color="8064A2" w:sz="4" w:space="0"/>
        <w:bottom w:val="single" w:color="8064A2" w:sz="4" w:space="0"/>
        <w:right w:val="single" w:color="8064A2" w:sz="4" w:space="0"/>
        <w:insideH w:val="single" w:color="FFFFFF" w:sz="4" w:space="0"/>
        <w:insideV w:val="single" w:color="FFFFFF" w:sz="4" w:space="0"/>
      </w:tblBorders>
    </w:tblPr>
    <w:tcPr>
      <w:shd w:val="clear" w:color="auto" w:fill="F2EFF6"/>
    </w:tcPr>
    <w:tblStylePr w:type="firstRow">
      <w:rPr>
        <w:b/>
        <w:bCs/>
      </w:rPr>
      <w:tblPr/>
      <w:tcPr>
        <w:tcBorders>
          <w:top w:val="nil"/>
          <w:left w:val="nil"/>
          <w:bottom w:val="single" w:color="9BBB59" w:themeColor="accent3" w:sz="24" w:space="0"/>
          <w:right w:val="nil"/>
          <w:insideH w:val="nil"/>
          <w:insideV w:val="nil"/>
        </w:tcBorders>
        <w:shd w:val="clear" w:color="auto" w:fill="FFFFFF"/>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4C3B62"/>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4C3B62"/>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4C3B62"/>
      </w:tcPr>
    </w:tblStylePr>
    <w:tblStylePr w:type="band1Vert">
      <w:tblPr/>
      <w:tcPr>
        <w:shd w:val="clear" w:color="auto" w:fill="CCC0D9"/>
      </w:tcPr>
    </w:tblStylePr>
    <w:tblStylePr w:type="band1Horz">
      <w:tblPr/>
      <w:tcPr>
        <w:shd w:val="clear" w:color="auto" w:fill="BFB1D0"/>
      </w:tcPr>
    </w:tblStylePr>
    <w:tblStylePr w:type="neCell">
      <w:rPr>
        <w:color w:val="000000" w:themeColor="text1"/>
        <w14:textFill>
          <w14:solidFill>
            <w14:schemeClr w14:val="tx1"/>
          </w14:solidFill>
        </w14:textFill>
      </w:rPr>
    </w:tblStylePr>
    <w:tblStylePr w:type="nwCell">
      <w:rPr>
        <w:color w:val="000000" w:themeColor="text1"/>
        <w14:textFill>
          <w14:solidFill>
            <w14:schemeClr w14:val="tx1"/>
          </w14:solidFill>
        </w14:textFill>
      </w:rPr>
    </w:tblStylePr>
  </w:style>
  <w:style w:type="table" w:styleId="116">
    <w:name w:val="Colorful Shading Accent 5"/>
    <w:basedOn w:val="32"/>
    <w:qFormat/>
    <w:uiPriority w:val="71"/>
    <w:pPr>
      <w:spacing w:after="0" w:line="240" w:lineRule="auto"/>
    </w:pPr>
    <w:rPr>
      <w:color w:val="000000"/>
    </w:rPr>
    <w:tblPr>
      <w:tblBorders>
        <w:top w:val="single" w:color="F79646" w:sz="24" w:space="0"/>
        <w:left w:val="single" w:color="4BACC6" w:sz="4" w:space="0"/>
        <w:bottom w:val="single" w:color="4BACC6" w:sz="4" w:space="0"/>
        <w:right w:val="single" w:color="4BACC6" w:sz="4" w:space="0"/>
        <w:insideH w:val="single" w:color="FFFFFF" w:sz="4" w:space="0"/>
        <w:insideV w:val="single" w:color="FFFFFF" w:sz="4" w:space="0"/>
      </w:tblBorders>
    </w:tblPr>
    <w:tcPr>
      <w:shd w:val="clear" w:color="auto" w:fill="EDF6F9"/>
    </w:tcPr>
    <w:tblStylePr w:type="firstRow">
      <w:rPr>
        <w:b/>
        <w:bCs/>
      </w:rPr>
      <w:tblPr/>
      <w:tcPr>
        <w:tcBorders>
          <w:top w:val="nil"/>
          <w:left w:val="nil"/>
          <w:bottom w:val="single" w:color="F79646" w:themeColor="accent6" w:sz="24" w:space="0"/>
          <w:right w:val="nil"/>
          <w:insideH w:val="nil"/>
          <w:insideV w:val="nil"/>
        </w:tcBorders>
        <w:shd w:val="clear" w:color="auto" w:fill="FFFFFF"/>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276A7C"/>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276A7C"/>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276A7C"/>
      </w:tcPr>
    </w:tblStylePr>
    <w:tblStylePr w:type="band1Vert">
      <w:tblPr/>
      <w:tcPr>
        <w:shd w:val="clear" w:color="auto" w:fill="B6DDE8"/>
      </w:tcPr>
    </w:tblStylePr>
    <w:tblStylePr w:type="band1Horz">
      <w:tblPr/>
      <w:tcPr>
        <w:shd w:val="clear" w:color="auto" w:fill="A5D5E2"/>
      </w:tcPr>
    </w:tblStylePr>
    <w:tblStylePr w:type="neCell">
      <w:rPr>
        <w:color w:val="000000" w:themeColor="text1"/>
        <w14:textFill>
          <w14:solidFill>
            <w14:schemeClr w14:val="tx1"/>
          </w14:solidFill>
        </w14:textFill>
      </w:rPr>
    </w:tblStylePr>
    <w:tblStylePr w:type="nwCell">
      <w:rPr>
        <w:color w:val="000000" w:themeColor="text1"/>
        <w14:textFill>
          <w14:solidFill>
            <w14:schemeClr w14:val="tx1"/>
          </w14:solidFill>
        </w14:textFill>
      </w:rPr>
    </w:tblStylePr>
  </w:style>
  <w:style w:type="table" w:styleId="117">
    <w:name w:val="Colorful Shading Accent 6"/>
    <w:basedOn w:val="32"/>
    <w:uiPriority w:val="71"/>
    <w:pPr>
      <w:spacing w:after="0" w:line="240" w:lineRule="auto"/>
    </w:pPr>
    <w:rPr>
      <w:color w:val="000000"/>
    </w:rPr>
    <w:tblPr>
      <w:tblBorders>
        <w:top w:val="single" w:color="4BACC6" w:sz="24" w:space="0"/>
        <w:left w:val="single" w:color="F79646" w:sz="4" w:space="0"/>
        <w:bottom w:val="single" w:color="F79646" w:sz="4" w:space="0"/>
        <w:right w:val="single" w:color="F79646" w:sz="4" w:space="0"/>
        <w:insideH w:val="single" w:color="FFFFFF" w:sz="4" w:space="0"/>
        <w:insideV w:val="single" w:color="FFFFFF" w:sz="4" w:space="0"/>
      </w:tblBorders>
    </w:tblPr>
    <w:tcPr>
      <w:shd w:val="clear" w:color="auto" w:fill="FEF4EC"/>
    </w:tcPr>
    <w:tblStylePr w:type="firstRow">
      <w:rPr>
        <w:b/>
        <w:bCs/>
      </w:rPr>
      <w:tblPr/>
      <w:tcPr>
        <w:tcBorders>
          <w:top w:val="nil"/>
          <w:left w:val="nil"/>
          <w:bottom w:val="single" w:color="4BACC6" w:themeColor="accent5" w:sz="24" w:space="0"/>
          <w:right w:val="nil"/>
          <w:insideH w:val="nil"/>
          <w:insideV w:val="nil"/>
        </w:tcBorders>
        <w:shd w:val="clear" w:color="auto" w:fill="FFFFFF"/>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B65608"/>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B65608"/>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B65608"/>
      </w:tcPr>
    </w:tblStylePr>
    <w:tblStylePr w:type="band1Vert">
      <w:tblPr/>
      <w:tcPr>
        <w:shd w:val="clear" w:color="auto" w:fill="FBD4B4"/>
      </w:tcPr>
    </w:tblStylePr>
    <w:tblStylePr w:type="band1Horz">
      <w:tblPr/>
      <w:tcPr>
        <w:shd w:val="clear" w:color="auto" w:fill="FBCAA2"/>
      </w:tcPr>
    </w:tblStylePr>
    <w:tblStylePr w:type="neCell">
      <w:rPr>
        <w:color w:val="000000" w:themeColor="text1"/>
        <w14:textFill>
          <w14:solidFill>
            <w14:schemeClr w14:val="tx1"/>
          </w14:solidFill>
        </w14:textFill>
      </w:rPr>
    </w:tblStylePr>
    <w:tblStylePr w:type="nwCell">
      <w:rPr>
        <w:color w:val="000000" w:themeColor="text1"/>
        <w14:textFill>
          <w14:solidFill>
            <w14:schemeClr w14:val="tx1"/>
          </w14:solidFill>
        </w14:textFill>
      </w:rPr>
    </w:tblStylePr>
  </w:style>
  <w:style w:type="table" w:styleId="118">
    <w:name w:val="Colorful List"/>
    <w:basedOn w:val="32"/>
    <w:qFormat/>
    <w:uiPriority w:val="72"/>
    <w:pPr>
      <w:spacing w:after="0" w:line="240" w:lineRule="auto"/>
    </w:pPr>
    <w:rPr>
      <w:color w:val="000000"/>
    </w:rPr>
    <w:tblPr>
      <w:tblStyleRowBandSize w:val="1"/>
      <w:tblStyleColBandSize w:val="1"/>
    </w:tblPr>
    <w:tcPr>
      <w:shd w:val="clear" w:color="auto" w:fill="E6E6E6"/>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9E3A38"/>
      </w:tcPr>
    </w:tblStylePr>
    <w:tblStylePr w:type="lastRow">
      <w:rPr>
        <w:b/>
        <w:bCs/>
        <w:color w:val="9F3B38" w:themeColor="accent2" w:themeShade="CC"/>
      </w:rPr>
      <w:tblPr/>
      <w:tcPr>
        <w:tcBorders>
          <w:top w:val="single" w:color="000000" w:themeColor="text1" w:sz="12" w:space="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cPr>
    </w:tblStylePr>
    <w:tblStylePr w:type="band1Horz">
      <w:tblPr/>
      <w:tcPr>
        <w:shd w:val="clear" w:color="auto" w:fill="CCCCCC"/>
      </w:tcPr>
    </w:tblStylePr>
  </w:style>
  <w:style w:type="table" w:styleId="119">
    <w:name w:val="Colorful List Accent 1"/>
    <w:basedOn w:val="32"/>
    <w:uiPriority w:val="72"/>
    <w:pPr>
      <w:spacing w:after="0" w:line="240" w:lineRule="auto"/>
    </w:pPr>
    <w:rPr>
      <w:color w:val="000000"/>
    </w:rPr>
    <w:tblPr>
      <w:tblStyleRowBandSize w:val="1"/>
      <w:tblStyleColBandSize w:val="1"/>
    </w:tblPr>
    <w:tcPr>
      <w:shd w:val="clear" w:color="auto" w:fill="EDF2F8"/>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9E3A38"/>
      </w:tcPr>
    </w:tblStylePr>
    <w:tblStylePr w:type="lastRow">
      <w:rPr>
        <w:b/>
        <w:bCs/>
        <w:color w:val="9F3B38" w:themeColor="accent2" w:themeShade="CC"/>
      </w:rPr>
      <w:tblPr/>
      <w:tcPr>
        <w:tcBorders>
          <w:top w:val="single" w:color="000000" w:themeColor="text1" w:sz="12" w:space="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cPr>
    </w:tblStylePr>
    <w:tblStylePr w:type="band1Horz">
      <w:tblPr/>
      <w:tcPr>
        <w:shd w:val="clear" w:color="auto" w:fill="DBE5F1"/>
      </w:tcPr>
    </w:tblStylePr>
  </w:style>
  <w:style w:type="table" w:styleId="120">
    <w:name w:val="Colorful List Accent 2"/>
    <w:basedOn w:val="32"/>
    <w:uiPriority w:val="72"/>
    <w:pPr>
      <w:spacing w:after="0" w:line="240" w:lineRule="auto"/>
    </w:pPr>
    <w:rPr>
      <w:color w:val="000000"/>
    </w:rPr>
    <w:tblPr>
      <w:tblStyleRowBandSize w:val="1"/>
      <w:tblStyleColBandSize w:val="1"/>
    </w:tblPr>
    <w:tcPr>
      <w:shd w:val="clear" w:color="auto" w:fill="F8EDED"/>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9E3A38"/>
      </w:tcPr>
    </w:tblStylePr>
    <w:tblStylePr w:type="lastRow">
      <w:rPr>
        <w:b/>
        <w:bCs/>
        <w:color w:val="9F3B38" w:themeColor="accent2" w:themeShade="CC"/>
      </w:rPr>
      <w:tblPr/>
      <w:tcPr>
        <w:tcBorders>
          <w:top w:val="single" w:color="000000" w:themeColor="text1" w:sz="12" w:space="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cPr>
    </w:tblStylePr>
    <w:tblStylePr w:type="band1Horz">
      <w:tblPr/>
      <w:tcPr>
        <w:shd w:val="clear" w:color="auto" w:fill="F2DBDB"/>
      </w:tcPr>
    </w:tblStylePr>
  </w:style>
  <w:style w:type="table" w:styleId="121">
    <w:name w:val="Colorful List Accent 3"/>
    <w:basedOn w:val="32"/>
    <w:uiPriority w:val="72"/>
    <w:pPr>
      <w:spacing w:after="0" w:line="240" w:lineRule="auto"/>
    </w:pPr>
    <w:rPr>
      <w:color w:val="000000"/>
    </w:rPr>
    <w:tblPr>
      <w:tblStyleRowBandSize w:val="1"/>
      <w:tblStyleColBandSize w:val="1"/>
    </w:tblPr>
    <w:tcPr>
      <w:shd w:val="clear" w:color="auto" w:fill="F5F8EE"/>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664E82"/>
      </w:tcPr>
    </w:tblStylePr>
    <w:tblStylePr w:type="lastRow">
      <w:rPr>
        <w:b/>
        <w:bCs/>
        <w:color w:val="664F83" w:themeColor="accent4" w:themeShade="CC"/>
      </w:rPr>
      <w:tblPr/>
      <w:tcPr>
        <w:tcBorders>
          <w:top w:val="single" w:color="000000" w:themeColor="text1" w:sz="12" w:space="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cPr>
    </w:tblStylePr>
    <w:tblStylePr w:type="band1Horz">
      <w:tblPr/>
      <w:tcPr>
        <w:shd w:val="clear" w:color="auto" w:fill="EAF1DD"/>
      </w:tcPr>
    </w:tblStylePr>
  </w:style>
  <w:style w:type="table" w:styleId="122">
    <w:name w:val="Colorful List Accent 4"/>
    <w:basedOn w:val="32"/>
    <w:uiPriority w:val="72"/>
    <w:pPr>
      <w:spacing w:after="0" w:line="240" w:lineRule="auto"/>
    </w:pPr>
    <w:rPr>
      <w:color w:val="000000"/>
    </w:rPr>
    <w:tblPr>
      <w:tblStyleRowBandSize w:val="1"/>
      <w:tblStyleColBandSize w:val="1"/>
    </w:tblPr>
    <w:tcPr>
      <w:shd w:val="clear" w:color="auto" w:fill="F2EFF6"/>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7E9C40"/>
      </w:tcPr>
    </w:tblStylePr>
    <w:tblStylePr w:type="lastRow">
      <w:rPr>
        <w:b/>
        <w:bCs/>
        <w:color w:val="7E9D40" w:themeColor="accent3" w:themeShade="CC"/>
      </w:rPr>
      <w:tblPr/>
      <w:tcPr>
        <w:tcBorders>
          <w:top w:val="single" w:color="000000" w:themeColor="text1" w:sz="12" w:space="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cPr>
    </w:tblStylePr>
    <w:tblStylePr w:type="band1Horz">
      <w:tblPr/>
      <w:tcPr>
        <w:shd w:val="clear" w:color="auto" w:fill="E5DFEC"/>
      </w:tcPr>
    </w:tblStylePr>
  </w:style>
  <w:style w:type="table" w:styleId="123">
    <w:name w:val="Colorful List Accent 5"/>
    <w:basedOn w:val="32"/>
    <w:qFormat/>
    <w:uiPriority w:val="72"/>
    <w:pPr>
      <w:spacing w:after="0" w:line="240" w:lineRule="auto"/>
    </w:pPr>
    <w:rPr>
      <w:color w:val="000000"/>
    </w:rPr>
    <w:tblPr>
      <w:tblStyleRowBandSize w:val="1"/>
      <w:tblStyleColBandSize w:val="1"/>
    </w:tblPr>
    <w:tcPr>
      <w:shd w:val="clear" w:color="auto" w:fill="EDF6F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F2730A"/>
      </w:tcPr>
    </w:tblStylePr>
    <w:tblStylePr w:type="lastRow">
      <w:rPr>
        <w:b/>
        <w:bCs/>
        <w:color w:val="F3740B" w:themeColor="accent6" w:themeShade="CC"/>
      </w:rPr>
      <w:tblPr/>
      <w:tcPr>
        <w:tcBorders>
          <w:top w:val="single" w:color="000000" w:themeColor="text1" w:sz="12" w:space="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cPr>
    </w:tblStylePr>
    <w:tblStylePr w:type="band1Horz">
      <w:tblPr/>
      <w:tcPr>
        <w:shd w:val="clear" w:color="auto" w:fill="DAEEF3"/>
      </w:tcPr>
    </w:tblStylePr>
  </w:style>
  <w:style w:type="table" w:styleId="124">
    <w:name w:val="Colorful List Accent 6"/>
    <w:basedOn w:val="32"/>
    <w:uiPriority w:val="72"/>
    <w:pPr>
      <w:spacing w:after="0" w:line="240" w:lineRule="auto"/>
    </w:pPr>
    <w:rPr>
      <w:color w:val="000000"/>
    </w:rPr>
    <w:tblPr>
      <w:tblStyleRowBandSize w:val="1"/>
      <w:tblStyleColBandSize w:val="1"/>
    </w:tblPr>
    <w:tcPr>
      <w:shd w:val="clear" w:color="auto" w:fill="FEF4EC"/>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348DA5"/>
      </w:tcPr>
    </w:tblStylePr>
    <w:tblStylePr w:type="lastRow">
      <w:rPr>
        <w:b/>
        <w:bCs/>
        <w:color w:val="358EA6" w:themeColor="accent5" w:themeShade="CC"/>
      </w:rPr>
      <w:tblPr/>
      <w:tcPr>
        <w:tcBorders>
          <w:top w:val="single" w:color="000000" w:themeColor="text1" w:sz="12" w:space="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cPr>
    </w:tblStylePr>
    <w:tblStylePr w:type="band1Horz">
      <w:tblPr/>
      <w:tcPr>
        <w:shd w:val="clear" w:color="auto" w:fill="FDE9D9"/>
      </w:tcPr>
    </w:tblStylePr>
  </w:style>
  <w:style w:type="table" w:styleId="125">
    <w:name w:val="Colorful Grid"/>
    <w:basedOn w:val="32"/>
    <w:uiPriority w:val="73"/>
    <w:pPr>
      <w:spacing w:after="0" w:line="240" w:lineRule="auto"/>
    </w:pPr>
    <w:rPr>
      <w:color w:val="000000"/>
    </w:rPr>
    <w:tblPr>
      <w:tblBorders>
        <w:insideH w:val="single" w:color="FFFFFF" w:sz="4" w:space="0"/>
      </w:tblBorders>
    </w:tblPr>
    <w:tcPr>
      <w:shd w:val="clear" w:color="auto" w:fill="CCCCCC"/>
    </w:tcPr>
    <w:tblStylePr w:type="firstRow">
      <w:rPr>
        <w:b/>
        <w:bCs/>
      </w:rPr>
      <w:tblPr/>
      <w:tcPr>
        <w:shd w:val="clear" w:color="auto" w:fill="999999"/>
      </w:tcPr>
    </w:tblStylePr>
    <w:tblStylePr w:type="lastRow">
      <w:rPr>
        <w:b/>
        <w:bCs/>
        <w:color w:val="000000" w:themeColor="text1"/>
        <w14:textFill>
          <w14:solidFill>
            <w14:schemeClr w14:val="tx1"/>
          </w14:solidFill>
        </w14:textFill>
      </w:rPr>
      <w:tblPr/>
      <w:tcPr>
        <w:shd w:val="clear" w:color="auto" w:fill="999999"/>
      </w:tcPr>
    </w:tblStylePr>
    <w:tblStylePr w:type="firstCol">
      <w:rPr>
        <w:color w:val="FFFFFF" w:themeColor="background1"/>
        <w14:textFill>
          <w14:solidFill>
            <w14:schemeClr w14:val="bg1"/>
          </w14:solidFill>
        </w14:textFill>
      </w:rPr>
      <w:tblPr/>
      <w:tcPr>
        <w:shd w:val="clear" w:color="auto" w:fill="000000"/>
      </w:tcPr>
    </w:tblStylePr>
    <w:tblStylePr w:type="lastCol">
      <w:rPr>
        <w:color w:val="FFFFFF" w:themeColor="background1"/>
        <w14:textFill>
          <w14:solidFill>
            <w14:schemeClr w14:val="bg1"/>
          </w14:solidFill>
        </w14:textFill>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26">
    <w:name w:val="Colorful Grid Accent 1"/>
    <w:basedOn w:val="32"/>
    <w:uiPriority w:val="73"/>
    <w:pPr>
      <w:spacing w:after="0" w:line="240" w:lineRule="auto"/>
    </w:pPr>
    <w:rPr>
      <w:color w:val="000000"/>
    </w:rPr>
    <w:tblPr>
      <w:tblBorders>
        <w:insideH w:val="single" w:color="FFFFFF" w:sz="4" w:space="0"/>
      </w:tblBorders>
    </w:tblPr>
    <w:tcPr>
      <w:shd w:val="clear" w:color="auto" w:fill="DBE5F1"/>
    </w:tcPr>
    <w:tblStylePr w:type="firstRow">
      <w:rPr>
        <w:b/>
        <w:bCs/>
      </w:rPr>
      <w:tblPr/>
      <w:tcPr>
        <w:shd w:val="clear" w:color="auto" w:fill="B8CCE4"/>
      </w:tcPr>
    </w:tblStylePr>
    <w:tblStylePr w:type="lastRow">
      <w:rPr>
        <w:b/>
        <w:bCs/>
        <w:color w:val="000000" w:themeColor="text1"/>
        <w14:textFill>
          <w14:solidFill>
            <w14:schemeClr w14:val="tx1"/>
          </w14:solidFill>
        </w14:textFill>
      </w:rPr>
      <w:tblPr/>
      <w:tcPr>
        <w:shd w:val="clear" w:color="auto" w:fill="B8CCE4"/>
      </w:tcPr>
    </w:tblStylePr>
    <w:tblStylePr w:type="firstCol">
      <w:rPr>
        <w:color w:val="FFFFFF" w:themeColor="background1"/>
        <w14:textFill>
          <w14:solidFill>
            <w14:schemeClr w14:val="bg1"/>
          </w14:solidFill>
        </w14:textFill>
      </w:rPr>
      <w:tblPr/>
      <w:tcPr>
        <w:shd w:val="clear" w:color="auto" w:fill="365F91"/>
      </w:tcPr>
    </w:tblStylePr>
    <w:tblStylePr w:type="lastCol">
      <w:rPr>
        <w:color w:val="FFFFFF" w:themeColor="background1"/>
        <w14:textFill>
          <w14:solidFill>
            <w14:schemeClr w14:val="bg1"/>
          </w14:solidFill>
        </w14:textFill>
      </w:rPr>
      <w:tblPr/>
      <w:tcPr>
        <w:shd w:val="clear" w:color="auto" w:fill="365F91"/>
      </w:tcPr>
    </w:tblStylePr>
    <w:tblStylePr w:type="band1Vert">
      <w:tblPr/>
      <w:tcPr>
        <w:shd w:val="clear" w:color="auto" w:fill="A7BFDE"/>
      </w:tcPr>
    </w:tblStylePr>
    <w:tblStylePr w:type="band1Horz">
      <w:tblPr/>
      <w:tcPr>
        <w:shd w:val="clear" w:color="auto" w:fill="A7BFDE"/>
      </w:tcPr>
    </w:tblStylePr>
  </w:style>
  <w:style w:type="table" w:styleId="127">
    <w:name w:val="Colorful Grid Accent 2"/>
    <w:basedOn w:val="32"/>
    <w:uiPriority w:val="73"/>
    <w:pPr>
      <w:spacing w:after="0" w:line="240" w:lineRule="auto"/>
    </w:pPr>
    <w:rPr>
      <w:color w:val="000000"/>
    </w:rPr>
    <w:tblPr>
      <w:tblBorders>
        <w:insideH w:val="single" w:color="FFFFFF" w:sz="4" w:space="0"/>
      </w:tblBorders>
    </w:tblPr>
    <w:tcPr>
      <w:shd w:val="clear" w:color="auto" w:fill="F2DBDB"/>
    </w:tcPr>
    <w:tblStylePr w:type="firstRow">
      <w:rPr>
        <w:b/>
        <w:bCs/>
      </w:rPr>
      <w:tblPr/>
      <w:tcPr>
        <w:shd w:val="clear" w:color="auto" w:fill="E5B8B7"/>
      </w:tcPr>
    </w:tblStylePr>
    <w:tblStylePr w:type="lastRow">
      <w:rPr>
        <w:b/>
        <w:bCs/>
        <w:color w:val="000000" w:themeColor="text1"/>
        <w14:textFill>
          <w14:solidFill>
            <w14:schemeClr w14:val="tx1"/>
          </w14:solidFill>
        </w14:textFill>
      </w:rPr>
      <w:tblPr/>
      <w:tcPr>
        <w:shd w:val="clear" w:color="auto" w:fill="E5B8B7"/>
      </w:tcPr>
    </w:tblStylePr>
    <w:tblStylePr w:type="firstCol">
      <w:rPr>
        <w:color w:val="FFFFFF" w:themeColor="background1"/>
        <w14:textFill>
          <w14:solidFill>
            <w14:schemeClr w14:val="bg1"/>
          </w14:solidFill>
        </w14:textFill>
      </w:rPr>
      <w:tblPr/>
      <w:tcPr>
        <w:shd w:val="clear" w:color="auto" w:fill="943634"/>
      </w:tcPr>
    </w:tblStylePr>
    <w:tblStylePr w:type="lastCol">
      <w:rPr>
        <w:color w:val="FFFFFF" w:themeColor="background1"/>
        <w14:textFill>
          <w14:solidFill>
            <w14:schemeClr w14:val="bg1"/>
          </w14:solidFill>
        </w14:textFill>
      </w:rPr>
      <w:tblPr/>
      <w:tcPr>
        <w:shd w:val="clear" w:color="auto" w:fill="943634"/>
      </w:tcPr>
    </w:tblStylePr>
    <w:tblStylePr w:type="band1Vert">
      <w:tblPr/>
      <w:tcPr>
        <w:shd w:val="clear" w:color="auto" w:fill="DFA7A6"/>
      </w:tcPr>
    </w:tblStylePr>
    <w:tblStylePr w:type="band1Horz">
      <w:tblPr/>
      <w:tcPr>
        <w:shd w:val="clear" w:color="auto" w:fill="DFA7A6"/>
      </w:tcPr>
    </w:tblStylePr>
  </w:style>
  <w:style w:type="table" w:styleId="128">
    <w:name w:val="Colorful Grid Accent 3"/>
    <w:basedOn w:val="32"/>
    <w:qFormat/>
    <w:uiPriority w:val="73"/>
    <w:pPr>
      <w:spacing w:after="0" w:line="240" w:lineRule="auto"/>
    </w:pPr>
    <w:rPr>
      <w:color w:val="000000"/>
    </w:rPr>
    <w:tblPr>
      <w:tblBorders>
        <w:insideH w:val="single" w:color="FFFFFF" w:sz="4" w:space="0"/>
      </w:tblBorders>
    </w:tblPr>
    <w:tcPr>
      <w:shd w:val="clear" w:color="auto" w:fill="EAF1DD"/>
    </w:tcPr>
    <w:tblStylePr w:type="firstRow">
      <w:rPr>
        <w:b/>
        <w:bCs/>
      </w:rPr>
      <w:tblPr/>
      <w:tcPr>
        <w:shd w:val="clear" w:color="auto" w:fill="D6E3BC"/>
      </w:tcPr>
    </w:tblStylePr>
    <w:tblStylePr w:type="lastRow">
      <w:rPr>
        <w:b/>
        <w:bCs/>
        <w:color w:val="000000" w:themeColor="text1"/>
        <w14:textFill>
          <w14:solidFill>
            <w14:schemeClr w14:val="tx1"/>
          </w14:solidFill>
        </w14:textFill>
      </w:rPr>
      <w:tblPr/>
      <w:tcPr>
        <w:shd w:val="clear" w:color="auto" w:fill="D6E3BC"/>
      </w:tcPr>
    </w:tblStylePr>
    <w:tblStylePr w:type="firstCol">
      <w:rPr>
        <w:color w:val="FFFFFF" w:themeColor="background1"/>
        <w14:textFill>
          <w14:solidFill>
            <w14:schemeClr w14:val="bg1"/>
          </w14:solidFill>
        </w14:textFill>
      </w:rPr>
      <w:tblPr/>
      <w:tcPr>
        <w:shd w:val="clear" w:color="auto" w:fill="76923C"/>
      </w:tcPr>
    </w:tblStylePr>
    <w:tblStylePr w:type="lastCol">
      <w:rPr>
        <w:color w:val="FFFFFF" w:themeColor="background1"/>
        <w14:textFill>
          <w14:solidFill>
            <w14:schemeClr w14:val="bg1"/>
          </w14:solidFill>
        </w14:textFill>
      </w:rPr>
      <w:tblPr/>
      <w:tcPr>
        <w:shd w:val="clear" w:color="auto" w:fill="76923C"/>
      </w:tcPr>
    </w:tblStylePr>
    <w:tblStylePr w:type="band1Vert">
      <w:tblPr/>
      <w:tcPr>
        <w:shd w:val="clear" w:color="auto" w:fill="CDDDAC"/>
      </w:tcPr>
    </w:tblStylePr>
    <w:tblStylePr w:type="band1Horz">
      <w:tblPr/>
      <w:tcPr>
        <w:shd w:val="clear" w:color="auto" w:fill="CDDDAC"/>
      </w:tcPr>
    </w:tblStylePr>
  </w:style>
  <w:style w:type="table" w:styleId="129">
    <w:name w:val="Colorful Grid Accent 4"/>
    <w:basedOn w:val="32"/>
    <w:uiPriority w:val="73"/>
    <w:pPr>
      <w:spacing w:after="0" w:line="240" w:lineRule="auto"/>
    </w:pPr>
    <w:rPr>
      <w:color w:val="000000"/>
    </w:rPr>
    <w:tblPr>
      <w:tblBorders>
        <w:insideH w:val="single" w:color="FFFFFF" w:sz="4" w:space="0"/>
      </w:tblBorders>
    </w:tblPr>
    <w:tcPr>
      <w:shd w:val="clear" w:color="auto" w:fill="E5DFEC"/>
    </w:tcPr>
    <w:tblStylePr w:type="firstRow">
      <w:rPr>
        <w:b/>
        <w:bCs/>
      </w:rPr>
      <w:tblPr/>
      <w:tcPr>
        <w:shd w:val="clear" w:color="auto" w:fill="CCC0D9"/>
      </w:tcPr>
    </w:tblStylePr>
    <w:tblStylePr w:type="lastRow">
      <w:rPr>
        <w:b/>
        <w:bCs/>
        <w:color w:val="000000" w:themeColor="text1"/>
        <w14:textFill>
          <w14:solidFill>
            <w14:schemeClr w14:val="tx1"/>
          </w14:solidFill>
        </w14:textFill>
      </w:rPr>
      <w:tblPr/>
      <w:tcPr>
        <w:shd w:val="clear" w:color="auto" w:fill="CCC0D9"/>
      </w:tcPr>
    </w:tblStylePr>
    <w:tblStylePr w:type="firstCol">
      <w:rPr>
        <w:color w:val="FFFFFF" w:themeColor="background1"/>
        <w14:textFill>
          <w14:solidFill>
            <w14:schemeClr w14:val="bg1"/>
          </w14:solidFill>
        </w14:textFill>
      </w:rPr>
      <w:tblPr/>
      <w:tcPr>
        <w:shd w:val="clear" w:color="auto" w:fill="5F497A"/>
      </w:tcPr>
    </w:tblStylePr>
    <w:tblStylePr w:type="lastCol">
      <w:rPr>
        <w:color w:val="FFFFFF" w:themeColor="background1"/>
        <w14:textFill>
          <w14:solidFill>
            <w14:schemeClr w14:val="bg1"/>
          </w14:solidFill>
        </w14:textFill>
      </w:rPr>
      <w:tblPr/>
      <w:tcPr>
        <w:shd w:val="clear" w:color="auto" w:fill="5F497A"/>
      </w:tcPr>
    </w:tblStylePr>
    <w:tblStylePr w:type="band1Vert">
      <w:tblPr/>
      <w:tcPr>
        <w:shd w:val="clear" w:color="auto" w:fill="BFB1D0"/>
      </w:tcPr>
    </w:tblStylePr>
    <w:tblStylePr w:type="band1Horz">
      <w:tblPr/>
      <w:tcPr>
        <w:shd w:val="clear" w:color="auto" w:fill="BFB1D0"/>
      </w:tcPr>
    </w:tblStylePr>
  </w:style>
  <w:style w:type="table" w:styleId="130">
    <w:name w:val="Colorful Grid Accent 5"/>
    <w:basedOn w:val="32"/>
    <w:qFormat/>
    <w:uiPriority w:val="73"/>
    <w:pPr>
      <w:spacing w:after="0" w:line="240" w:lineRule="auto"/>
    </w:pPr>
    <w:rPr>
      <w:color w:val="000000"/>
    </w:rPr>
    <w:tblPr>
      <w:tblBorders>
        <w:insideH w:val="single" w:color="FFFFFF" w:sz="4" w:space="0"/>
      </w:tblBorders>
    </w:tblPr>
    <w:tcPr>
      <w:shd w:val="clear" w:color="auto" w:fill="DAEEF3"/>
    </w:tcPr>
    <w:tblStylePr w:type="firstRow">
      <w:rPr>
        <w:b/>
        <w:bCs/>
      </w:rPr>
      <w:tblPr/>
      <w:tcPr>
        <w:shd w:val="clear" w:color="auto" w:fill="B6DDE8"/>
      </w:tcPr>
    </w:tblStylePr>
    <w:tblStylePr w:type="lastRow">
      <w:rPr>
        <w:b/>
        <w:bCs/>
        <w:color w:val="000000" w:themeColor="text1"/>
        <w14:textFill>
          <w14:solidFill>
            <w14:schemeClr w14:val="tx1"/>
          </w14:solidFill>
        </w14:textFill>
      </w:rPr>
      <w:tblPr/>
      <w:tcPr>
        <w:shd w:val="clear" w:color="auto" w:fill="B6DDE8"/>
      </w:tcPr>
    </w:tblStylePr>
    <w:tblStylePr w:type="firstCol">
      <w:rPr>
        <w:color w:val="FFFFFF" w:themeColor="background1"/>
        <w14:textFill>
          <w14:solidFill>
            <w14:schemeClr w14:val="bg1"/>
          </w14:solidFill>
        </w14:textFill>
      </w:rPr>
      <w:tblPr/>
      <w:tcPr>
        <w:shd w:val="clear" w:color="auto" w:fill="31849B"/>
      </w:tcPr>
    </w:tblStylePr>
    <w:tblStylePr w:type="lastCol">
      <w:rPr>
        <w:color w:val="FFFFFF" w:themeColor="background1"/>
        <w14:textFill>
          <w14:solidFill>
            <w14:schemeClr w14:val="bg1"/>
          </w14:solidFill>
        </w14:textFill>
      </w:rPr>
      <w:tblPr/>
      <w:tcPr>
        <w:shd w:val="clear" w:color="auto" w:fill="31849B"/>
      </w:tcPr>
    </w:tblStylePr>
    <w:tblStylePr w:type="band1Vert">
      <w:tblPr/>
      <w:tcPr>
        <w:shd w:val="clear" w:color="auto" w:fill="A5D5E2"/>
      </w:tcPr>
    </w:tblStylePr>
    <w:tblStylePr w:type="band1Horz">
      <w:tblPr/>
      <w:tcPr>
        <w:shd w:val="clear" w:color="auto" w:fill="A5D5E2"/>
      </w:tcPr>
    </w:tblStylePr>
  </w:style>
  <w:style w:type="table" w:styleId="131">
    <w:name w:val="Colorful Grid Accent 6"/>
    <w:basedOn w:val="32"/>
    <w:uiPriority w:val="73"/>
    <w:pPr>
      <w:spacing w:after="0" w:line="240" w:lineRule="auto"/>
    </w:pPr>
    <w:rPr>
      <w:color w:val="000000"/>
    </w:rPr>
    <w:tblPr>
      <w:tblBorders>
        <w:insideH w:val="single" w:color="FFFFFF" w:sz="4" w:space="0"/>
      </w:tblBorders>
    </w:tblPr>
    <w:tcPr>
      <w:shd w:val="clear" w:color="auto" w:fill="FDE9D9"/>
    </w:tcPr>
    <w:tblStylePr w:type="firstRow">
      <w:rPr>
        <w:b/>
        <w:bCs/>
      </w:rPr>
      <w:tblPr/>
      <w:tcPr>
        <w:shd w:val="clear" w:color="auto" w:fill="FBD4B4"/>
      </w:tcPr>
    </w:tblStylePr>
    <w:tblStylePr w:type="lastRow">
      <w:rPr>
        <w:b/>
        <w:bCs/>
        <w:color w:val="000000" w:themeColor="text1"/>
        <w14:textFill>
          <w14:solidFill>
            <w14:schemeClr w14:val="tx1"/>
          </w14:solidFill>
        </w14:textFill>
      </w:rPr>
      <w:tblPr/>
      <w:tcPr>
        <w:shd w:val="clear" w:color="auto" w:fill="FBD4B4"/>
      </w:tcPr>
    </w:tblStylePr>
    <w:tblStylePr w:type="firstCol">
      <w:rPr>
        <w:color w:val="FFFFFF" w:themeColor="background1"/>
        <w14:textFill>
          <w14:solidFill>
            <w14:schemeClr w14:val="bg1"/>
          </w14:solidFill>
        </w14:textFill>
      </w:rPr>
      <w:tblPr/>
      <w:tcPr>
        <w:shd w:val="clear" w:color="auto" w:fill="E36C0A"/>
      </w:tcPr>
    </w:tblStylePr>
    <w:tblStylePr w:type="lastCol">
      <w:rPr>
        <w:color w:val="FFFFFF" w:themeColor="background1"/>
        <w14:textFill>
          <w14:solidFill>
            <w14:schemeClr w14:val="bg1"/>
          </w14:solidFill>
        </w14:textFill>
      </w:rPr>
      <w:tblPr/>
      <w:tcPr>
        <w:shd w:val="clear" w:color="auto" w:fill="E36C0A"/>
      </w:tcPr>
    </w:tblStylePr>
    <w:tblStylePr w:type="band1Vert">
      <w:tblPr/>
      <w:tcPr>
        <w:shd w:val="clear" w:color="auto" w:fill="FBCAA2"/>
      </w:tcPr>
    </w:tblStylePr>
    <w:tblStylePr w:type="band1Horz">
      <w:tblPr/>
      <w:tcPr>
        <w:shd w:val="clear" w:color="auto" w:fill="FBCAA2"/>
      </w:tcPr>
    </w:tblStylePr>
  </w:style>
  <w:style w:type="character" w:styleId="133">
    <w:name w:val="Strong"/>
    <w:basedOn w:val="132"/>
    <w:qFormat/>
    <w:uiPriority w:val="22"/>
    <w:rPr>
      <w:b/>
      <w:bCs/>
    </w:rPr>
  </w:style>
  <w:style w:type="character" w:styleId="134">
    <w:name w:val="Emphasis"/>
    <w:basedOn w:val="132"/>
    <w:qFormat/>
    <w:uiPriority w:val="20"/>
    <w:rPr>
      <w:i/>
      <w:iCs/>
    </w:rPr>
  </w:style>
  <w:style w:type="character" w:customStyle="1" w:styleId="135">
    <w:name w:val="页眉 字符"/>
    <w:basedOn w:val="132"/>
    <w:link w:val="25"/>
    <w:uiPriority w:val="99"/>
  </w:style>
  <w:style w:type="character" w:customStyle="1" w:styleId="136">
    <w:name w:val="页脚 字符"/>
    <w:basedOn w:val="132"/>
    <w:link w:val="24"/>
    <w:uiPriority w:val="99"/>
  </w:style>
  <w:style w:type="paragraph" w:styleId="137">
    <w:name w:val="No Spacing"/>
    <w:qFormat/>
    <w:uiPriority w:val="1"/>
    <w:pPr>
      <w:shd w:val="clear" w:color="auto" w:fill="auto"/>
      <w:spacing w:after="0" w:line="240" w:lineRule="auto"/>
    </w:pPr>
    <w:rPr>
      <w:rFonts w:asciiTheme="minorHAnsi" w:hAnsiTheme="minorHAnsi" w:eastAsiaTheme="minorEastAsia" w:cstheme="minorBidi"/>
      <w:sz w:val="22"/>
      <w:szCs w:val="22"/>
      <w:lang w:val="en-US" w:eastAsia="en-US" w:bidi="ar-SA"/>
    </w:rPr>
  </w:style>
  <w:style w:type="character" w:customStyle="1" w:styleId="138">
    <w:name w:val="标题 1 字符"/>
    <w:basedOn w:val="132"/>
    <w:link w:val="3"/>
    <w:qFormat/>
    <w:uiPriority w:val="9"/>
    <w:rPr>
      <w:rFonts w:asciiTheme="majorHAnsi" w:hAnsiTheme="majorHAnsi" w:eastAsiaTheme="majorEastAsia" w:cstheme="majorBidi"/>
      <w:b/>
      <w:bCs/>
      <w:color w:val="365F91"/>
      <w:sz w:val="28"/>
      <w:szCs w:val="28"/>
    </w:rPr>
  </w:style>
  <w:style w:type="character" w:customStyle="1" w:styleId="139">
    <w:name w:val="标题 2 字符"/>
    <w:basedOn w:val="132"/>
    <w:link w:val="4"/>
    <w:uiPriority w:val="9"/>
    <w:rPr>
      <w:rFonts w:asciiTheme="majorHAnsi" w:hAnsiTheme="majorHAnsi" w:eastAsiaTheme="majorEastAsia" w:cstheme="majorBidi"/>
      <w:b/>
      <w:bCs/>
      <w:color w:val="4F81BD"/>
      <w:sz w:val="26"/>
      <w:szCs w:val="26"/>
    </w:rPr>
  </w:style>
  <w:style w:type="character" w:customStyle="1" w:styleId="140">
    <w:name w:val="标题 3 字符"/>
    <w:basedOn w:val="132"/>
    <w:link w:val="5"/>
    <w:uiPriority w:val="9"/>
    <w:rPr>
      <w:rFonts w:asciiTheme="majorHAnsi" w:hAnsiTheme="majorHAnsi" w:eastAsiaTheme="majorEastAsia" w:cstheme="majorBidi"/>
      <w:b/>
      <w:bCs/>
      <w:color w:val="4F81BD"/>
    </w:rPr>
  </w:style>
  <w:style w:type="character" w:customStyle="1" w:styleId="141">
    <w:name w:val="标题 字符"/>
    <w:basedOn w:val="132"/>
    <w:link w:val="31"/>
    <w:uiPriority w:val="10"/>
    <w:rPr>
      <w:rFonts w:asciiTheme="majorHAnsi" w:hAnsiTheme="majorHAnsi" w:eastAsiaTheme="majorEastAsia" w:cstheme="majorBidi"/>
      <w:color w:val="17365D"/>
      <w:spacing w:val="5"/>
      <w:kern w:val="28"/>
      <w:sz w:val="52"/>
      <w:szCs w:val="52"/>
    </w:rPr>
  </w:style>
  <w:style w:type="character" w:customStyle="1" w:styleId="142">
    <w:name w:val="副标题 字符"/>
    <w:basedOn w:val="132"/>
    <w:link w:val="26"/>
    <w:qFormat/>
    <w:uiPriority w:val="11"/>
    <w:rPr>
      <w:rFonts w:asciiTheme="majorHAnsi" w:hAnsiTheme="majorHAnsi" w:eastAsiaTheme="majorEastAsia" w:cstheme="majorBidi"/>
      <w:i/>
      <w:iCs/>
      <w:color w:val="4F81BD"/>
      <w:spacing w:val="15"/>
      <w:sz w:val="24"/>
      <w:szCs w:val="24"/>
    </w:rPr>
  </w:style>
  <w:style w:type="paragraph" w:styleId="143">
    <w:name w:val="List Paragraph"/>
    <w:basedOn w:val="1"/>
    <w:qFormat/>
    <w:uiPriority w:val="34"/>
    <w:pPr>
      <w:ind w:left="720"/>
      <w:contextualSpacing/>
    </w:pPr>
  </w:style>
  <w:style w:type="character" w:customStyle="1" w:styleId="144">
    <w:name w:val="正文文本 字符"/>
    <w:basedOn w:val="132"/>
    <w:link w:val="19"/>
    <w:qFormat/>
    <w:uiPriority w:val="99"/>
  </w:style>
  <w:style w:type="character" w:customStyle="1" w:styleId="145">
    <w:name w:val="正文文本 2 字符"/>
    <w:basedOn w:val="132"/>
    <w:link w:val="28"/>
    <w:uiPriority w:val="99"/>
  </w:style>
  <w:style w:type="character" w:customStyle="1" w:styleId="146">
    <w:name w:val="正文文本 3 字符"/>
    <w:basedOn w:val="132"/>
    <w:link w:val="17"/>
    <w:qFormat/>
    <w:uiPriority w:val="99"/>
    <w:rPr>
      <w:sz w:val="16"/>
      <w:szCs w:val="16"/>
    </w:rPr>
  </w:style>
  <w:style w:type="character" w:customStyle="1" w:styleId="147">
    <w:name w:val="宏文本 字符"/>
    <w:basedOn w:val="132"/>
    <w:link w:val="2"/>
    <w:uiPriority w:val="99"/>
    <w:rPr>
      <w:rFonts w:ascii="Courier" w:hAnsi="Courier"/>
      <w:sz w:val="20"/>
      <w:szCs w:val="20"/>
    </w:rPr>
  </w:style>
  <w:style w:type="paragraph" w:styleId="148">
    <w:name w:val="Quote"/>
    <w:basedOn w:val="1"/>
    <w:next w:val="1"/>
    <w:link w:val="149"/>
    <w:qFormat/>
    <w:uiPriority w:val="29"/>
    <w:rPr>
      <w:i/>
      <w:iCs/>
      <w:color w:val="000000"/>
    </w:rPr>
  </w:style>
  <w:style w:type="character" w:customStyle="1" w:styleId="149">
    <w:name w:val="引用 字符"/>
    <w:basedOn w:val="132"/>
    <w:link w:val="148"/>
    <w:qFormat/>
    <w:uiPriority w:val="29"/>
    <w:rPr>
      <w:i/>
      <w:iCs/>
      <w:color w:val="000000"/>
    </w:rPr>
  </w:style>
  <w:style w:type="character" w:customStyle="1" w:styleId="150">
    <w:name w:val="标题 4 字符"/>
    <w:basedOn w:val="132"/>
    <w:link w:val="6"/>
    <w:semiHidden/>
    <w:uiPriority w:val="9"/>
    <w:rPr>
      <w:rFonts w:asciiTheme="majorHAnsi" w:hAnsiTheme="majorHAnsi" w:eastAsiaTheme="majorEastAsia" w:cstheme="majorBidi"/>
      <w:b/>
      <w:bCs/>
      <w:i/>
      <w:iCs/>
      <w:color w:val="4F81BD"/>
    </w:rPr>
  </w:style>
  <w:style w:type="character" w:customStyle="1" w:styleId="151">
    <w:name w:val="标题 5 字符"/>
    <w:basedOn w:val="132"/>
    <w:link w:val="7"/>
    <w:semiHidden/>
    <w:qFormat/>
    <w:uiPriority w:val="9"/>
    <w:rPr>
      <w:rFonts w:asciiTheme="majorHAnsi" w:hAnsiTheme="majorHAnsi" w:eastAsiaTheme="majorEastAsia" w:cstheme="majorBidi"/>
      <w:color w:val="243F60"/>
    </w:rPr>
  </w:style>
  <w:style w:type="character" w:customStyle="1" w:styleId="152">
    <w:name w:val="标题 6 字符"/>
    <w:basedOn w:val="132"/>
    <w:link w:val="8"/>
    <w:semiHidden/>
    <w:uiPriority w:val="9"/>
    <w:rPr>
      <w:rFonts w:asciiTheme="majorHAnsi" w:hAnsiTheme="majorHAnsi" w:eastAsiaTheme="majorEastAsia" w:cstheme="majorBidi"/>
      <w:i/>
      <w:iCs/>
      <w:color w:val="243F60"/>
    </w:rPr>
  </w:style>
  <w:style w:type="character" w:customStyle="1" w:styleId="153">
    <w:name w:val="标题 7 字符"/>
    <w:basedOn w:val="132"/>
    <w:link w:val="9"/>
    <w:semiHidden/>
    <w:qFormat/>
    <w:uiPriority w:val="9"/>
    <w:rPr>
      <w:rFonts w:asciiTheme="majorHAnsi" w:hAnsiTheme="majorHAnsi" w:eastAsiaTheme="majorEastAsia" w:cstheme="majorBidi"/>
      <w:i/>
      <w:iCs/>
      <w:color w:val="404040"/>
    </w:rPr>
  </w:style>
  <w:style w:type="character" w:customStyle="1" w:styleId="154">
    <w:name w:val="标题 8 字符"/>
    <w:basedOn w:val="132"/>
    <w:link w:val="10"/>
    <w:semiHidden/>
    <w:qFormat/>
    <w:uiPriority w:val="9"/>
    <w:rPr>
      <w:rFonts w:asciiTheme="majorHAnsi" w:hAnsiTheme="majorHAnsi" w:eastAsiaTheme="majorEastAsia" w:cstheme="majorBidi"/>
      <w:color w:val="4F81BD"/>
      <w:sz w:val="20"/>
      <w:szCs w:val="20"/>
    </w:rPr>
  </w:style>
  <w:style w:type="character" w:customStyle="1" w:styleId="155">
    <w:name w:val="标题 9 字符"/>
    <w:basedOn w:val="132"/>
    <w:link w:val="11"/>
    <w:semiHidden/>
    <w:uiPriority w:val="9"/>
    <w:rPr>
      <w:rFonts w:asciiTheme="majorHAnsi" w:hAnsiTheme="majorHAnsi" w:eastAsiaTheme="majorEastAsia" w:cstheme="majorBidi"/>
      <w:i/>
      <w:iCs/>
      <w:color w:val="404040"/>
      <w:sz w:val="20"/>
      <w:szCs w:val="20"/>
    </w:rPr>
  </w:style>
  <w:style w:type="paragraph" w:styleId="156">
    <w:name w:val="Intense Quote"/>
    <w:basedOn w:val="1"/>
    <w:next w:val="1"/>
    <w:link w:val="157"/>
    <w:qFormat/>
    <w:uiPriority w:val="30"/>
    <w:pPr>
      <w:pBdr>
        <w:bottom w:val="single" w:color="4F81BD" w:sz="4" w:space="4"/>
      </w:pBdr>
      <w:spacing w:before="200" w:after="280"/>
      <w:ind w:left="936" w:right="936"/>
    </w:pPr>
    <w:rPr>
      <w:b/>
      <w:bCs/>
      <w:i/>
      <w:iCs/>
      <w:color w:val="4F81BD"/>
    </w:rPr>
  </w:style>
  <w:style w:type="character" w:customStyle="1" w:styleId="157">
    <w:name w:val="明显引用 字符"/>
    <w:basedOn w:val="132"/>
    <w:link w:val="156"/>
    <w:uiPriority w:val="30"/>
    <w:rPr>
      <w:b/>
      <w:bCs/>
      <w:i/>
      <w:iCs/>
      <w:color w:val="4F81BD"/>
    </w:rPr>
  </w:style>
  <w:style w:type="character" w:customStyle="1" w:styleId="158">
    <w:name w:val="Subtle Emphasis"/>
    <w:basedOn w:val="132"/>
    <w:qFormat/>
    <w:uiPriority w:val="19"/>
    <w:rPr>
      <w:i/>
      <w:iCs/>
      <w:color w:val="808080"/>
    </w:rPr>
  </w:style>
  <w:style w:type="character" w:customStyle="1" w:styleId="159">
    <w:name w:val="Intense Emphasis"/>
    <w:basedOn w:val="132"/>
    <w:qFormat/>
    <w:uiPriority w:val="21"/>
    <w:rPr>
      <w:b/>
      <w:bCs/>
      <w:i/>
      <w:iCs/>
      <w:color w:val="4F81BD"/>
    </w:rPr>
  </w:style>
  <w:style w:type="character" w:customStyle="1" w:styleId="160">
    <w:name w:val="Subtle Reference"/>
    <w:basedOn w:val="132"/>
    <w:qFormat/>
    <w:uiPriority w:val="31"/>
    <w:rPr>
      <w:smallCaps/>
      <w:color w:val="C0504D"/>
      <w:u w:val="single"/>
    </w:rPr>
  </w:style>
  <w:style w:type="character" w:customStyle="1" w:styleId="161">
    <w:name w:val="Intense Reference"/>
    <w:basedOn w:val="132"/>
    <w:qFormat/>
    <w:uiPriority w:val="32"/>
    <w:rPr>
      <w:b/>
      <w:bCs/>
      <w:smallCaps/>
      <w:color w:val="C0504D"/>
      <w:spacing w:val="5"/>
      <w:u w:val="single"/>
    </w:rPr>
  </w:style>
  <w:style w:type="character" w:customStyle="1" w:styleId="162">
    <w:name w:val="Book Title"/>
    <w:basedOn w:val="132"/>
    <w:qFormat/>
    <w:uiPriority w:val="33"/>
    <w:rPr>
      <w:b/>
      <w:bCs/>
      <w:smallCaps/>
      <w:spacing w:val="5"/>
    </w:rPr>
  </w:style>
  <w:style w:type="paragraph" w:customStyle="1" w:styleId="163">
    <w:name w:val="TOC Heading"/>
    <w:basedOn w:val="3"/>
    <w:next w:val="1"/>
    <w:semiHidden/>
    <w:unhideWhenUsed/>
    <w:qFormat/>
    <w:uiPriority w:val="39"/>
    <w:pPr>
      <w:outlineLvl w:val="9"/>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theme>
</file>

<file path=docProps/app.xml><?xml version="1.0" encoding="utf-8"?>
<Properties xmlns="http://schemas.openxmlformats.org/officeDocument/2006/extended-properties" xmlns:vt="http://schemas.openxmlformats.org/officeDocument/2006/docPropsVTypes">
  <Template>Normal.dotm</Template>
  <Pages>27</Pages>
  <Words>12785</Words>
  <Characters>13384</Characters>
  <Lines>104</Lines>
  <Paragraphs>29</Paragraphs>
  <TotalTime>0</TotalTime>
  <ScaleCrop>false</ScaleCrop>
  <LinksUpToDate>false</LinksUpToDate>
  <CharactersWithSpaces>14272</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2025-04-11T00:38:00Z</dcterms:created>
  <dc:creator>Administrator</dc:creator>
  <cp:lastModifiedBy>旧城以西</cp:lastModifiedBy>
  <dcterms:modified xsi:type="dcterms:W3CDTF">2025-04-11T13:26:42Z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eyJoZGlkIjoiNmE2MjZhMDg2YzZlN2ZhYzI4N2JkZmQyOTQ0Y2MzZjYiLCJ1c2VySWQiOiIyNjI2NjM3MDUifQ==</vt:lpwstr>
  </property>
  <property fmtid="{D5CDD505-2E9C-101B-9397-08002B2CF9AE}" pid="3" name="KSOProductBuildVer">
    <vt:lpwstr>2052-12.1.0.20305</vt:lpwstr>
  </property>
  <property fmtid="{D5CDD505-2E9C-101B-9397-08002B2CF9AE}" pid="4" name="ICV">
    <vt:lpwstr>6AAF780A69E843898041480839FAD789_12</vt:lpwstr>
  </property>
</Properties>
</file>