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0BFED">
      <w:pPr>
        <w:pStyle w:val="167"/>
        <w:rPr>
          <w:lang w:eastAsia="zh-CN"/>
        </w:rPr>
      </w:pPr>
      <w:bookmarkStart w:id="0" w:name="_Toc517262917"/>
      <w:bookmarkStart w:id="1" w:name="OLE_LINK15"/>
      <w:bookmarkStart w:id="2" w:name="OLE_LINK13"/>
      <w:bookmarkStart w:id="3" w:name="_Toc481801204"/>
      <w:bookmarkStart w:id="4" w:name="_Toc418070112"/>
      <w:bookmarkStart w:id="5" w:name="_Toc453597319"/>
      <w:bookmarkStart w:id="6" w:name="_Toc438987549"/>
      <w:bookmarkStart w:id="7" w:name="_Toc415818939"/>
      <w:bookmarkStart w:id="8" w:name="OLE_LINK24"/>
      <w:bookmarkStart w:id="9" w:name="_Toc415143481"/>
      <w:bookmarkStart w:id="10" w:name="_Toc415142861"/>
      <w:bookmarkStart w:id="11" w:name="OLE_LINK39"/>
      <w:bookmarkStart w:id="12" w:name="OLE_LINK40"/>
      <w:r>
        <w:rPr>
          <w:lang w:eastAsia="zh-CN"/>
        </w:rPr>
        <w:t xml:space="preserve">连铸渣 </w:t>
      </w:r>
      <w:r>
        <w:rPr>
          <w:rFonts w:hint="eastAsia"/>
          <w:lang w:eastAsia="zh-CN"/>
        </w:rPr>
        <w:t>市场调研报告</w:t>
      </w:r>
    </w:p>
    <w:p w14:paraId="7127E9C1">
      <w:pPr>
        <w:pStyle w:val="145"/>
        <w:rPr>
          <w:lang w:eastAsia="zh-CN"/>
        </w:rPr>
      </w:pPr>
      <w:r>
        <w:rPr>
          <w:rFonts w:hint="eastAsia"/>
          <w:lang w:eastAsia="zh-CN"/>
        </w:rPr>
        <w:t>连铸渣是一种用于连铸钢的专用材料，可提高工艺效率和产品质量。它被添加到结晶器内钢水的表面，发挥多种关键作用：提供隔热层以减少热量损失；形成液态渣层以润滑凝固钢壳和结晶器之间的界面；以及吸收非金属夹杂物以改善表面质量。连铸渣通常含有多种氧化物，例如氧化钙、二氧化硅、氧化铝以及氧化钠或氟化物等各种添加剂。连铸渣有粉末或颗粒两种形式，其配方可根据不同的钢种、铸造速度和结晶器类型进行调整。</w:t>
      </w:r>
    </w:p>
    <w:p w14:paraId="233F7897">
      <w:pPr>
        <w:pStyle w:val="145"/>
        <w:rPr>
          <w:lang w:eastAsia="zh-CN"/>
        </w:rPr>
      </w:pPr>
      <w:r>
        <w:rPr>
          <w:rFonts w:hint="eastAsia"/>
          <w:lang w:eastAsia="zh-CN"/>
        </w:rPr>
        <w:t>建筑、汽车、造船和基础设施领域对高质量钢材的需求不断增长，是连铸渣市场的主要驱动力。印度、越南和巴西等新兴经济体正在大幅扩张其钢铁产能，从而增加了对高效连铸工艺的需求，而这些工艺需要先进的连铸渣产品的支持。</w:t>
      </w:r>
    </w:p>
    <w:p w14:paraId="11BC9DE1">
      <w:pPr>
        <w:pStyle w:val="145"/>
        <w:rPr>
          <w:lang w:eastAsia="zh-CN"/>
        </w:rPr>
      </w:pPr>
      <w:r>
        <w:rPr>
          <w:rFonts w:hint="eastAsia"/>
          <w:lang w:eastAsia="zh-CN"/>
        </w:rPr>
        <w:t>随着环保法规的不断加强以及行业对可持续制造的重视，低氟和无氟连铸渣的使用趋势日益增长。这些环保替代品能够最大限度地减少铸造过程中的有害排放和炉渣浪费，从而减少对环境的影响，并提高工作场所的安全性。</w:t>
      </w:r>
    </w:p>
    <w:p w14:paraId="4EBEF21F">
      <w:pPr>
        <w:pStyle w:val="145"/>
        <w:rPr>
          <w:lang w:eastAsia="zh-CN"/>
        </w:rPr>
      </w:pPr>
      <w:r>
        <w:rPr>
          <w:lang w:eastAsia="zh-CN"/>
        </w:rPr>
        <w:t>据QYResearch调研团队最新报告“全球连铸渣市场报告2025-2031”显示，预计2031年全球连铸渣市场规模将达到7.9亿美元，未来几年年复合增长率CAGR为3.6%。</w:t>
      </w:r>
    </w:p>
    <w:p w14:paraId="3F6C2722">
      <w:pPr>
        <w:pStyle w:val="148"/>
        <w:rPr>
          <w:lang w:eastAsia="zh-CN"/>
        </w:rPr>
      </w:pPr>
      <w:r>
        <w:rPr>
          <w:lang w:eastAsia="zh-CN"/>
        </w:rPr>
        <w:t>连铸渣</w:t>
      </w:r>
      <w:r>
        <w:rPr>
          <w:rFonts w:hint="eastAsia"/>
          <w:lang w:eastAsia="zh-CN"/>
        </w:rPr>
        <w:t>，全球市场总体规模</w:t>
      </w:r>
    </w:p>
    <w:p w14:paraId="33261207">
      <w:pPr>
        <w:pStyle w:val="145"/>
      </w:pPr>
      <w:r>
        <w:drawing>
          <wp:inline distT="0" distB="0" distL="114300" distR="114300">
            <wp:extent cx="6184900" cy="3427095"/>
            <wp:effectExtent l="0" t="0" r="6350" b="1905"/>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9"/>
                    <a:stretch>
                      <a:fillRect/>
                    </a:stretch>
                  </pic:blipFill>
                  <pic:spPr>
                    <a:xfrm>
                      <a:off x="0" y="0"/>
                      <a:ext cx="6184900" cy="3427095"/>
                    </a:xfrm>
                    <a:prstGeom prst="rect">
                      <a:avLst/>
                    </a:prstGeom>
                    <a:noFill/>
                    <a:ln>
                      <a:noFill/>
                    </a:ln>
                  </pic:spPr>
                </pic:pic>
              </a:graphicData>
            </a:graphic>
          </wp:inline>
        </w:drawing>
      </w:r>
      <w:bookmarkStart w:id="19" w:name="_GoBack"/>
      <w:bookmarkEnd w:id="19"/>
    </w:p>
    <w:p w14:paraId="12FD9BEF">
      <w:pPr>
        <w:pStyle w:val="143"/>
        <w:rPr>
          <w:lang w:eastAsia="zh-CN"/>
        </w:rPr>
      </w:pPr>
      <w:r>
        <w:rPr>
          <w:rFonts w:hint="eastAsia"/>
          <w:lang w:eastAsia="zh-CN"/>
        </w:rPr>
        <w:t>来源：QYResearch 化工及材料研究中心</w:t>
      </w:r>
    </w:p>
    <w:p w14:paraId="720E31E2">
      <w:pPr>
        <w:pStyle w:val="148"/>
        <w:rPr>
          <w:lang w:eastAsia="zh-CN"/>
        </w:rPr>
      </w:pPr>
      <w:r>
        <w:rPr>
          <w:rFonts w:hint="eastAsia"/>
          <w:lang w:eastAsia="zh-CN"/>
        </w:rPr>
        <w:t>全球</w:t>
      </w:r>
      <w:r>
        <w:rPr>
          <w:lang w:eastAsia="zh-CN"/>
        </w:rPr>
        <w:t>连铸渣</w:t>
      </w:r>
      <w:r>
        <w:rPr>
          <w:rFonts w:hint="eastAsia"/>
          <w:lang w:eastAsia="zh-CN"/>
        </w:rPr>
        <w:t>市场前</w:t>
      </w:r>
      <w:r>
        <w:rPr>
          <w:lang w:eastAsia="zh-CN"/>
        </w:rPr>
        <w:t>10</w:t>
      </w:r>
      <w:r>
        <w:rPr>
          <w:rFonts w:hint="eastAsia"/>
          <w:lang w:eastAsia="zh-CN"/>
        </w:rPr>
        <w:t>强生产商排名及市场占有率（基于2024年调研数据；目前最新数据以本公司最新调研数据为准）</w:t>
      </w:r>
    </w:p>
    <w:p w14:paraId="773AFA33">
      <w:pPr>
        <w:widowControl/>
        <w:topLinePunct w:val="0"/>
        <w:spacing w:after="0"/>
        <w:jc w:val="center"/>
        <w:rPr>
          <w:rFonts w:ascii="宋体" w:hAnsi="宋体" w:cs="宋体"/>
          <w:kern w:val="0"/>
          <w:sz w:val="24"/>
          <w:szCs w:val="24"/>
        </w:rPr>
      </w:pPr>
      <w:r>
        <w:drawing>
          <wp:inline distT="0" distB="0" distL="0" distR="0">
            <wp:extent cx="3771900" cy="599122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4A43543">
      <w:pPr>
        <w:pStyle w:val="143"/>
        <w:rPr>
          <w:lang w:eastAsia="zh-CN"/>
        </w:rPr>
      </w:pPr>
      <w:r>
        <w:rPr>
          <w:rFonts w:hint="eastAsia"/>
          <w:lang w:eastAsia="zh-CN"/>
        </w:rPr>
        <w:t>来源：QYResearch 化工及材料研究中心。行业处于不断变动之中，最新数据请联系QYResearch咨询。</w:t>
      </w:r>
    </w:p>
    <w:p w14:paraId="3B9C227F">
      <w:pPr>
        <w:widowControl/>
        <w:topLinePunct w:val="0"/>
        <w:spacing w:after="0"/>
        <w:rPr>
          <w:rFonts w:ascii="Times New Roman" w:hAnsi="Times New Roman" w:cs="Times New Roman"/>
          <w:kern w:val="0"/>
          <w:sz w:val="22"/>
          <w:szCs w:val="22"/>
        </w:rPr>
      </w:pPr>
      <w:r>
        <w:rPr>
          <w:rFonts w:hint="eastAsia" w:ascii="Times New Roman" w:hAnsi="Times New Roman" w:cs="Times New Roman"/>
          <w:kern w:val="0"/>
          <w:sz w:val="22"/>
          <w:szCs w:val="22"/>
        </w:rPr>
        <w:t>根据QYResearch头部企业研究中心调研，全球范围内连铸渣生产商主要包括Nippon Steel Metal Products、Shinagawa Refractories、Stollberg、河南龙成集团、IFGL等。2024年，全球前四大厂商占有大约66.0%的市场份额。</w:t>
      </w:r>
      <w:r>
        <w:rPr>
          <w:rFonts w:ascii="Times New Roman" w:hAnsi="Times New Roman" w:cs="Times New Roman"/>
          <w:kern w:val="0"/>
          <w:sz w:val="22"/>
          <w:szCs w:val="22"/>
        </w:rPr>
        <w:br w:type="page"/>
      </w:r>
    </w:p>
    <w:p w14:paraId="3E6DE9A8">
      <w:pPr>
        <w:pStyle w:val="148"/>
        <w:rPr>
          <w:lang w:eastAsia="zh-CN"/>
        </w:rPr>
      </w:pPr>
      <w:r>
        <w:rPr>
          <w:lang w:eastAsia="zh-CN"/>
        </w:rPr>
        <w:t>连铸渣</w:t>
      </w:r>
      <w:r>
        <w:rPr>
          <w:rFonts w:hint="eastAsia"/>
          <w:lang w:eastAsia="zh-CN"/>
        </w:rPr>
        <w:t>，全球市场规模，按产品类型细分，</w:t>
      </w:r>
      <w:r>
        <w:rPr>
          <w:rFonts w:ascii="Book Antiqua" w:hAnsi="Book Antiqua" w:cs="宋体"/>
          <w:sz w:val="22"/>
          <w:lang w:eastAsia="zh-CN"/>
        </w:rPr>
        <w:t>粉末状</w:t>
      </w:r>
      <w:r>
        <w:rPr>
          <w:rFonts w:hint="eastAsia"/>
          <w:lang w:eastAsia="zh-CN"/>
        </w:rPr>
        <w:t>处于主导地位</w:t>
      </w:r>
    </w:p>
    <w:p w14:paraId="1DAC1641">
      <w:pPr>
        <w:pStyle w:val="145"/>
        <w:rPr>
          <w:lang w:val="en-US" w:eastAsia="zh-CN"/>
        </w:rPr>
      </w:pPr>
      <w:r>
        <w:rPr>
          <w:lang w:val="en-US" w:eastAsia="zh-CN"/>
        </w:rPr>
        <w:drawing>
          <wp:inline distT="0" distB="0" distL="0" distR="0">
            <wp:extent cx="6188710" cy="2922270"/>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9AE0722">
      <w:pPr>
        <w:pStyle w:val="143"/>
        <w:rPr>
          <w:lang w:eastAsia="zh-CN"/>
        </w:rPr>
      </w:pPr>
      <w:r>
        <w:rPr>
          <w:rFonts w:hint="eastAsia"/>
          <w:lang w:eastAsia="zh-CN"/>
        </w:rPr>
        <w:t>来源：QYResearch化工及材料研究中心</w:t>
      </w:r>
    </w:p>
    <w:p w14:paraId="3F50C118">
      <w:pPr>
        <w:widowControl/>
        <w:topLinePunct w:val="0"/>
        <w:spacing w:after="0"/>
        <w:jc w:val="left"/>
        <w:rPr>
          <w:rFonts w:ascii="Book Antiqua" w:hAnsi="Book Antiqua" w:cs="宋体"/>
          <w:kern w:val="0"/>
          <w:sz w:val="22"/>
          <w:szCs w:val="22"/>
        </w:rPr>
      </w:pPr>
      <w:r>
        <w:rPr>
          <w:rFonts w:ascii="Book Antiqua" w:hAnsi="Book Antiqua" w:cs="宋体"/>
          <w:kern w:val="0"/>
          <w:sz w:val="22"/>
          <w:szCs w:val="22"/>
        </w:rPr>
        <w:t>就产品类型而言，目前粉末状是最主要的细分产品，占据大约65.2%的份额。</w:t>
      </w:r>
    </w:p>
    <w:p w14:paraId="0B069045">
      <w:pPr>
        <w:pStyle w:val="148"/>
        <w:rPr>
          <w:lang w:eastAsia="zh-CN"/>
        </w:rPr>
      </w:pPr>
      <w:r>
        <w:rPr>
          <w:lang w:eastAsia="zh-CN"/>
        </w:rPr>
        <w:t>连铸渣</w:t>
      </w:r>
      <w:r>
        <w:rPr>
          <w:rFonts w:hint="eastAsia"/>
          <w:lang w:eastAsia="zh-CN"/>
        </w:rPr>
        <w:t>，全球市场规模，按应用细分，</w:t>
      </w:r>
      <w:r>
        <w:rPr>
          <w:rFonts w:ascii="Book Antiqua" w:hAnsi="Book Antiqua" w:cs="宋体"/>
          <w:sz w:val="22"/>
          <w:lang w:eastAsia="zh-CN"/>
        </w:rPr>
        <w:t>开放式铸造</w:t>
      </w:r>
      <w:r>
        <w:rPr>
          <w:rFonts w:hint="eastAsia"/>
          <w:lang w:eastAsia="zh-CN"/>
        </w:rPr>
        <w:t>是最大的下游市场，占有</w:t>
      </w:r>
      <w:r>
        <w:rPr>
          <w:rFonts w:ascii="Book Antiqua" w:hAnsi="Book Antiqua" w:cs="宋体"/>
          <w:sz w:val="22"/>
          <w:lang w:eastAsia="zh-CN"/>
        </w:rPr>
        <w:t>71.2%</w:t>
      </w:r>
      <w:r>
        <w:rPr>
          <w:rFonts w:hint="eastAsia"/>
          <w:lang w:eastAsia="zh-CN"/>
        </w:rPr>
        <w:t>份额。</w:t>
      </w:r>
    </w:p>
    <w:p w14:paraId="1F9213C6">
      <w:pPr>
        <w:widowControl/>
        <w:topLinePunct w:val="0"/>
        <w:spacing w:after="0"/>
        <w:jc w:val="left"/>
        <w:rPr>
          <w:rFonts w:ascii="宋体" w:hAnsi="宋体" w:cs="宋体"/>
          <w:kern w:val="0"/>
          <w:sz w:val="24"/>
          <w:szCs w:val="24"/>
        </w:rPr>
      </w:pPr>
      <w:r>
        <w:drawing>
          <wp:inline distT="0" distB="0" distL="0" distR="0">
            <wp:extent cx="6188710" cy="2922270"/>
            <wp:effectExtent l="0" t="0" r="254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753BDFC">
      <w:pPr>
        <w:pStyle w:val="143"/>
        <w:rPr>
          <w:lang w:eastAsia="zh-CN"/>
        </w:rPr>
      </w:pPr>
      <w:r>
        <w:rPr>
          <w:rFonts w:hint="eastAsia"/>
          <w:lang w:eastAsia="zh-CN"/>
        </w:rPr>
        <w:t>来源：QYResearch化工及材料研究中心</w:t>
      </w:r>
    </w:p>
    <w:p w14:paraId="5315F7D2">
      <w:pPr>
        <w:widowControl/>
        <w:topLinePunct w:val="0"/>
        <w:spacing w:after="0"/>
        <w:jc w:val="left"/>
        <w:rPr>
          <w:rFonts w:ascii="Book Antiqua" w:hAnsi="Book Antiqua" w:cs="宋体"/>
          <w:kern w:val="0"/>
          <w:sz w:val="22"/>
          <w:szCs w:val="22"/>
        </w:rPr>
      </w:pPr>
      <w:r>
        <w:rPr>
          <w:rFonts w:ascii="Book Antiqua" w:hAnsi="Book Antiqua" w:cs="宋体"/>
          <w:kern w:val="0"/>
          <w:sz w:val="22"/>
          <w:szCs w:val="22"/>
        </w:rPr>
        <w:t>就产品应用而言，目前开放式铸造是最主要的需求来源，占据大约71.2%的份额。</w:t>
      </w:r>
    </w:p>
    <w:p w14:paraId="0CD10F4E">
      <w:pPr>
        <w:pStyle w:val="148"/>
        <w:rPr>
          <w:lang w:eastAsia="zh-CN"/>
        </w:rPr>
      </w:pPr>
      <w:r>
        <w:rPr>
          <w:rFonts w:hint="eastAsia"/>
          <w:lang w:eastAsia="zh-CN"/>
        </w:rPr>
        <w:t>全球主要市场</w:t>
      </w:r>
      <w:r>
        <w:rPr>
          <w:lang w:eastAsia="zh-CN"/>
        </w:rPr>
        <w:t>连铸渣</w:t>
      </w:r>
      <w:r>
        <w:rPr>
          <w:rFonts w:hint="eastAsia"/>
          <w:lang w:eastAsia="zh-CN"/>
        </w:rPr>
        <w:t>规模</w:t>
      </w:r>
    </w:p>
    <w:p w14:paraId="4B44D8E9">
      <w:pPr>
        <w:pStyle w:val="145"/>
        <w:rPr>
          <w:lang w:val="en-US" w:eastAsia="zh-CN"/>
        </w:rPr>
      </w:pPr>
      <w:r>
        <w:rPr>
          <w:lang w:val="en-US" w:eastAsia="zh-CN"/>
        </w:rPr>
        <w:drawing>
          <wp:inline distT="0" distB="0" distL="0" distR="0">
            <wp:extent cx="6188710" cy="2922270"/>
            <wp:effectExtent l="0" t="0" r="254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441D8DA">
      <w:pPr>
        <w:pStyle w:val="143"/>
        <w:rPr>
          <w:lang w:eastAsia="zh-CN"/>
        </w:rPr>
      </w:pPr>
      <w:r>
        <w:rPr>
          <w:rFonts w:hint="eastAsia"/>
          <w:lang w:eastAsia="zh-CN"/>
        </w:rPr>
        <w:t>来源：QYResearch化工及材料研究中心</w:t>
      </w:r>
      <w:r>
        <w:rPr>
          <w:lang w:eastAsia="zh-CN"/>
        </w:rPr>
        <w:br w:type="page"/>
      </w:r>
    </w:p>
    <w:p w14:paraId="4D291769">
      <w:pPr>
        <w:pStyle w:val="167"/>
        <w:rPr>
          <w:lang w:eastAsia="zh-CN"/>
        </w:rPr>
      </w:pPr>
      <w:r>
        <w:rPr>
          <w:rFonts w:hint="eastAsia"/>
          <w:lang w:eastAsia="zh-CN"/>
        </w:rPr>
        <w:t>驱动因素</w:t>
      </w:r>
    </w:p>
    <w:p w14:paraId="455B7774">
      <w:pPr>
        <w:pStyle w:val="145"/>
        <w:rPr>
          <w:lang w:eastAsia="zh-CN"/>
        </w:rPr>
      </w:pPr>
      <w:r>
        <w:rPr>
          <w:lang w:eastAsia="zh-CN"/>
        </w:rPr>
        <w:t>连铸渣市场需求主要受全球钢铁产业增长推动，尤其是在中国、印度及东南亚等高产量地区。连铸渣能够在铸造过程中防止钢水氧化、减少表面缺陷并提升热绝缘性能，从而提高钢材质量。先进连铸技术的推广以及汽车、建筑和机械制造等行业对高品质钢材产品的需求，也进一步推动了连铸渣的市场增长。</w:t>
      </w:r>
    </w:p>
    <w:p w14:paraId="6A27950E">
      <w:pPr>
        <w:pStyle w:val="145"/>
        <w:rPr>
          <w:rFonts w:hint="eastAsia"/>
          <w:lang w:eastAsia="zh-CN"/>
        </w:rPr>
      </w:pPr>
    </w:p>
    <w:p w14:paraId="61027C26">
      <w:pPr>
        <w:pStyle w:val="167"/>
        <w:rPr>
          <w:lang w:eastAsia="zh-CN"/>
        </w:rPr>
      </w:pPr>
      <w:r>
        <w:rPr>
          <w:rFonts w:hint="eastAsia"/>
          <w:lang w:eastAsia="zh-CN"/>
        </w:rPr>
        <w:t>风险因素</w:t>
      </w:r>
    </w:p>
    <w:p w14:paraId="37DAD168">
      <w:pPr>
        <w:pStyle w:val="145"/>
        <w:rPr>
          <w:lang w:eastAsia="zh-CN"/>
        </w:rPr>
      </w:pPr>
      <w:r>
        <w:rPr>
          <w:rFonts w:hint="eastAsia"/>
          <w:lang w:eastAsia="zh-CN"/>
        </w:rPr>
        <w:t>主要风险包括原材料价格波动，因为连铸渣主要依赖硼酸盐、氟化物及其他化学添加剂。化学排放和熔渣处置的环保法规可能增加生产成本，并要求技术升级。关键原材料供应链中断，也可能影响生产。此外，替代配方或替代产品的竞争可能影响市场份额和价格策略。</w:t>
      </w:r>
    </w:p>
    <w:p w14:paraId="41C5ED1F">
      <w:pPr>
        <w:pStyle w:val="145"/>
        <w:rPr>
          <w:rFonts w:hint="eastAsia"/>
          <w:lang w:eastAsia="zh-CN"/>
        </w:rPr>
      </w:pPr>
    </w:p>
    <w:p w14:paraId="60A0447E">
      <w:pPr>
        <w:pStyle w:val="167"/>
        <w:rPr>
          <w:lang w:eastAsia="zh-CN"/>
        </w:rPr>
      </w:pPr>
      <w:r>
        <w:rPr>
          <w:rFonts w:hint="eastAsia"/>
          <w:lang w:eastAsia="zh-CN"/>
        </w:rPr>
        <w:t>行业发展趋势</w:t>
      </w:r>
    </w:p>
    <w:p w14:paraId="7F707B13">
      <w:pPr>
        <w:pStyle w:val="143"/>
        <w:rPr>
          <w:i w:val="0"/>
          <w:sz w:val="21"/>
          <w:lang w:eastAsia="zh-CN"/>
        </w:rPr>
      </w:pPr>
      <w:r>
        <w:rPr>
          <w:rFonts w:hint="eastAsia"/>
          <w:i w:val="0"/>
          <w:sz w:val="21"/>
          <w:lang w:eastAsia="zh-CN"/>
        </w:rPr>
        <w:t>市场趋势正向环保、低氟及生物基连铸渣发展，以满足日益严格的环境法规和可持续发展目标。连铸过程的自动化和数字化监控，推动了对保证钢材质量稳定的连铸渣需求。研发重点包括提升热效率、减少熔渣生成及改善钢材表面光洁度。此外，区域需求正向适用于特种钢材和先进合金的高性能连铸渣转变。</w:t>
      </w:r>
    </w:p>
    <w:p w14:paraId="192E77EC">
      <w:pPr>
        <w:pStyle w:val="143"/>
        <w:rPr>
          <w:i w:val="0"/>
          <w:sz w:val="21"/>
          <w:lang w:eastAsia="zh-CN"/>
        </w:rPr>
      </w:pPr>
    </w:p>
    <w:p w14:paraId="26BB617E">
      <w:pPr>
        <w:pStyle w:val="167"/>
        <w:rPr>
          <w:lang w:eastAsia="zh-CN"/>
        </w:rPr>
      </w:pPr>
      <w:r>
        <w:rPr>
          <w:rFonts w:hint="eastAsia"/>
          <w:lang w:eastAsia="zh-CN"/>
        </w:rPr>
        <w:t>产业链</w:t>
      </w:r>
    </w:p>
    <w:p w14:paraId="4E467E3C">
      <w:pPr>
        <w:pStyle w:val="143"/>
        <w:rPr>
          <w:rFonts w:hint="eastAsia"/>
          <w:i w:val="0"/>
          <w:sz w:val="21"/>
          <w:lang w:eastAsia="zh-CN"/>
        </w:rPr>
      </w:pPr>
      <w:r>
        <w:rPr>
          <w:rFonts w:hint="eastAsia"/>
          <w:i w:val="0"/>
          <w:sz w:val="21"/>
          <w:lang w:eastAsia="zh-CN"/>
        </w:rPr>
        <w:t>连铸渣的产业链包括上游化工原料供应商，如硼砂、氟化物、钙化合物及其他添加剂。中游生产商将这些原料按特定熔点和粘度要求调配加工成专业连铸渣产品。下游钢铁企业在连铸过程中使用连铸渣，以提升产品质量、减少缺陷并优化能源效率。原料供应商、连铸渣生产商与钢铁企业之间的协作，对于保证性能稳定、符合法规要求及推动配方创新至关重要。</w:t>
      </w:r>
    </w:p>
    <w:p w14:paraId="07A95001">
      <w:pPr>
        <w:pStyle w:val="145"/>
        <w:rPr>
          <w:lang w:eastAsia="zh-CN"/>
        </w:rPr>
      </w:pPr>
      <w:r>
        <w:rPr>
          <w:rFonts w:hint="eastAsia"/>
          <w:lang w:eastAsia="zh-CN"/>
        </w:rPr>
        <w:t>希望以上信息能为您提供有价值的参考。如果您想获取行业市场更详细分析，建议直接查阅相关的完整版行业报告。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5408"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6432"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6432;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6A"/>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9BB"/>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01"/>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BF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85"/>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0A3"/>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12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27"/>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8E7"/>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0F83"/>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21F"/>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964"/>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0F3"/>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49F"/>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467"/>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DAF"/>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2E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752"/>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7D7"/>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2CE"/>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3E72F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hzbz\Desktop\&#23459;&#20256;&#26448;&#26009;%20&#27169;&#26495;Word%2020240903\&#35266;&#28857;&#25968;&#25454;&#22270;&#34920;&#27169;&#26495;-&#27169;&#26495;%2020240426%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hzbz\Desktop\&#23459;&#20256;&#26448;&#26009;%20&#27169;&#26495;Word%2020240903\&#35266;&#28857;&#25968;&#25454;&#22270;&#34920;&#27169;&#26495;-&#27169;&#26495;%2020240426%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bz\Desktop\&#23459;&#20256;&#26448;&#26009;%20&#27169;&#26495;Word%2020240903\&#35266;&#28857;&#25968;&#25454;&#22270;&#34920;&#27169;&#26495;-&#27169;&#26495;%2020240426%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hzbz\Desktop\&#23459;&#20256;&#26448;&#26009;%20&#27169;&#26495;Word%2020240903\&#35266;&#28857;&#25968;&#25454;&#22270;&#34920;&#27169;&#26495;-&#27169;&#26495;%2020240426%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a:solidFill>
              <a:srgbClr val="002060"/>
            </a:solidFill>
          </c:spPr>
          <c:invertIfNegative val="0"/>
          <c:dPt>
            <c:idx val="0"/>
            <c:invertIfNegative val="0"/>
            <c:bubble3D val="0"/>
            <c:spPr>
              <a:solidFill>
                <a:srgbClr val="002060"/>
              </a:solidFill>
              <a:ln>
                <a:noFill/>
              </a:ln>
              <a:effectLst/>
            </c:spPr>
          </c:dPt>
          <c:dPt>
            <c:idx val="1"/>
            <c:invertIfNegative val="0"/>
            <c:bubble3D val="0"/>
            <c:spPr>
              <a:solidFill>
                <a:srgbClr val="002060"/>
              </a:solidFill>
              <a:ln>
                <a:noFill/>
              </a:ln>
              <a:effectLst/>
            </c:spPr>
          </c:dPt>
          <c:dPt>
            <c:idx val="2"/>
            <c:invertIfNegative val="0"/>
            <c:bubble3D val="0"/>
            <c:spPr>
              <a:solidFill>
                <a:srgbClr val="002060"/>
              </a:solidFill>
              <a:ln>
                <a:noFill/>
              </a:ln>
              <a:effectLst/>
            </c:spPr>
          </c:dPt>
          <c:dPt>
            <c:idx val="3"/>
            <c:invertIfNegative val="0"/>
            <c:bubble3D val="0"/>
            <c:spPr>
              <a:solidFill>
                <a:srgbClr val="002060"/>
              </a:solidFill>
              <a:ln>
                <a:noFill/>
              </a:ln>
              <a:effectLst/>
            </c:spPr>
          </c:dPt>
          <c:dPt>
            <c:idx val="4"/>
            <c:invertIfNegative val="0"/>
            <c:bubble3D val="0"/>
            <c:spPr>
              <a:solidFill>
                <a:srgbClr val="002060"/>
              </a:solidFill>
              <a:ln>
                <a:noFill/>
              </a:ln>
              <a:effectLst/>
            </c:spPr>
          </c:dPt>
          <c:dPt>
            <c:idx val="5"/>
            <c:invertIfNegative val="0"/>
            <c:bubble3D val="0"/>
            <c:spPr>
              <a:solidFill>
                <a:srgbClr val="002060"/>
              </a:solidFill>
              <a:ln>
                <a:noFill/>
              </a:ln>
              <a:effectLst/>
            </c:spPr>
          </c:dPt>
          <c:dPt>
            <c:idx val="6"/>
            <c:invertIfNegative val="0"/>
            <c:bubble3D val="0"/>
            <c:spPr>
              <a:solidFill>
                <a:srgbClr val="002060"/>
              </a:solidFill>
              <a:ln>
                <a:noFill/>
              </a:ln>
              <a:effectLst/>
            </c:spPr>
          </c:dPt>
          <c:dPt>
            <c:idx val="7"/>
            <c:invertIfNegative val="0"/>
            <c:bubble3D val="0"/>
            <c:spPr>
              <a:solidFill>
                <a:srgbClr val="002060"/>
              </a:solidFill>
              <a:ln>
                <a:noFill/>
              </a:ln>
              <a:effectLst/>
            </c:spPr>
          </c:dPt>
          <c:dPt>
            <c:idx val="8"/>
            <c:invertIfNegative val="0"/>
            <c:bubble3D val="0"/>
            <c:spPr>
              <a:solidFill>
                <a:srgbClr val="002060"/>
              </a:solidFill>
              <a:ln>
                <a:noFill/>
              </a:ln>
              <a:effectLst/>
            </c:spPr>
          </c:dPt>
          <c:dPt>
            <c:idx val="9"/>
            <c:invertIfNegative val="0"/>
            <c:bubble3D val="0"/>
            <c:spPr>
              <a:solidFill>
                <a:srgbClr val="002060"/>
              </a:solidFill>
              <a:ln>
                <a:noFill/>
              </a:ln>
              <a:effectLst/>
            </c:spPr>
          </c:dPt>
          <c:dLbls>
            <c:delete val="1"/>
          </c:dLbls>
          <c:cat>
            <c:strRef>
              <c:f>企业收入!$H$2:$H$21</c:f>
              <c:strCache>
                <c:ptCount val="10"/>
                <c:pt idx="0">
                  <c:v>Nippon Steel Metal Products</c:v>
                </c:pt>
                <c:pt idx="1">
                  <c:v>Shinagawa Refractories</c:v>
                </c:pt>
                <c:pt idx="2">
                  <c:v>Stollberg</c:v>
                </c:pt>
                <c:pt idx="3">
                  <c:v>河南龙成集团</c:v>
                </c:pt>
                <c:pt idx="4">
                  <c:v>IFGL</c:v>
                </c:pt>
                <c:pt idx="5">
                  <c:v>辽宁品川和丰冶金材料</c:v>
                </c:pt>
                <c:pt idx="6">
                  <c:v>洛阳科丰冶金新材料</c:v>
                </c:pt>
                <c:pt idx="7">
                  <c:v>Grind Chem</c:v>
                </c:pt>
                <c:pt idx="8">
                  <c:v>Guru Corporation</c:v>
                </c:pt>
                <c:pt idx="9">
                  <c:v>锐石新材料</c:v>
                </c:pt>
              </c:strCache>
            </c:strRef>
          </c:cat>
          <c:val>
            <c:numRef>
              <c:f>企业收入!$I$2:$I$21</c:f>
              <c:numCache>
                <c:formatCode>0.0%</c:formatCode>
                <c:ptCount val="10"/>
                <c:pt idx="0">
                  <c:v>0.272965246443702</c:v>
                </c:pt>
                <c:pt idx="1">
                  <c:v>0.262029414803844</c:v>
                </c:pt>
                <c:pt idx="2">
                  <c:v>0.0711431818964627</c:v>
                </c:pt>
                <c:pt idx="3">
                  <c:v>0.0507698136603176</c:v>
                </c:pt>
                <c:pt idx="4">
                  <c:v>0.0238177246581476</c:v>
                </c:pt>
                <c:pt idx="5">
                  <c:v>0.0181517583439534</c:v>
                </c:pt>
                <c:pt idx="6">
                  <c:v>0.0166706850824923</c:v>
                </c:pt>
                <c:pt idx="7">
                  <c:v>0.0127441187614094</c:v>
                </c:pt>
                <c:pt idx="8">
                  <c:v>0.00539041780043399</c:v>
                </c:pt>
                <c:pt idx="9">
                  <c:v>0.00316880790824235</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aaca8a33-5cd0-45d5-8655-04409ca207a9}"/>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分类!$S$2</c:f>
              <c:strCache>
                <c:ptCount val="1"/>
                <c:pt idx="0">
                  <c:v>粉末状</c:v>
                </c:pt>
              </c:strCache>
            </c:strRef>
          </c:tx>
          <c:spPr>
            <a:solidFill>
              <a:srgbClr val="00206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分类!$T$2:$AE$2</c:f>
              <c:numCache>
                <c:formatCode>0.0%</c:formatCode>
                <c:ptCount val="12"/>
                <c:pt idx="0">
                  <c:v>0.657284529390552</c:v>
                </c:pt>
                <c:pt idx="1">
                  <c:v>0.658436971695429</c:v>
                </c:pt>
                <c:pt idx="2">
                  <c:v>0.660467664738208</c:v>
                </c:pt>
                <c:pt idx="3">
                  <c:v>0.65480968626664</c:v>
                </c:pt>
                <c:pt idx="4">
                  <c:v>0.652464437019943</c:v>
                </c:pt>
                <c:pt idx="5">
                  <c:v>0.640006898822497</c:v>
                </c:pt>
                <c:pt idx="6">
                  <c:v>0.630119244339243</c:v>
                </c:pt>
                <c:pt idx="7">
                  <c:v>0.61671410865805</c:v>
                </c:pt>
                <c:pt idx="8">
                  <c:v>0.61613966305861</c:v>
                </c:pt>
                <c:pt idx="9">
                  <c:v>0.60470615047147</c:v>
                </c:pt>
                <c:pt idx="10">
                  <c:v>0.609384040818473</c:v>
                </c:pt>
                <c:pt idx="11">
                  <c:v>0.598955229557874</c:v>
                </c:pt>
              </c:numCache>
            </c:numRef>
          </c:val>
        </c:ser>
        <c:ser>
          <c:idx val="1"/>
          <c:order val="1"/>
          <c:tx>
            <c:strRef>
              <c:f>分类!$S$3</c:f>
              <c:strCache>
                <c:ptCount val="1"/>
                <c:pt idx="0">
                  <c:v>颗粒状</c:v>
                </c:pt>
              </c:strCache>
            </c:strRef>
          </c:tx>
          <c:spPr>
            <a:solidFill>
              <a:schemeClr val="bg1">
                <a:lumMod val="50000"/>
              </a:schemeClr>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分类!$T$3:$AE$3</c:f>
              <c:numCache>
                <c:formatCode>0.0%</c:formatCode>
                <c:ptCount val="12"/>
                <c:pt idx="0">
                  <c:v>0.342715470609448</c:v>
                </c:pt>
                <c:pt idx="1">
                  <c:v>0.341563028304571</c:v>
                </c:pt>
                <c:pt idx="2">
                  <c:v>0.339532335261792</c:v>
                </c:pt>
                <c:pt idx="3">
                  <c:v>0.34519031373336</c:v>
                </c:pt>
                <c:pt idx="4">
                  <c:v>0.347535562980057</c:v>
                </c:pt>
                <c:pt idx="5">
                  <c:v>0.359993101177504</c:v>
                </c:pt>
                <c:pt idx="6">
                  <c:v>0.369880755660757</c:v>
                </c:pt>
                <c:pt idx="7">
                  <c:v>0.38328589134195</c:v>
                </c:pt>
                <c:pt idx="8">
                  <c:v>0.38386033694139</c:v>
                </c:pt>
                <c:pt idx="9">
                  <c:v>0.39529384952853</c:v>
                </c:pt>
                <c:pt idx="10">
                  <c:v>0.390615959181526</c:v>
                </c:pt>
                <c:pt idx="11">
                  <c:v>0.401044770442126</c:v>
                </c:pt>
              </c:numCache>
            </c:numRef>
          </c:val>
        </c:ser>
        <c:ser>
          <c:idx val="2"/>
          <c:order val="2"/>
          <c:tx>
            <c:strRef>
              <c:f>分类!$S$4</c:f>
              <c:strCache>
                <c:ptCount val="1"/>
                <c:pt idx="0">
                  <c:v/>
                </c:pt>
              </c:strCache>
            </c:strRef>
          </c:tx>
          <c:spPr>
            <a:solidFill>
              <a:srgbClr val="0070C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分类!$T$4:$AE$4</c:f>
            </c:numRef>
          </c:val>
        </c:ser>
        <c:ser>
          <c:idx val="3"/>
          <c:order val="3"/>
          <c:tx>
            <c:strRef>
              <c:f>分类!$S$5</c:f>
              <c:strCache>
                <c:ptCount val="1"/>
                <c:pt idx="0">
                  <c:v>0</c:v>
                </c:pt>
              </c:strCache>
            </c:strRef>
          </c:tx>
          <c:spPr>
            <a:solidFill>
              <a:srgbClr val="FFC00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分类!$T$5:$AE$5</c:f>
            </c:numRef>
          </c:val>
        </c:ser>
        <c:ser>
          <c:idx val="4"/>
          <c:order val="4"/>
          <c:tx>
            <c:strRef>
              <c:f>分类!$S$6</c:f>
              <c:strCache>
                <c:ptCount val="1"/>
                <c:pt idx="0">
                  <c:v>0</c:v>
                </c:pt>
              </c:strCache>
            </c:strRef>
          </c:tx>
          <c:spPr>
            <a:solidFill>
              <a:schemeClr val="tx1">
                <a:lumMod val="65000"/>
                <a:lumOff val="35000"/>
              </a:schemeClr>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分类!$T$6:$AE$6</c:f>
            </c:numRef>
          </c:val>
        </c:ser>
        <c:ser>
          <c:idx val="5"/>
          <c:order val="5"/>
          <c:tx>
            <c:strRef>
              <c:f>分类!$S$7</c:f>
              <c:strCache>
                <c:ptCount val="1"/>
                <c:pt idx="0">
                  <c:v>0</c:v>
                </c:pt>
              </c:strCache>
            </c:strRef>
          </c:tx>
          <c:spPr>
            <a:solidFill>
              <a:srgbClr val="C0000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分类!$T$7:$AE$7</c:f>
            </c:numRef>
          </c:val>
        </c:ser>
        <c:ser>
          <c:idx val="6"/>
          <c:order val="6"/>
          <c:tx>
            <c:strRef>
              <c:f>分类!$S$8</c:f>
              <c:strCache>
                <c:ptCount val="1"/>
                <c:pt idx="0">
                  <c:v>0</c:v>
                </c:pt>
              </c:strCache>
            </c:strRef>
          </c:tx>
          <c:spPr>
            <a:solidFill>
              <a:srgbClr val="7030A0"/>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分类!$T$8:$AE$8</c:f>
            </c:numRef>
          </c:val>
        </c:ser>
        <c:ser>
          <c:idx val="7"/>
          <c:order val="7"/>
          <c:tx>
            <c:strRef>
              <c:f>分类!$S$9</c:f>
              <c:strCache>
                <c:ptCount val="1"/>
                <c:pt idx="0">
                  <c:v>0</c:v>
                </c:pt>
              </c:strCache>
            </c:strRef>
          </c:tx>
          <c:spPr>
            <a:solidFill>
              <a:schemeClr val="tx2">
                <a:lumMod val="60000"/>
                <a:lumOff val="40000"/>
              </a:schemeClr>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分类!$T$9:$AE$9</c:f>
            </c:numRef>
          </c:val>
        </c:ser>
        <c:ser>
          <c:idx val="8"/>
          <c:order val="8"/>
          <c:tx>
            <c:strRef>
              <c:f>分类!$S$10</c:f>
              <c:strCache>
                <c:ptCount val="1"/>
                <c:pt idx="0">
                  <c:v>0</c:v>
                </c:pt>
              </c:strCache>
            </c:strRef>
          </c:tx>
          <c:spPr>
            <a:solidFill>
              <a:schemeClr val="accent6">
                <a:lumMod val="75000"/>
              </a:schemeClr>
            </a:solidFill>
            <a:ln>
              <a:noFill/>
            </a:ln>
            <a:effectLst/>
          </c:spPr>
          <c:invertIfNegative val="0"/>
          <c:dLbls>
            <c:delete val="1"/>
          </c:dLbls>
          <c:cat>
            <c:numRef>
              <c:f>分类!$T$1:$AE$1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分类!$T$10:$AE$10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d0dd2f51-889f-43bc-8de5-31549968c20f}"/>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应用!$B$2</c:f>
              <c:strCache>
                <c:ptCount val="1"/>
                <c:pt idx="0">
                  <c:v>开放式铸造</c:v>
                </c:pt>
              </c:strCache>
            </c:strRef>
          </c:tx>
          <c:spPr>
            <a:solidFill>
              <a:srgbClr val="002060"/>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应用!$C$2:$N$2</c:f>
              <c:numCache>
                <c:formatCode>#,##0_);[Red]\(#,##0\)</c:formatCode>
                <c:ptCount val="12"/>
                <c:pt idx="0">
                  <c:v>407.96</c:v>
                </c:pt>
                <c:pt idx="1">
                  <c:v>433.91</c:v>
                </c:pt>
                <c:pt idx="2">
                  <c:v>450.13</c:v>
                </c:pt>
                <c:pt idx="3">
                  <c:v>428.38</c:v>
                </c:pt>
                <c:pt idx="4">
                  <c:v>413.37</c:v>
                </c:pt>
                <c:pt idx="5">
                  <c:v>453.72</c:v>
                </c:pt>
                <c:pt idx="6">
                  <c:v>477.26</c:v>
                </c:pt>
                <c:pt idx="7">
                  <c:v>514.18</c:v>
                </c:pt>
                <c:pt idx="8">
                  <c:v>484.97</c:v>
                </c:pt>
                <c:pt idx="9">
                  <c:v>478.17</c:v>
                </c:pt>
                <c:pt idx="10">
                  <c:v>515.2</c:v>
                </c:pt>
                <c:pt idx="11">
                  <c:v>532.76</c:v>
                </c:pt>
              </c:numCache>
            </c:numRef>
          </c:val>
        </c:ser>
        <c:ser>
          <c:idx val="1"/>
          <c:order val="1"/>
          <c:tx>
            <c:strRef>
              <c:f>应用!$B$3</c:f>
              <c:strCache>
                <c:ptCount val="1"/>
                <c:pt idx="0">
                  <c:v>封闭式铸造</c:v>
                </c:pt>
              </c:strCache>
            </c:strRef>
          </c:tx>
          <c:spPr>
            <a:solidFill>
              <a:schemeClr val="bg1">
                <a:lumMod val="5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应用!$C$3:$N$3</c:f>
              <c:numCache>
                <c:formatCode>#,##0_);[Red]\(#,##0\)</c:formatCode>
                <c:ptCount val="12"/>
                <c:pt idx="0">
                  <c:v>146.64</c:v>
                </c:pt>
                <c:pt idx="1">
                  <c:v>163.52</c:v>
                </c:pt>
                <c:pt idx="2">
                  <c:v>170.4</c:v>
                </c:pt>
                <c:pt idx="3">
                  <c:v>169.58</c:v>
                </c:pt>
                <c:pt idx="4">
                  <c:v>167.29</c:v>
                </c:pt>
                <c:pt idx="5">
                  <c:v>184.07</c:v>
                </c:pt>
                <c:pt idx="6">
                  <c:v>194.47</c:v>
                </c:pt>
                <c:pt idx="7">
                  <c:v>220.05</c:v>
                </c:pt>
                <c:pt idx="8">
                  <c:v>219.01</c:v>
                </c:pt>
                <c:pt idx="9">
                  <c:v>223.89</c:v>
                </c:pt>
                <c:pt idx="10">
                  <c:v>245.24</c:v>
                </c:pt>
                <c:pt idx="11">
                  <c:v>255.93</c:v>
                </c:pt>
              </c:numCache>
            </c:numRef>
          </c:val>
        </c:ser>
        <c:ser>
          <c:idx val="2"/>
          <c:order val="2"/>
          <c:tx>
            <c:strRef>
              <c:f>应用!$B$4</c:f>
              <c:strCache>
                <c:ptCount val="1"/>
                <c:pt idx="0">
                  <c:v/>
                </c:pt>
              </c:strCache>
            </c:strRef>
          </c:tx>
          <c:spPr>
            <a:solidFill>
              <a:schemeClr val="accent6">
                <a:lumMod val="75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应用!$C$4:$N$4</c:f>
            </c:numRef>
          </c:val>
        </c:ser>
        <c:ser>
          <c:idx val="3"/>
          <c:order val="3"/>
          <c:tx>
            <c:strRef>
              <c:f>应用!$B$5</c:f>
              <c:strCache>
                <c:ptCount val="1"/>
                <c:pt idx="0">
                  <c:v/>
                </c:pt>
              </c:strCache>
            </c:strRef>
          </c:tx>
          <c:spPr>
            <a:solidFill>
              <a:schemeClr val="tx2">
                <a:lumMod val="60000"/>
                <a:lumOff val="4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应用!$C$5:$N$5</c:f>
            </c:numRef>
          </c:val>
        </c:ser>
        <c:ser>
          <c:idx val="4"/>
          <c:order val="4"/>
          <c:tx>
            <c:strRef>
              <c:f>应用!$B$6</c:f>
              <c:strCache>
                <c:ptCount val="1"/>
                <c:pt idx="0">
                  <c:v/>
                </c:pt>
              </c:strCache>
            </c:strRef>
          </c:tx>
          <c:spPr>
            <a:solidFill>
              <a:schemeClr val="accent1">
                <a:lumMod val="75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应用!$C$6:$N$6</c:f>
            </c:numRef>
          </c:val>
        </c:ser>
        <c:ser>
          <c:idx val="5"/>
          <c:order val="5"/>
          <c:tx>
            <c:strRef>
              <c:f>应用!$B$7</c:f>
              <c:strCache>
                <c:ptCount val="1"/>
                <c:pt idx="0">
                  <c:v/>
                </c:pt>
              </c:strCache>
            </c:strRef>
          </c:tx>
          <c:spPr>
            <a:solidFill>
              <a:schemeClr val="accent4">
                <a:lumMod val="60000"/>
                <a:lumOff val="4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应用!$C$7:$N$7</c:f>
            </c:numRef>
          </c:val>
        </c:ser>
        <c:ser>
          <c:idx val="6"/>
          <c:order val="6"/>
          <c:tx>
            <c:strRef>
              <c:f>应用!$B$8</c:f>
              <c:strCache>
                <c:ptCount val="1"/>
                <c:pt idx="0">
                  <c:v/>
                </c:pt>
              </c:strCache>
            </c:strRef>
          </c:tx>
          <c:spPr>
            <a:solidFill>
              <a:schemeClr val="accent2">
                <a:lumMod val="60000"/>
                <a:lumOff val="4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应用!$C$8:$N$8</c:f>
            </c:numRef>
          </c:val>
        </c:ser>
        <c:ser>
          <c:idx val="7"/>
          <c:order val="7"/>
          <c:tx>
            <c:strRef>
              <c:f>应用!$B$9</c:f>
              <c:strCache>
                <c:ptCount val="1"/>
                <c:pt idx="0">
                  <c:v/>
                </c:pt>
              </c:strCache>
            </c:strRef>
          </c:tx>
          <c:spPr>
            <a:solidFill>
              <a:schemeClr val="bg2">
                <a:lumMod val="5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应用!$C$9:$N$9</c:f>
            </c:numRef>
          </c:val>
        </c:ser>
        <c:ser>
          <c:idx val="8"/>
          <c:order val="8"/>
          <c:tx>
            <c:strRef>
              <c:f>应用!$B$10</c:f>
              <c:strCache>
                <c:ptCount val="1"/>
                <c:pt idx="0">
                  <c:v/>
                </c:pt>
              </c:strCache>
            </c:strRef>
          </c:tx>
          <c:spPr>
            <a:solidFill>
              <a:schemeClr val="accent5">
                <a:lumMod val="60000"/>
                <a:lumOff val="40000"/>
              </a:schemeClr>
            </a:solidFill>
            <a:ln>
              <a:noFill/>
            </a:ln>
            <a:effectLst/>
          </c:spPr>
          <c:invertIfNegative val="0"/>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应用!$C$10:$N$10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应用!$B$11</c:f>
              <c:strCache>
                <c:ptCount val="1"/>
                <c:pt idx="0">
                  <c:v>Total</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应用!$C$11:$N$11</c:f>
              <c:numCache>
                <c:formatCode>#,##0_);[Red]\(#,##0\)</c:formatCode>
                <c:ptCount val="12"/>
                <c:pt idx="0">
                  <c:v>554.6</c:v>
                </c:pt>
                <c:pt idx="1">
                  <c:v>597.43</c:v>
                </c:pt>
                <c:pt idx="2">
                  <c:v>620.53</c:v>
                </c:pt>
                <c:pt idx="3">
                  <c:v>597.96</c:v>
                </c:pt>
                <c:pt idx="4">
                  <c:v>580.66</c:v>
                </c:pt>
                <c:pt idx="5">
                  <c:v>637.79</c:v>
                </c:pt>
                <c:pt idx="6">
                  <c:v>671.73</c:v>
                </c:pt>
                <c:pt idx="7">
                  <c:v>734.23</c:v>
                </c:pt>
                <c:pt idx="8">
                  <c:v>703.98</c:v>
                </c:pt>
                <c:pt idx="9">
                  <c:v>702.06</c:v>
                </c:pt>
                <c:pt idx="10">
                  <c:v>760.44</c:v>
                </c:pt>
                <c:pt idx="11">
                  <c:v>788.69</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8909e508-5e38-417b-a373-4a0bd5d32a00}"/>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'地区-消费'!$B$2</c:f>
              <c:strCache>
                <c:ptCount val="1"/>
                <c:pt idx="0">
                  <c:v>北美</c:v>
                </c:pt>
              </c:strCache>
            </c:strRef>
          </c:tx>
          <c:spPr>
            <a:solidFill>
              <a:srgbClr val="00206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'地区-消费'!$C$2:$N$2</c:f>
              <c:numCache>
                <c:formatCode>#,##0_);[Red]\(#,##0\)</c:formatCode>
                <c:ptCount val="12"/>
                <c:pt idx="0">
                  <c:v>67.25</c:v>
                </c:pt>
                <c:pt idx="1">
                  <c:v>78.72</c:v>
                </c:pt>
                <c:pt idx="2">
                  <c:v>82.68</c:v>
                </c:pt>
                <c:pt idx="3">
                  <c:v>84.71</c:v>
                </c:pt>
                <c:pt idx="4">
                  <c:v>89.63</c:v>
                </c:pt>
                <c:pt idx="5">
                  <c:v>88.08</c:v>
                </c:pt>
                <c:pt idx="6">
                  <c:v>91.01</c:v>
                </c:pt>
                <c:pt idx="7">
                  <c:v>103.56</c:v>
                </c:pt>
                <c:pt idx="8">
                  <c:v>96.14</c:v>
                </c:pt>
                <c:pt idx="9">
                  <c:v>113.61</c:v>
                </c:pt>
                <c:pt idx="10">
                  <c:v>99.63</c:v>
                </c:pt>
                <c:pt idx="11">
                  <c:v>98.35</c:v>
                </c:pt>
              </c:numCache>
            </c:numRef>
          </c:val>
        </c:ser>
        <c:ser>
          <c:idx val="1"/>
          <c:order val="1"/>
          <c:tx>
            <c:strRef>
              <c:f>'地区-消费'!$B$3</c:f>
              <c:strCache>
                <c:ptCount val="1"/>
                <c:pt idx="0">
                  <c:v>欧洲</c:v>
                </c:pt>
              </c:strCache>
            </c:strRef>
          </c:tx>
          <c:spPr>
            <a:solidFill>
              <a:schemeClr val="bg1">
                <a:lumMod val="50000"/>
              </a:schemeClr>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'地区-消费'!$C$3:$N$3</c:f>
              <c:numCache>
                <c:formatCode>#,##0_);[Red]\(#,##0\)</c:formatCode>
                <c:ptCount val="12"/>
                <c:pt idx="0">
                  <c:v>69.63</c:v>
                </c:pt>
                <c:pt idx="1">
                  <c:v>76.42</c:v>
                </c:pt>
                <c:pt idx="2">
                  <c:v>76.57</c:v>
                </c:pt>
                <c:pt idx="3">
                  <c:v>73.85</c:v>
                </c:pt>
                <c:pt idx="4">
                  <c:v>68.03</c:v>
                </c:pt>
                <c:pt idx="5">
                  <c:v>75.13</c:v>
                </c:pt>
                <c:pt idx="6">
                  <c:v>77.89</c:v>
                </c:pt>
                <c:pt idx="7">
                  <c:v>85.2</c:v>
                </c:pt>
                <c:pt idx="8">
                  <c:v>79.77</c:v>
                </c:pt>
                <c:pt idx="9">
                  <c:v>81.97</c:v>
                </c:pt>
                <c:pt idx="10">
                  <c:v>85.46</c:v>
                </c:pt>
                <c:pt idx="11">
                  <c:v>89.46</c:v>
                </c:pt>
              </c:numCache>
            </c:numRef>
          </c:val>
        </c:ser>
        <c:ser>
          <c:idx val="2"/>
          <c:order val="2"/>
          <c:tx>
            <c:strRef>
              <c:f>'地区-消费'!$B$4</c:f>
              <c:strCache>
                <c:ptCount val="1"/>
                <c:pt idx="0">
                  <c:v>亚太地区</c:v>
                </c:pt>
              </c:strCache>
            </c:strRef>
          </c:tx>
          <c:spPr>
            <a:solidFill>
              <a:srgbClr val="0070C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'地区-消费'!$C$4:$N$4</c:f>
              <c:numCache>
                <c:formatCode>#,##0_);[Red]\(#,##0\)</c:formatCode>
                <c:ptCount val="12"/>
                <c:pt idx="0">
                  <c:v>357.94</c:v>
                </c:pt>
                <c:pt idx="1">
                  <c:v>378.88</c:v>
                </c:pt>
                <c:pt idx="2">
                  <c:v>393.86</c:v>
                </c:pt>
                <c:pt idx="3">
                  <c:v>374.76</c:v>
                </c:pt>
                <c:pt idx="4">
                  <c:v>359.93</c:v>
                </c:pt>
                <c:pt idx="5">
                  <c:v>406.96</c:v>
                </c:pt>
                <c:pt idx="6">
                  <c:v>431.88</c:v>
                </c:pt>
                <c:pt idx="7">
                  <c:v>465.97</c:v>
                </c:pt>
                <c:pt idx="8">
                  <c:v>455.06</c:v>
                </c:pt>
                <c:pt idx="9">
                  <c:v>432.07</c:v>
                </c:pt>
                <c:pt idx="10">
                  <c:v>495.13</c:v>
                </c:pt>
                <c:pt idx="11">
                  <c:v>513.91</c:v>
                </c:pt>
              </c:numCache>
            </c:numRef>
          </c:val>
        </c:ser>
        <c:ser>
          <c:idx val="3"/>
          <c:order val="3"/>
          <c:tx>
            <c:strRef>
              <c:f>'地区-消费'!$B$5</c:f>
              <c:strCache>
                <c:ptCount val="1"/>
                <c:pt idx="0">
                  <c:v>拉美</c:v>
                </c:pt>
              </c:strCache>
            </c:strRef>
          </c:tx>
          <c:spPr>
            <a:solidFill>
              <a:srgbClr val="FFC00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'地区-消费'!$C$5:$N$5</c:f>
              <c:numCache>
                <c:formatCode>#,##0_);[Red]\(#,##0\)</c:formatCode>
                <c:ptCount val="12"/>
                <c:pt idx="0">
                  <c:v>23.72</c:v>
                </c:pt>
                <c:pt idx="1">
                  <c:v>26.18</c:v>
                </c:pt>
                <c:pt idx="2">
                  <c:v>25.68</c:v>
                </c:pt>
                <c:pt idx="3">
                  <c:v>25.43</c:v>
                </c:pt>
                <c:pt idx="4">
                  <c:v>24.91</c:v>
                </c:pt>
                <c:pt idx="5">
                  <c:v>25.94</c:v>
                </c:pt>
                <c:pt idx="6">
                  <c:v>26.71</c:v>
                </c:pt>
                <c:pt idx="7">
                  <c:v>30.16</c:v>
                </c:pt>
                <c:pt idx="8">
                  <c:v>28.38</c:v>
                </c:pt>
                <c:pt idx="9">
                  <c:v>29.74</c:v>
                </c:pt>
                <c:pt idx="10">
                  <c:v>31.7</c:v>
                </c:pt>
                <c:pt idx="11">
                  <c:v>33.93</c:v>
                </c:pt>
              </c:numCache>
            </c:numRef>
          </c:val>
        </c:ser>
        <c:ser>
          <c:idx val="4"/>
          <c:order val="4"/>
          <c:tx>
            <c:strRef>
              <c:f>'地区-消费'!$B$6</c:f>
              <c:strCache>
                <c:ptCount val="1"/>
                <c:pt idx="0">
                  <c:v>中东和非洲</c:v>
                </c:pt>
              </c:strCache>
            </c:strRef>
          </c:tx>
          <c:spPr>
            <a:solidFill>
              <a:schemeClr val="tx1">
                <a:lumMod val="65000"/>
                <a:lumOff val="35000"/>
              </a:schemeClr>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'地区-消费'!$C$6:$N$6</c:f>
              <c:numCache>
                <c:formatCode>#,##0_);[Red]\(#,##0\)</c:formatCode>
                <c:ptCount val="12"/>
                <c:pt idx="0">
                  <c:v>36.06</c:v>
                </c:pt>
                <c:pt idx="1">
                  <c:v>37.23</c:v>
                </c:pt>
                <c:pt idx="2">
                  <c:v>41.74</c:v>
                </c:pt>
                <c:pt idx="3">
                  <c:v>39.21</c:v>
                </c:pt>
                <c:pt idx="4">
                  <c:v>38.16</c:v>
                </c:pt>
                <c:pt idx="5">
                  <c:v>41.68</c:v>
                </c:pt>
                <c:pt idx="6">
                  <c:v>44.24</c:v>
                </c:pt>
                <c:pt idx="7">
                  <c:v>49.34</c:v>
                </c:pt>
                <c:pt idx="8">
                  <c:v>44.63</c:v>
                </c:pt>
                <c:pt idx="9">
                  <c:v>44.67</c:v>
                </c:pt>
                <c:pt idx="10">
                  <c:v>48.52</c:v>
                </c:pt>
                <c:pt idx="11">
                  <c:v>53.04</c:v>
                </c:pt>
              </c:numCache>
            </c:numRef>
          </c:val>
        </c:ser>
        <c:ser>
          <c:idx val="5"/>
          <c:order val="5"/>
          <c:tx>
            <c:strRef>
              <c:f>'地区-消费'!$B$7</c:f>
              <c:strCache>
                <c:ptCount val="1"/>
                <c:pt idx="0">
                  <c:v/>
                </c:pt>
              </c:strCache>
            </c:strRef>
          </c:tx>
          <c:spPr>
            <a:solidFill>
              <a:srgbClr val="C0000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'地区-消费'!$C$7:$N$7</c:f>
            </c:numRef>
          </c:val>
        </c:ser>
        <c:ser>
          <c:idx val="6"/>
          <c:order val="6"/>
          <c:tx>
            <c:strRef>
              <c:f>'地区-消费'!$B$8</c:f>
              <c:strCache>
                <c:ptCount val="1"/>
                <c:pt idx="0">
                  <c:v/>
                </c:pt>
              </c:strCache>
            </c:strRef>
          </c:tx>
          <c:spPr>
            <a:solidFill>
              <a:srgbClr val="7030A0"/>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'地区-消费'!$C$8:$N$8</c:f>
            </c:numRef>
          </c:val>
        </c:ser>
        <c:ser>
          <c:idx val="7"/>
          <c:order val="7"/>
          <c:tx>
            <c:strRef>
              <c:f>'地区-消费'!$B$9</c:f>
              <c:strCache>
                <c:ptCount val="1"/>
                <c:pt idx="0">
                  <c:v/>
                </c:pt>
              </c:strCache>
            </c:strRef>
          </c:tx>
          <c:spPr>
            <a:solidFill>
              <a:schemeClr val="tx2">
                <a:lumMod val="60000"/>
                <a:lumOff val="40000"/>
              </a:schemeClr>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'地区-消费'!$C$9:$N$9</c:f>
            </c:numRef>
          </c:val>
        </c:ser>
        <c:ser>
          <c:idx val="8"/>
          <c:order val="8"/>
          <c:tx>
            <c:strRef>
              <c:f>'地区-消费'!$B$10</c:f>
              <c:strCache>
                <c:ptCount val="1"/>
                <c:pt idx="0">
                  <c:v/>
                </c:pt>
              </c:strCache>
            </c:strRef>
          </c:tx>
          <c:spPr>
            <a:solidFill>
              <a:schemeClr val="accent6">
                <a:lumMod val="75000"/>
              </a:schemeClr>
            </a:solidFill>
            <a:ln>
              <a:noFill/>
            </a:ln>
            <a:effectLst/>
          </c:spPr>
          <c:invertIfNegative val="0"/>
          <c:dLbls>
            <c:delete val="1"/>
          </c:dLbls>
          <c:cat>
            <c:numRef>
              <c:f>'地区-消费'!$C$1:$N$1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'地区-消费'!$C$10:$N$10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794b3b37-9966-49cd-a2b8-2697351bf9ec}"/>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421409-E487-421D-A3FD-77945619EFDA}">
  <ds:schemaRefs/>
</ds:datastoreItem>
</file>

<file path=docProps/app.xml><?xml version="1.0" encoding="utf-8"?>
<Properties xmlns="http://schemas.openxmlformats.org/officeDocument/2006/extended-properties" xmlns:vt="http://schemas.openxmlformats.org/officeDocument/2006/docPropsVTypes">
  <Template>Normal</Template>
  <Pages>5</Pages>
  <Words>2006</Words>
  <Characters>2294</Characters>
  <Lines>16</Lines>
  <Paragraphs>4</Paragraphs>
  <TotalTime>0</TotalTime>
  <ScaleCrop>false</ScaleCrop>
  <LinksUpToDate>false</LinksUpToDate>
  <CharactersWithSpaces>2303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2025-09-30T09:07:00Z</dcterms:created>
  <dc:creator>yangj</dc:creator>
  <cp:lastModifiedBy>鼕鼕</cp:lastModifiedBy>
  <dcterms:modified xsi:type="dcterms:W3CDTF">2025-11-11T06:46:38Z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2052-12.1.0.23542</vt:lpwstr>
  </property>
  <property fmtid="{D5CDD505-2E9C-101B-9397-08002B2CF9AE}" pid="4" name="ICV">
    <vt:lpwstr>DED781657FFE4020B92F05241603099E_12</vt:lpwstr>
  </property>
</Properties>
</file>