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D5715">
      <w:pPr>
        <w:pStyle w:val="167"/>
        <w:rPr>
          <w:lang w:eastAsia="zh-CN"/>
        </w:rPr>
      </w:pPr>
      <w:bookmarkStart w:id="0" w:name="_Toc438987549"/>
      <w:bookmarkStart w:id="1" w:name="_Toc481801204"/>
      <w:bookmarkStart w:id="2" w:name="_Toc517262917"/>
      <w:bookmarkStart w:id="3" w:name="_Toc453597319"/>
      <w:bookmarkStart w:id="4" w:name="_Toc415818939"/>
      <w:bookmarkStart w:id="5" w:name="_Toc415142861"/>
      <w:bookmarkStart w:id="6" w:name="_Toc418070112"/>
      <w:bookmarkStart w:id="7" w:name="OLE_LINK13"/>
      <w:bookmarkStart w:id="8" w:name="_Toc415143481"/>
      <w:bookmarkStart w:id="9" w:name="OLE_LINK40"/>
      <w:bookmarkStart w:id="10" w:name="OLE_LINK15"/>
      <w:bookmarkStart w:id="11" w:name="OLE_LINK24"/>
      <w:bookmarkStart w:id="12" w:name="OLE_LINK39"/>
      <w:r>
        <w:rPr>
          <w:lang w:eastAsia="zh-CN"/>
        </w:rPr>
        <w:t>水平井钻井</w:t>
      </w:r>
      <w:r>
        <w:rPr>
          <w:rFonts w:hint="eastAsia"/>
          <w:lang w:eastAsia="zh-CN"/>
        </w:rPr>
        <w:t>全球市场总体规模</w:t>
      </w:r>
    </w:p>
    <w:p w14:paraId="7CB802AC">
      <w:pPr>
        <w:pStyle w:val="145"/>
        <w:rPr>
          <w:lang w:eastAsia="zh-CN"/>
        </w:rPr>
      </w:pPr>
      <w:r>
        <w:rPr>
          <w:rFonts w:hint="eastAsia"/>
          <w:lang w:eastAsia="zh-CN"/>
        </w:rPr>
        <w:t>水平井钻井是指井眼在穿过地层后，由原本的垂直方向逐渐转向水平方向，并在目标储层中沿水平方向延伸的一种钻井技术。与传统的垂直井相比，水平井能够在油气层中形成更长的接触段，从而显著提高单井的采收率和产量。这种技术广泛应用于页岩气、致密油、煤层气等非常规油气资源的开采，以及需要在特定地质条件下控制井眼轨迹的复杂构造区域开发。水平井钻井通常结合测量随钻（MWD）、地质导向、旋转导向系统（RSS）等先进技术，实现对井眼轨迹的精准控制，是现代石油天然气开发中的关键技术之一。</w:t>
      </w:r>
    </w:p>
    <w:p w14:paraId="7BAEE79D">
      <w:pPr>
        <w:pStyle w:val="145"/>
        <w:jc w:val="center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3656965" cy="2885440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57143" cy="28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2A887"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据QYResearch调研团队最新报告“全球水平井钻井市场报告2025-2031”显示，预计2031年全球水平井钻井市场规模将达到144亿美元，未来几年年复合增长率CAGR为2.2%。</w:t>
      </w:r>
    </w:p>
    <w:p w14:paraId="4D38E3C6">
      <w:pPr>
        <w:pStyle w:val="145"/>
        <w:rPr>
          <w:lang w:val="en-US" w:eastAsia="zh-CN"/>
        </w:rPr>
      </w:pPr>
      <w:bookmarkStart w:id="13" w:name="_GoBack"/>
      <w:bookmarkEnd w:id="13"/>
    </w:p>
    <w:p w14:paraId="3F6C2722">
      <w:pPr>
        <w:pStyle w:val="148"/>
        <w:rPr>
          <w:lang w:eastAsia="zh-CN"/>
        </w:rPr>
      </w:pPr>
      <w:r>
        <w:rPr>
          <w:lang w:eastAsia="zh-CN"/>
        </w:rPr>
        <w:t>水平井钻井</w:t>
      </w:r>
      <w:r>
        <w:rPr>
          <w:rFonts w:hint="eastAsia"/>
          <w:lang w:eastAsia="zh-CN"/>
        </w:rPr>
        <w:t>，全球市场总体规模</w:t>
      </w:r>
    </w:p>
    <w:p w14:paraId="33261207">
      <w:pPr>
        <w:pStyle w:val="145"/>
        <w:rPr>
          <w:lang w:eastAsia="zh-CN"/>
        </w:rPr>
      </w:pPr>
      <w:r>
        <w:drawing>
          <wp:inline distT="0" distB="0" distL="0" distR="0">
            <wp:extent cx="6188710" cy="2954655"/>
            <wp:effectExtent l="0" t="0" r="254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48964BA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水平井钻井</w:t>
      </w:r>
      <w:r>
        <w:rPr>
          <w:rFonts w:hint="eastAsia"/>
          <w:lang w:eastAsia="zh-CN"/>
        </w:rPr>
        <w:t>市场研究报告2025-2031”</w:t>
      </w:r>
      <w:r>
        <w:rPr>
          <w:lang w:eastAsia="zh-CN"/>
        </w:rPr>
        <w:t>.</w:t>
      </w:r>
    </w:p>
    <w:p w14:paraId="12FD9BEF">
      <w:pPr>
        <w:pStyle w:val="145"/>
        <w:rPr>
          <w:lang w:eastAsia="zh-CN"/>
        </w:rPr>
      </w:pPr>
    </w:p>
    <w:p w14:paraId="720E31E2"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水平井钻井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15</w:t>
      </w:r>
      <w:r>
        <w:rPr>
          <w:rFonts w:hint="eastAsia"/>
          <w:lang w:eastAsia="zh-CN"/>
        </w:rPr>
        <w:t>强生产商排名及市场占有率（基于2</w:t>
      </w:r>
      <w:r>
        <w:rPr>
          <w:lang w:eastAsia="zh-CN"/>
        </w:rPr>
        <w:t>024</w:t>
      </w:r>
      <w:r>
        <w:rPr>
          <w:rFonts w:hint="eastAsia"/>
          <w:lang w:eastAsia="zh-CN"/>
        </w:rPr>
        <w:t>年调研数据；目前最新数据以本公司最新调研数据为准）</w:t>
      </w:r>
    </w:p>
    <w:p w14:paraId="773AFA33">
      <w:pPr>
        <w:widowControl/>
        <w:topLinePunct w:val="0"/>
        <w:spacing w:after="0"/>
        <w:jc w:val="center"/>
        <w:rPr>
          <w:rFonts w:ascii="宋体" w:hAnsi="宋体" w:cs="宋体"/>
          <w:kern w:val="0"/>
          <w:sz w:val="24"/>
          <w:szCs w:val="24"/>
        </w:rPr>
      </w:pPr>
      <w:r>
        <w:drawing>
          <wp:inline distT="0" distB="0" distL="0" distR="0">
            <wp:extent cx="3771900" cy="5991225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4A43543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</w:t>
      </w:r>
      <w:r>
        <w:rPr>
          <w:lang w:eastAsia="zh-CN"/>
        </w:rPr>
        <w:t>水平井钻井</w:t>
      </w:r>
      <w:r>
        <w:rPr>
          <w:rFonts w:hint="eastAsia"/>
          <w:lang w:eastAsia="zh-CN"/>
        </w:rPr>
        <w:t>市场研究报告2025-2031”，排名基于2</w:t>
      </w:r>
      <w:r>
        <w:rPr>
          <w:lang w:eastAsia="zh-CN"/>
        </w:rPr>
        <w:t>023</w:t>
      </w:r>
      <w:r>
        <w:rPr>
          <w:rFonts w:hint="eastAsia"/>
          <w:lang w:eastAsia="zh-CN"/>
        </w:rPr>
        <w:t>数据。目前最新数据，以本公司最新调研数据为准。</w:t>
      </w:r>
    </w:p>
    <w:p w14:paraId="543D1F2A"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根据QYResearch头部企业研究中心调研，全球范围内水平井钻井生产商主要包括Schlumberger、Halliburton、Baker Hughes/GE、中油油服、Weatherford International、Nabors industries、中石化油服、中海油服、Cathedral Energy Services、Gyrodata等。2024年，全球前五大厂商占有大约78%的市场份额。</w:t>
      </w:r>
    </w:p>
    <w:p w14:paraId="679A3E3B">
      <w:pPr>
        <w:pStyle w:val="145"/>
        <w:rPr>
          <w:lang w:eastAsia="zh-CN"/>
        </w:rPr>
      </w:pPr>
    </w:p>
    <w:p w14:paraId="3B2E5865">
      <w:pPr>
        <w:pStyle w:val="145"/>
        <w:rPr>
          <w:rFonts w:hint="eastAsia"/>
          <w:lang w:eastAsia="zh-CN"/>
        </w:rPr>
      </w:pPr>
    </w:p>
    <w:p w14:paraId="0B069045">
      <w:pPr>
        <w:pStyle w:val="148"/>
        <w:rPr>
          <w:lang w:eastAsia="zh-CN"/>
        </w:rPr>
      </w:pPr>
      <w:r>
        <w:rPr>
          <w:lang w:eastAsia="zh-CN"/>
        </w:rPr>
        <w:t>水平井钻井</w:t>
      </w:r>
      <w:r>
        <w:rPr>
          <w:rFonts w:hint="eastAsia"/>
          <w:lang w:eastAsia="zh-CN"/>
        </w:rPr>
        <w:t>，全球市场规模，按应用细分</w:t>
      </w:r>
    </w:p>
    <w:p w14:paraId="1F9213C6">
      <w:pPr>
        <w:widowControl/>
        <w:topLinePunct w:val="0"/>
        <w:spacing w:after="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kern w:val="0"/>
          <w:sz w:val="24"/>
          <w:szCs w:val="24"/>
        </w:rPr>
        <w:drawing>
          <wp:inline distT="0" distB="0" distL="0" distR="0">
            <wp:extent cx="6639560" cy="3067685"/>
            <wp:effectExtent l="0" t="0" r="889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3067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CA65EC"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水平井钻井</w:t>
      </w:r>
      <w:r>
        <w:rPr>
          <w:rFonts w:hint="eastAsia"/>
          <w:lang w:eastAsia="zh-CN"/>
        </w:rPr>
        <w:t>市场研究报告2025-2031”</w:t>
      </w:r>
      <w:r>
        <w:rPr>
          <w:lang w:eastAsia="zh-CN"/>
        </w:rPr>
        <w:t>.</w:t>
      </w:r>
    </w:p>
    <w:p w14:paraId="783D0C79">
      <w:pPr>
        <w:widowControl/>
        <w:topLinePunct w:val="0"/>
        <w:spacing w:after="0"/>
        <w:rPr>
          <w:rFonts w:ascii="Book Antiqua" w:hAnsi="Book Antiqua" w:cs="宋体"/>
          <w:kern w:val="0"/>
          <w:sz w:val="22"/>
          <w:szCs w:val="22"/>
        </w:rPr>
      </w:pPr>
      <w:r>
        <w:rPr>
          <w:rFonts w:ascii="Book Antiqua" w:hAnsi="Book Antiqua" w:cs="宋体"/>
          <w:kern w:val="0"/>
          <w:sz w:val="22"/>
          <w:szCs w:val="22"/>
        </w:rPr>
        <w:t>就产品应用而言，目前陆上是最主要的需求来源，占据大约63.5%的份额。</w:t>
      </w:r>
    </w:p>
    <w:p w14:paraId="0080F082">
      <w:pPr>
        <w:pStyle w:val="145"/>
        <w:rPr>
          <w:lang w:eastAsia="zh-CN"/>
        </w:rPr>
      </w:pPr>
    </w:p>
    <w:p w14:paraId="418CECD8"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 w14:paraId="5666E4F2">
      <w:pPr>
        <w:pStyle w:val="145"/>
        <w:rPr>
          <w:lang w:eastAsia="zh-CN"/>
        </w:rPr>
      </w:pPr>
      <w:r>
        <w:rPr>
          <w:rFonts w:hint="eastAsia"/>
          <w:lang w:eastAsia="zh-CN"/>
        </w:rPr>
        <w:t>水平井钻井市场的主要驱动因素来自于全球能源需求的持续增长、非常规油气资源开发的加速以及钻井技术的不断进步。随着人口和工业化程度的提升，石油和天然气作为主要能源的需求稳步上升，促使能源公司寻求更高效的开采方式。水平井钻井相比传统垂直井能显著增加与储层的接触面积，从而大幅提升单井产量和采收率，成为提高资源开发效率的关键技术。特别是在页岩气、致密油等非常规资源的开发中，水平井已成为不可替代的主流手段。与此同时，旋转导向系统（RSS）、测量随钻（MWD）和地质导向等技术的成熟，使得水平井钻井在复杂地质条件下的应用更加精准和可靠，降低了作业风险和成本。此外，在成熟油田中，水平井技术被广泛应用于剩余油的开发与增产，有效延长油田生命周期。在环保和土地资源限制日益严格的背景下，水平井通过平台集约钻井方式减少地表干扰，符合绿色开发理念。政策支持与能源企业对高效采收技术的持续投资，也进一步推动了水平井钻井市场的快速发展。</w:t>
      </w:r>
    </w:p>
    <w:p w14:paraId="3296E651">
      <w:pPr>
        <w:pStyle w:val="145"/>
        <w:rPr>
          <w:lang w:eastAsia="zh-CN"/>
        </w:rPr>
      </w:pPr>
      <w:r>
        <w:rPr>
          <w:rFonts w:hint="eastAsia"/>
          <w:lang w:eastAsia="zh-CN"/>
        </w:rPr>
        <w:t>产业链</w:t>
      </w:r>
    </w:p>
    <w:p w14:paraId="3F4D290F">
      <w:pPr>
        <w:pStyle w:val="145"/>
        <w:rPr>
          <w:lang w:eastAsia="zh-CN"/>
        </w:rPr>
      </w:pPr>
      <w:r>
        <w:rPr>
          <w:rFonts w:hint="eastAsia"/>
          <w:lang w:eastAsia="zh-CN"/>
        </w:rPr>
        <w:t>水平井钻井产业链涵盖了从上游设备制造与材料供应、中游钻井工程技术服务，到下游油气资源开发与销售的完整流程，构成一个高度专业化与协同化的产业体系。上游环节主要包括钻机、钻头、随钻测量（MWD）、旋转导向系统（RSS）、井控系统等专用设备的制造，以及钻井液、套管、水泥等基础材料的供应，同时还涉及井位设计和井眼轨迹模拟等专业软件的开发与应用。中游是整个产业链的核心，集中在钻井施工与技术服务，包括井眼轨迹控制、地质导向、完井、压裂等复杂工艺操作，依赖于高技术团队和现场管理能力。下游环节则以油气资源的开采、运输、处理和销售为主，涉及原油与天然气的集输管道、储运设施、炼化加工以及终端销售网络。整个产业链还高度依赖数字化和智能化技术的融合，例如实时数据监测、人工智能辅助决策与自动化钻井控制系统，有效提升了作业效率与安全性。水平井钻井产业链各环节之间的紧密协同，是实现高效、低成本、绿色油气开发的重要保障。</w:t>
      </w:r>
    </w:p>
    <w:p w14:paraId="6EED9102">
      <w:pPr>
        <w:pStyle w:val="145"/>
      </w:pPr>
      <w:r>
        <w:t>行业进入壁垒</w:t>
      </w:r>
    </w:p>
    <w:p w14:paraId="4BF98900"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水平井钻井行业具有较高的进入壁垒，主要体现在技术、资本、经验和客户资源等多个方面。首先，水平井钻井涉及复杂的轨迹控制、地质导向、随钻测量等高端技术，对企业的研发能力、装备水平和施工精度提出了极高要求，缺乏核心技术的新进入者很难具备竞争力。其次，该行业对设备投入和前期资金的依赖程度高，包括高精度钻机、旋转导向系统（RSS）、测量随钻（MWD）设备等，初始投资巨大，非大型企业难以承受。此外，水平井钻井项目普遍周期长、风险高，对作业团队的经验积累和应变能力要求极高，形成了显著的经验壁垒。同时，客户资源集中度高，主要集中在大型油气公司，这些客户通常倾向于选择技术成熟、信誉良好的服务商，给新企业带来市场准入障碍。最后，行业监管严格，涉及环保、安全、土地使用等多个方面的审批流程，对合规性和资质的要求进一步加大了进入难度。因此，综合技术、资本、经验、市场与政策等多重因素，构成了水平井钻井行业坚实的进入壁垒。</w:t>
      </w:r>
    </w:p>
    <w:p w14:paraId="07A95001">
      <w:pPr>
        <w:pStyle w:val="145"/>
        <w:rPr>
          <w:lang w:eastAsia="zh-CN"/>
        </w:rPr>
      </w:pPr>
      <w:r>
        <w:rPr>
          <w:rFonts w:hint="eastAsia"/>
          <w:lang w:eastAsia="zh-CN"/>
        </w:rPr>
        <w:t>希望以上信息能为您提供有价值的参考。如果您想获取行业市场更详细分析，建议直接查阅相关的完整版行业报告。在市场调查报告方面，QYResearch研究团队深入挖掘市场数据，通过科学的方法和严谨的分析，为客户提供准确、全面的市场现状和趋势信息，帮助企业了解目标市场的规模、增长潜力、竞争格局等关键要素。市场研究报告则更加注重对特定行业或细分市场的深度剖析，从宏观经济环境、政策法规、技术创新等多个维度进行综合分析，为企业制定发展战略提供有力支持。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Book Antiqua">
    <w:panose1 w:val="02040602050305030304"/>
    <w:charset w:val="01"/>
    <w:family w:val="auto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E0980">
    <w:pPr>
      <w:pStyle w:val="21"/>
      <w:jc w:val="center"/>
    </w:pPr>
    <w: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EBBC53"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65371B1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65371B1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02A48211">
    <w:pPr>
      <w:pStyle w:val="22"/>
      <w:pBdr>
        <w:bottom w:val="none" w:color="auto" w:sz="0" w:space="0"/>
      </w:pBdr>
      <w:jc w:val="both"/>
    </w:pPr>
  </w:p>
  <w:p w14:paraId="7C1E6558">
    <w:pPr>
      <w:pStyle w:val="22"/>
      <w:pBdr>
        <w:bottom w:val="none" w:color="auto" w:sz="0" w:space="0"/>
      </w:pBdr>
      <w:jc w:val="both"/>
    </w:pPr>
  </w:p>
  <w:p w14:paraId="3522D064">
    <w:pPr>
      <w:pStyle w:val="22"/>
      <w:pBdr>
        <w:bottom w:val="none" w:color="auto" w:sz="0" w:space="0"/>
      </w:pBdr>
      <w:jc w:val="both"/>
    </w:pPr>
  </w:p>
  <w:p w14:paraId="0E6B6DFD"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839A2F"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6DDD5"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B0F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EDB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650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1D3B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72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9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370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49E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DF8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chart" Target="charts/chart2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F:\M&#30446;&#24405;\2018&#24180;1&#26376;&#26368;&#26032;excel&#30446;&#24405;&#27169;&#26495;\2020&#30446;&#24405;\&#26032;&#38395;&#31295;\&#35266;&#28857;&#25968;&#25454;&#22270;&#34920;&#27169;&#26495;-&#27169;&#26495;%2020240124%20-%20&#21103;&#26412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F:\M&#30446;&#24405;\2018&#24180;1&#26376;&#26368;&#26032;excel&#30446;&#24405;&#27169;&#26495;\2020&#30446;&#24405;\&#26032;&#38395;&#31295;\&#35266;&#28857;&#25968;&#25454;&#22270;&#34920;&#27169;&#26495;-&#27169;&#26495;%2020240124%20-%20&#21103;&#26412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  <a:r>
              <a:rPr lang="zh-CN" altLang="en-US"/>
              <a:t>全球市场总体规模（百万美元</a:t>
            </a:r>
            <a:r>
              <a:rPr lang="en-US"/>
              <a:t>), 2025 VS 2031</a:t>
            </a:r>
            <a:endParaRPr 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783950617284"/>
          <c:y val="0.139741503267974"/>
          <c:w val="0.956882716049383"/>
          <c:h val="0.76397810457516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全球总体!$R$7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全球总体!$T$6:$U$6</c:f>
              <c:numCache>
                <c:formatCode>General</c:formatCode>
                <c:ptCount val="2"/>
                <c:pt idx="0">
                  <c:v>2025</c:v>
                </c:pt>
                <c:pt idx="1">
                  <c:v>2031</c:v>
                </c:pt>
              </c:numCache>
            </c:numRef>
          </c:cat>
          <c:val>
            <c:numRef>
              <c:f>全球总体!$T$7:$U$7</c:f>
              <c:numCache>
                <c:formatCode>#,##0_ </c:formatCode>
                <c:ptCount val="2"/>
                <c:pt idx="0">
                  <c:v>12624</c:v>
                </c:pt>
                <c:pt idx="1">
                  <c:v>14396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100"/>
        <c:serLines>
          <c:spPr>
            <a:ln w="15875" cap="flat" cmpd="sng" algn="ctr">
              <a:solidFill>
                <a:srgbClr val="002060"/>
              </a:solidFill>
              <a:round/>
              <a:headEnd type="triangle"/>
            </a:ln>
            <a:effectLst/>
          </c:spPr>
        </c:serLines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e0f71e50-524e-4bae-b126-fde013d3f5b1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>
          <a:latin typeface="Times New Roman" panose="02020603050405020304" charset="0"/>
          <a:cs typeface="Times New Roman" panose="02020603050405020304" charset="0"/>
        </a:defRPr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  <a:r>
              <a:rPr lang="zh-CN" sz="1100"/>
              <a:t>全球市场主要企业排名</a:t>
            </a:r>
            <a:endParaRPr lang="en-US" sz="1100"/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企业收入!$I$1</c:f>
              <c:strCache>
                <c:ptCount val="1"/>
                <c:pt idx="0">
                  <c:v>2024</c:v>
                </c:pt>
              </c:strCache>
            </c:strRef>
          </c:tx>
          <c:spPr>
            <a:solidFill>
              <a:srgbClr val="002060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rgbClr val="002060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企业收入!$H$2:$H$16</c:f>
              <c:strCache>
                <c:ptCount val="15"/>
                <c:pt idx="0">
                  <c:v>Schlumberger</c:v>
                </c:pt>
                <c:pt idx="1">
                  <c:v>Halliburton</c:v>
                </c:pt>
                <c:pt idx="2">
                  <c:v>Baker Hughes/GE</c:v>
                </c:pt>
                <c:pt idx="3">
                  <c:v>中油油服</c:v>
                </c:pt>
                <c:pt idx="4">
                  <c:v>Weatherford International</c:v>
                </c:pt>
                <c:pt idx="5">
                  <c:v>Nabors industries</c:v>
                </c:pt>
                <c:pt idx="6">
                  <c:v>中石化油服</c:v>
                </c:pt>
                <c:pt idx="7">
                  <c:v>中海油服</c:v>
                </c:pt>
                <c:pt idx="8">
                  <c:v>Cathedral Energy Services</c:v>
                </c:pt>
                <c:pt idx="9">
                  <c:v>Gyrodata</c:v>
                </c:pt>
                <c:pt idx="10">
                  <c:v>安东油田服务</c:v>
                </c:pt>
                <c:pt idx="11">
                  <c:v>中曼石油</c:v>
                </c:pt>
                <c:pt idx="12">
                  <c:v>Jindal Drilling &amp; Industries</c:v>
                </c:pt>
                <c:pt idx="13">
                  <c:v>Scientific Drilling International</c:v>
                </c:pt>
                <c:pt idx="14">
                  <c:v>LEAM Drilling Services</c:v>
                </c:pt>
              </c:strCache>
            </c:strRef>
          </c:cat>
          <c:val>
            <c:numRef>
              <c:f>企业收入!$I$2:$I$16</c:f>
              <c:numCache>
                <c:formatCode>0.0%</c:formatCode>
                <c:ptCount val="15"/>
                <c:pt idx="0">
                  <c:v>0.2744</c:v>
                </c:pt>
                <c:pt idx="1">
                  <c:v>0.1708</c:v>
                </c:pt>
                <c:pt idx="2">
                  <c:v>0.1149</c:v>
                </c:pt>
                <c:pt idx="3">
                  <c:v>0.0871</c:v>
                </c:pt>
                <c:pt idx="4">
                  <c:v>0.0825</c:v>
                </c:pt>
                <c:pt idx="5">
                  <c:v>0.0756</c:v>
                </c:pt>
                <c:pt idx="6">
                  <c:v>0.0407</c:v>
                </c:pt>
                <c:pt idx="7">
                  <c:v>0.0213</c:v>
                </c:pt>
                <c:pt idx="8">
                  <c:v>0.016</c:v>
                </c:pt>
                <c:pt idx="9">
                  <c:v>0.0096</c:v>
                </c:pt>
                <c:pt idx="10">
                  <c:v>0.0067</c:v>
                </c:pt>
                <c:pt idx="11">
                  <c:v>0.0052</c:v>
                </c:pt>
                <c:pt idx="12">
                  <c:v>0.0029</c:v>
                </c:pt>
                <c:pt idx="13">
                  <c:v>0.002</c:v>
                </c:pt>
                <c:pt idx="14">
                  <c:v>0.0016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axId val="1272139183"/>
        <c:axId val="1326546959"/>
      </c:barChart>
      <c:catAx>
        <c:axId val="12721391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t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宋体" panose="02010600030101010101" charset="-122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57548594-ae74-4185-b311-baaf7b1ae891}"/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 baseline="0">
          <a:latin typeface="Times New Roman" panose="02020603050405020304" charset="0"/>
          <a:ea typeface="宋体" panose="02010600030101010101" charset="-122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0.43661</cdr:x>
      <cdr:y>0.29825</cdr:y>
    </cdr:from>
    <cdr:to>
      <cdr:x>0.56834</cdr:x>
      <cdr:y>0.41076</cdr:y>
    </cdr:to>
    <cdr:sp>
      <cdr:nvSpPr>
        <cdr:cNvPr id="2" name="椭圆 1"/>
        <cdr:cNvSpPr/>
      </cdr:nvSpPr>
      <cdr:spPr xmlns:a="http://schemas.openxmlformats.org/drawingml/2006/main">
        <a:xfrm xmlns:a="http://schemas.openxmlformats.org/drawingml/2006/main" rot="20847704">
          <a:off x="2797794" y="912652"/>
          <a:ext cx="844098" cy="344275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endParaRPr lang="zh-CN" sz="1000" baseline="0">
            <a:latin typeface="Times New Roman" panose="02020603050405020304" charset="0"/>
            <a:ea typeface="宋体" panose="02010600030101010101" charset="-122"/>
            <a:cs typeface="Times New Roman" panose="02020603050405020304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AB4299-EA2C-4CC2-9502-67152A61CA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2409</Words>
  <Characters>2707</Characters>
  <Lines>19</Lines>
  <Paragraphs>5</Paragraphs>
  <TotalTime>686</TotalTime>
  <ScaleCrop>false</ScaleCrop>
  <LinksUpToDate>false</LinksUpToDate>
  <CharactersWithSpaces>2712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2025-11-11T09:25:51Z</dcterms:modified>
  <cp:revision>883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eyJoZGlkIjoiMjFmNGNlNTgxMTU0YzBhMjY3NTRmNDcyYjNlZTNhMDciLCJ1c2VySWQiOiI0MzI5MTg4NDMifQ==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88889B3E37CE4843AB106E2F46444462_12</vt:lpwstr>
  </property>
</Properties>
</file>