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b/>
          <w:bCs/>
          <w:sz w:val="36"/>
          <w:szCs w:val="36"/>
          <w:lang w:val="en-US" w:eastAsia="zh-CN"/>
        </w:rPr>
      </w:pPr>
      <w:r>
        <w:rPr>
          <w:rFonts w:hint="eastAsia"/>
          <w:b/>
          <w:bCs/>
          <w:sz w:val="36"/>
          <w:szCs w:val="36"/>
          <w:lang w:val="en-US" w:eastAsia="zh-CN"/>
        </w:rPr>
        <w:t>内部订单</w:t>
      </w:r>
      <w:r>
        <w:rPr>
          <w:rFonts w:hint="eastAsia"/>
          <w:b/>
          <w:bCs/>
          <w:sz w:val="36"/>
          <w:szCs w:val="36"/>
          <w:lang w:val="en-US" w:eastAsia="zh-CN"/>
        </w:rPr>
        <w:br w:type="textWrapping"/>
      </w:r>
      <w:r>
        <w:rPr>
          <w:rFonts w:hint="eastAsia"/>
          <w:b/>
          <w:bCs/>
          <w:sz w:val="36"/>
          <w:szCs w:val="36"/>
          <w:lang w:val="en-US" w:eastAsia="zh-CN"/>
        </w:rPr>
        <w:t>第一章 基础功能</w:t>
      </w:r>
      <w:bookmarkStart w:id="0" w:name="_GoBack"/>
      <w:bookmarkEnd w:id="0"/>
    </w:p>
    <w:p>
      <w:pPr>
        <w:jc w:val="center"/>
        <w:rPr>
          <w:rFonts w:hint="default"/>
        </w:rPr>
      </w:pPr>
    </w:p>
    <w:p>
      <w:pPr>
        <w:rPr>
          <w:rFonts w:hint="default"/>
        </w:rPr>
      </w:pPr>
      <w:r>
        <w:drawing>
          <wp:inline distT="0" distB="0" distL="114300" distR="114300">
            <wp:extent cx="4578985" cy="2820035"/>
            <wp:effectExtent l="0" t="0" r="0" b="1841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clrChange>
                        <a:clrFrom>
                          <a:srgbClr val="FFFFFF">
                            <a:alpha val="100000"/>
                          </a:srgbClr>
                        </a:clrFrom>
                        <a:clrTo>
                          <a:srgbClr val="FFFFFF">
                            <a:alpha val="100000"/>
                            <a:alpha val="0"/>
                          </a:srgbClr>
                        </a:clrTo>
                      </a:clrChange>
                    </a:blip>
                    <a:stretch>
                      <a:fillRect/>
                    </a:stretch>
                  </pic:blipFill>
                  <pic:spPr>
                    <a:xfrm>
                      <a:off x="0" y="0"/>
                      <a:ext cx="4578985" cy="2820035"/>
                    </a:xfrm>
                    <a:prstGeom prst="rect">
                      <a:avLst/>
                    </a:prstGeom>
                  </pic:spPr>
                </pic:pic>
              </a:graphicData>
            </a:graphic>
          </wp:inline>
        </w:drawing>
      </w:r>
      <w:r>
        <w:rPr>
          <w:rFonts w:hint="default"/>
        </w:rPr>
        <w:br w:type="textWrapping"/>
      </w:r>
      <w:r>
        <w:rPr>
          <w:rFonts w:hint="default"/>
        </w:rPr>
        <w:br w:type="textWrapping"/>
      </w:r>
    </w:p>
    <w:p>
      <w:pPr>
        <w:rPr>
          <w:rFonts w:hint="default"/>
        </w:rPr>
      </w:pPr>
      <w:r>
        <w:rPr>
          <w:rFonts w:hint="default"/>
        </w:rPr>
        <w:t>背景需求：</w:t>
      </w:r>
    </w:p>
    <w:p>
      <w:pPr>
        <w:rPr>
          <w:rFonts w:hint="default"/>
        </w:rPr>
      </w:pPr>
      <w:r>
        <w:rPr>
          <w:rFonts w:hint="default"/>
        </w:rPr>
        <w:t>1. ZTABC公司有4个部门，对应4个成本中心。</w:t>
      </w:r>
    </w:p>
    <w:p>
      <w:pPr>
        <w:rPr>
          <w:rFonts w:hint="default"/>
        </w:rPr>
      </w:pPr>
      <w:r>
        <w:rPr>
          <w:rFonts w:hint="default"/>
        </w:rPr>
        <w:t>2. 公司为4个部门提供午餐，每月食堂费用最终按部门月末人数来分摊成本。</w:t>
      </w:r>
    </w:p>
    <w:p>
      <w:pPr>
        <w:rPr>
          <w:rFonts w:hint="default"/>
        </w:rPr>
      </w:pPr>
      <w:r>
        <w:rPr>
          <w:rFonts w:hint="default"/>
        </w:rPr>
        <w:t>3. 某月食堂合计发生费用9万元</w:t>
      </w:r>
    </w:p>
    <w:p>
      <w:pPr>
        <w:rPr>
          <w:rFonts w:hint="default"/>
        </w:rPr>
      </w:pPr>
    </w:p>
    <w:p>
      <w:pPr>
        <w:rPr>
          <w:rFonts w:hint="default"/>
        </w:rPr>
      </w:pPr>
      <w:r>
        <w:rPr>
          <w:rFonts w:hint="default"/>
        </w:rPr>
        <w:t>问题：如何把食堂费用分摊到每个部门中？</w:t>
      </w:r>
    </w:p>
    <w:p>
      <w:pPr>
        <w:rPr>
          <w:rFonts w:hint="default"/>
        </w:rPr>
      </w:pPr>
    </w:p>
    <w:p>
      <w:pPr>
        <w:rPr>
          <w:rFonts w:hint="default"/>
        </w:rPr>
      </w:pPr>
    </w:p>
    <w:p>
      <w:pPr>
        <w:rPr>
          <w:rFonts w:hint="default"/>
        </w:rPr>
      </w:pPr>
      <w: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991235</wp:posOffset>
                </wp:positionV>
                <wp:extent cx="1476375" cy="168910"/>
                <wp:effectExtent l="6350" t="6350" r="22225" b="15240"/>
                <wp:wrapNone/>
                <wp:docPr id="20" name="矩形 19"/>
                <wp:cNvGraphicFramePr/>
                <a:graphic xmlns:a="http://schemas.openxmlformats.org/drawingml/2006/main">
                  <a:graphicData uri="http://schemas.microsoft.com/office/word/2010/wordprocessingShape">
                    <wps:wsp>
                      <wps:cNvSpPr/>
                      <wps:spPr>
                        <a:xfrm>
                          <a:off x="0" y="0"/>
                          <a:ext cx="1476375" cy="168910"/>
                        </a:xfrm>
                        <a:prstGeom prst="rect">
                          <a:avLst/>
                        </a:prstGeom>
                        <a:noFill/>
                        <a:ln>
                          <a:solidFill>
                            <a:srgbClr val="C00000"/>
                          </a:solidFill>
                        </a:ln>
                      </wps:spPr>
                      <wps:style>
                        <a:lnRef idx="2">
                          <a:schemeClr val="accent6"/>
                        </a:lnRef>
                        <a:fillRef idx="1">
                          <a:schemeClr val="lt1"/>
                        </a:fillRef>
                        <a:effectRef idx="0">
                          <a:schemeClr val="accent6"/>
                        </a:effectRef>
                        <a:fontRef idx="minor">
                          <a:schemeClr val="dk1"/>
                        </a:fontRef>
                      </wps:style>
                      <wps:bodyPr rtlCol="0" anchor="ctr"/>
                    </wps:wsp>
                  </a:graphicData>
                </a:graphic>
              </wp:anchor>
            </w:drawing>
          </mc:Choice>
          <mc:Fallback>
            <w:pict>
              <v:rect id="矩形 19" o:spid="_x0000_s1026" o:spt="1" style="position:absolute;left:0pt;margin-left:-1.5pt;margin-top:78.05pt;height:13.3pt;width:116.25pt;z-index:251660288;v-text-anchor:middle;mso-width-relative:page;mso-height-relative:page;" filled="f" stroked="t" coordsize="21600,21600" o:gfxdata="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fVUjXYAAAACgEAAA8AAAAAAAAAAQAgAAAAIgAAAGRycy9kb3ducmV2LnhtbFBLAQIUABQAAAAI&#10;AIdO4kD+QHmY7QEAAMgDAAAOAAAAAAAAAAEAIAAAACcBAABkcnMvZTJvRG9jLnhtbFBLBQYAAAAA&#10;BgAGAFkBAACGBQAAAAA=&#10;">
                <v:fill on="f" focussize="0,0"/>
                <v:stroke weight="1pt" color="#C00000 [3209]" miterlimit="8" joinstyle="miter"/>
                <v:imagedata o:title=""/>
                <o:lock v:ext="edit" aspectratio="f"/>
              </v:rect>
            </w:pict>
          </mc:Fallback>
        </mc:AlternateContent>
      </w:r>
      <w:r>
        <w:rPr>
          <w:rFonts w:hint="default"/>
        </w:rPr>
        <w:t>通过T-Code KO01创建内部订单主数据</w:t>
      </w:r>
      <w:r>
        <w:rPr>
          <w:rFonts w:hint="default"/>
        </w:rPr>
        <w:br w:type="textWrapping"/>
      </w:r>
      <w:r>
        <w:drawing>
          <wp:inline distT="0" distB="0" distL="114300" distR="114300">
            <wp:extent cx="2413635" cy="1457325"/>
            <wp:effectExtent l="0" t="0" r="571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5"/>
                    <a:stretch>
                      <a:fillRect/>
                    </a:stretch>
                  </pic:blipFill>
                  <pic:spPr>
                    <a:xfrm>
                      <a:off x="0" y="0"/>
                      <a:ext cx="2413635" cy="1457325"/>
                    </a:xfrm>
                    <a:prstGeom prst="rect">
                      <a:avLst/>
                    </a:prstGeom>
                  </pic:spPr>
                </pic:pic>
              </a:graphicData>
            </a:graphic>
          </wp:inline>
        </w:drawing>
      </w:r>
      <w:r>
        <mc:AlternateContent>
          <mc:Choice Requires="wps">
            <w:drawing>
              <wp:anchor distT="0" distB="0" distL="114300" distR="114300" simplePos="0" relativeHeight="251662336" behindDoc="0" locked="0" layoutInCell="1" allowOverlap="1">
                <wp:simplePos x="0" y="0"/>
                <wp:positionH relativeFrom="column">
                  <wp:posOffset>57150</wp:posOffset>
                </wp:positionH>
                <wp:positionV relativeFrom="paragraph">
                  <wp:posOffset>1769110</wp:posOffset>
                </wp:positionV>
                <wp:extent cx="2001520" cy="109855"/>
                <wp:effectExtent l="6350" t="6350" r="11430" b="17145"/>
                <wp:wrapNone/>
                <wp:docPr id="9" name="矩形 8"/>
                <wp:cNvGraphicFramePr/>
                <a:graphic xmlns:a="http://schemas.openxmlformats.org/drawingml/2006/main">
                  <a:graphicData uri="http://schemas.microsoft.com/office/word/2010/wordprocessingShape">
                    <wps:wsp>
                      <wps:cNvSpPr/>
                      <wps:spPr>
                        <a:xfrm>
                          <a:off x="0" y="0"/>
                          <a:ext cx="2001520" cy="109855"/>
                        </a:xfrm>
                        <a:prstGeom prst="rect">
                          <a:avLst/>
                        </a:prstGeom>
                        <a:noFill/>
                        <a:ln>
                          <a:solidFill>
                            <a:srgbClr val="C00000"/>
                          </a:solidFill>
                        </a:ln>
                      </wps:spPr>
                      <wps:style>
                        <a:lnRef idx="2">
                          <a:schemeClr val="accent6"/>
                        </a:lnRef>
                        <a:fillRef idx="1">
                          <a:schemeClr val="lt1"/>
                        </a:fillRef>
                        <a:effectRef idx="0">
                          <a:schemeClr val="accent6"/>
                        </a:effectRef>
                        <a:fontRef idx="minor">
                          <a:schemeClr val="dk1"/>
                        </a:fontRef>
                      </wps:style>
                      <wps:bodyPr rtlCol="0" anchor="ctr"/>
                    </wps:wsp>
                  </a:graphicData>
                </a:graphic>
              </wp:anchor>
            </w:drawing>
          </mc:Choice>
          <mc:Fallback>
            <w:pict>
              <v:rect id="矩形 8" o:spid="_x0000_s1026" o:spt="1" style="position:absolute;left:0pt;margin-left:4.5pt;margin-top:139.3pt;height:8.65pt;width:157.6pt;z-index:251662336;v-text-anchor:middle;mso-width-relative:page;mso-height-relative:page;" filled="f" stroked="t" coordsize="21600,21600" o:gfxdata="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9DoQ&#10;NtgAAAAJAQAADwAAAAAAAAABACAAAAAiAAAAZHJzL2Rvd25yZXYueG1sUEsBAhQAFAAAAAgAh07i&#10;QKjIuhHpAQAAxgMAAA4AAAAAAAAAAQAgAAAAJwEAAGRycy9lMm9Eb2MueG1sUEsFBgAAAAAGAAYA&#10;WQEAAIIFAAAAAA==&#10;">
                <v:fill on="f" focussize="0,0"/>
                <v:stroke weight="1pt" color="#C00000 [3209]" miterlimit="8" joinstyle="miter"/>
                <v:imagedata o:title=""/>
                <o:lock v:ext="edit" aspectratio="f"/>
              </v:rect>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57150</wp:posOffset>
                </wp:positionH>
                <wp:positionV relativeFrom="paragraph">
                  <wp:posOffset>1253490</wp:posOffset>
                </wp:positionV>
                <wp:extent cx="1476375" cy="139700"/>
                <wp:effectExtent l="6350" t="6350" r="22225" b="6350"/>
                <wp:wrapNone/>
                <wp:docPr id="10" name="矩形 9"/>
                <wp:cNvGraphicFramePr/>
                <a:graphic xmlns:a="http://schemas.openxmlformats.org/drawingml/2006/main">
                  <a:graphicData uri="http://schemas.microsoft.com/office/word/2010/wordprocessingShape">
                    <wps:wsp>
                      <wps:cNvSpPr/>
                      <wps:spPr>
                        <a:xfrm>
                          <a:off x="0" y="0"/>
                          <a:ext cx="1476375" cy="139700"/>
                        </a:xfrm>
                        <a:prstGeom prst="rect">
                          <a:avLst/>
                        </a:prstGeom>
                        <a:noFill/>
                        <a:ln>
                          <a:solidFill>
                            <a:srgbClr val="C00000"/>
                          </a:solidFill>
                        </a:ln>
                      </wps:spPr>
                      <wps:style>
                        <a:lnRef idx="2">
                          <a:schemeClr val="accent6"/>
                        </a:lnRef>
                        <a:fillRef idx="1">
                          <a:schemeClr val="lt1"/>
                        </a:fillRef>
                        <a:effectRef idx="0">
                          <a:schemeClr val="accent6"/>
                        </a:effectRef>
                        <a:fontRef idx="minor">
                          <a:schemeClr val="dk1"/>
                        </a:fontRef>
                      </wps:style>
                      <wps:bodyPr rtlCol="0" anchor="ctr"/>
                    </wps:wsp>
                  </a:graphicData>
                </a:graphic>
              </wp:anchor>
            </w:drawing>
          </mc:Choice>
          <mc:Fallback>
            <w:pict>
              <v:rect id="矩形 9" o:spid="_x0000_s1026" o:spt="1" style="position:absolute;left:0pt;margin-left:4.5pt;margin-top:98.7pt;height:11pt;width:116.25pt;z-index:251661312;v-text-anchor:middle;mso-width-relative:page;mso-height-relative:page;" filled="f" stroked="t" coordsize="21600,21600" o:gfxdata="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g&#10;g7J02AAAAAkBAAAPAAAAAAAAAAEAIAAAACIAAABkcnMvZG93bnJldi54bWxQSwECFAAUAAAACACH&#10;TuJAakveG+sBAADHAwAADgAAAAAAAAABACAAAAAnAQAAZHJzL2Uyb0RvYy54bWxQSwUGAAAAAAYA&#10;BgBZAQAAhAUAAAAA&#10;">
                <v:fill on="f" focussize="0,0"/>
                <v:stroke weight="1pt" color="#C00000 [3209]" miterlimit="8" joinstyle="miter"/>
                <v:imagedata o:title=""/>
                <o:lock v:ext="edit" aspectratio="f"/>
              </v:rect>
            </w:pict>
          </mc:Fallback>
        </mc:AlternateContent>
      </w:r>
      <w:r>
        <w:drawing>
          <wp:inline distT="0" distB="0" distL="114300" distR="114300">
            <wp:extent cx="3745865" cy="3091815"/>
            <wp:effectExtent l="0" t="0" r="6985" b="1333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3745865" cy="3091815"/>
                    </a:xfrm>
                    <a:prstGeom prst="rect">
                      <a:avLst/>
                    </a:prstGeom>
                  </pic:spPr>
                </pic:pic>
              </a:graphicData>
            </a:graphic>
          </wp:inline>
        </w:drawing>
      </w:r>
    </w:p>
    <w:p>
      <w:pPr>
        <w:numPr>
          <w:ilvl w:val="0"/>
          <w:numId w:val="1"/>
        </w:numPr>
        <w:ind w:left="420" w:leftChars="0" w:hanging="420" w:firstLineChars="0"/>
        <w:rPr>
          <w:rFonts w:hint="default"/>
        </w:rPr>
      </w:pPr>
      <w:r>
        <w:rPr>
          <w:rFonts w:hint="default"/>
        </w:rPr>
        <w:t>Order Type订单类型</w:t>
      </w:r>
      <w:r>
        <w:rPr>
          <w:rFonts w:hint="default"/>
        </w:rPr>
        <w:br w:type="textWrapping"/>
      </w:r>
      <w:r>
        <w:rPr>
          <w:rFonts w:hint="default"/>
        </w:rPr>
        <w:t>业务上根据不同的分类设置不同的订单类型，订单类型主要控制</w:t>
      </w:r>
      <w:r>
        <w:rPr>
          <w:rFonts w:hint="default"/>
        </w:rPr>
        <w:br w:type="textWrapping"/>
      </w:r>
      <w:r>
        <w:rPr>
          <w:rFonts w:hint="default"/>
        </w:rPr>
        <w:t>(1) 结算逻辑(通过分配结算文件配置）</w:t>
      </w:r>
      <w:r>
        <w:rPr>
          <w:rFonts w:hint="default"/>
        </w:rPr>
        <w:br w:type="textWrapping"/>
      </w:r>
      <w:r>
        <w:rPr>
          <w:rFonts w:hint="default"/>
        </w:rPr>
        <w:t>(2) 预算逻辑(通过分配预算配置文件)</w:t>
      </w:r>
      <w:r>
        <w:rPr>
          <w:rFonts w:hint="default"/>
        </w:rPr>
        <w:br w:type="textWrapping"/>
      </w:r>
      <w:r>
        <w:rPr>
          <w:rFonts w:hint="default"/>
        </w:rPr>
        <w:t>(3) 内部订单的号码段</w:t>
      </w:r>
      <w:r>
        <w:rPr>
          <w:rFonts w:hint="default"/>
        </w:rPr>
        <w:br w:type="textWrapping"/>
      </w:r>
      <w:r>
        <w:rPr>
          <w:rFonts w:hint="default"/>
        </w:rPr>
        <w:t>(4) 默认相关的主数据参数（如是否允许收入过账等）及屏幕字段</w:t>
      </w:r>
      <w:r>
        <w:rPr>
          <w:rFonts w:hint="default"/>
        </w:rPr>
        <w:br w:type="textWrapping"/>
      </w:r>
      <w:r>
        <w:rPr>
          <w:rFonts w:hint="default"/>
        </w:rPr>
        <w:t>(5) 状态的控制(通过分配状态文件配置）</w:t>
      </w:r>
    </w:p>
    <w:p>
      <w:pPr>
        <w:numPr>
          <w:ilvl w:val="0"/>
          <w:numId w:val="1"/>
        </w:numPr>
        <w:ind w:left="420" w:leftChars="0" w:hanging="420" w:firstLineChars="0"/>
        <w:rPr>
          <w:rFonts w:hint="default"/>
        </w:rPr>
      </w:pPr>
      <w:r>
        <w:rPr>
          <w:rFonts w:hint="default"/>
        </w:rPr>
        <w:t>Company Code</w:t>
      </w:r>
      <w:r>
        <w:rPr>
          <w:rFonts w:hint="default"/>
        </w:rPr>
        <w:br w:type="textWrapping"/>
      </w:r>
      <w:r>
        <w:rPr>
          <w:rFonts w:hint="default"/>
        </w:rPr>
        <w:t>如果维护公司代码，，则该内部订单只限定在指定的公司代码。</w:t>
      </w:r>
    </w:p>
    <w:p>
      <w:pPr>
        <w:numPr>
          <w:ilvl w:val="0"/>
          <w:numId w:val="1"/>
        </w:numPr>
        <w:ind w:left="420" w:leftChars="0" w:hanging="420" w:firstLineChars="0"/>
        <w:rPr>
          <w:rFonts w:hint="default"/>
        </w:rPr>
      </w:pPr>
      <w:r>
        <w:rPr>
          <w:rFonts w:hint="default"/>
        </w:rPr>
        <w:t>Object Class</w:t>
      </w:r>
      <w:r>
        <w:rPr>
          <w:rFonts w:hint="default"/>
        </w:rPr>
        <w:br w:type="textWrapping"/>
      </w:r>
      <w:r>
        <w:rPr>
          <w:rFonts w:hint="default"/>
        </w:rPr>
        <w:t>CO模块内部对不同成本对象的分类，这些分类决定了成本对象结算后的状态。其主要有四类：</w:t>
      </w:r>
      <w:r>
        <w:rPr>
          <w:rFonts w:hint="default"/>
        </w:rPr>
        <w:br w:type="textWrapping"/>
      </w:r>
      <w:r>
        <w:rPr>
          <w:rFonts w:hint="default"/>
        </w:rPr>
        <w:t>(1) OCOST Overhead</w:t>
      </w:r>
      <w:r>
        <w:rPr>
          <w:rFonts w:hint="default"/>
        </w:rPr>
        <w:br w:type="textWrapping"/>
      </w:r>
      <w:r>
        <w:rPr>
          <w:rFonts w:hint="default"/>
        </w:rPr>
        <w:t xml:space="preserve">  主要用于费用的归集，结算后借贷金额相等，余额为零。成本中心，内部订单均属于此类。</w:t>
      </w:r>
      <w:r>
        <w:rPr>
          <w:rFonts w:hint="default"/>
        </w:rPr>
        <w:br w:type="textWrapping"/>
      </w:r>
      <w:r>
        <w:rPr>
          <w:rFonts w:hint="default"/>
        </w:rPr>
        <w:t>(2) INVST Investment</w:t>
      </w:r>
      <w:r>
        <w:rPr>
          <w:rFonts w:hint="default"/>
        </w:rPr>
        <w:br w:type="textWrapping"/>
      </w:r>
      <w:r>
        <w:rPr>
          <w:rFonts w:hint="default"/>
        </w:rPr>
        <w:t xml:space="preserve">   用于把归集的成本结转到在建工程，结算后余额转入到资产类别。</w:t>
      </w:r>
      <w:r>
        <w:rPr>
          <w:rFonts w:hint="default"/>
        </w:rPr>
        <w:br w:type="textWrapping"/>
      </w:r>
      <w:r>
        <w:rPr>
          <w:rFonts w:hint="default"/>
        </w:rPr>
        <w:t xml:space="preserve">      内部订单，WBS属于此类。</w:t>
      </w:r>
      <w:r>
        <w:rPr>
          <w:rFonts w:hint="default"/>
        </w:rPr>
        <w:br w:type="textWrapping"/>
      </w:r>
      <w:r>
        <w:rPr>
          <w:rFonts w:hint="default"/>
        </w:rPr>
        <w:t>(3) PRODT Production</w:t>
      </w:r>
      <w:r>
        <w:rPr>
          <w:rFonts w:hint="default"/>
        </w:rPr>
        <w:br w:type="textWrapping"/>
      </w:r>
      <w:r>
        <w:rPr>
          <w:rFonts w:hint="default"/>
        </w:rPr>
        <w:t xml:space="preserve">      主要用于生产类业务，结算后余额通常结转到物料上(成品或者在制品)。</w:t>
      </w:r>
      <w:r>
        <w:rPr>
          <w:rFonts w:hint="default"/>
        </w:rPr>
        <w:br w:type="textWrapping"/>
      </w:r>
      <w:r>
        <w:rPr>
          <w:rFonts w:hint="default"/>
        </w:rPr>
        <w:t xml:space="preserve">      PP模块的生产订单，CO模块的生产订单属于此类。</w:t>
      </w:r>
      <w:r>
        <w:rPr>
          <w:rFonts w:hint="default"/>
        </w:rPr>
        <w:br w:type="textWrapping"/>
      </w:r>
      <w:r>
        <w:rPr>
          <w:rFonts w:hint="default"/>
        </w:rPr>
        <w:t>(4) PROFT Earning/Sales</w:t>
      </w:r>
      <w:r>
        <w:rPr>
          <w:rFonts w:hint="default"/>
        </w:rPr>
        <w:br w:type="textWrapping"/>
      </w:r>
      <w:r>
        <w:rPr>
          <w:rFonts w:hint="default"/>
        </w:rPr>
        <w:t xml:space="preserve">      主要用于原因RA分析，结算后以结果分析过账来体现。</w:t>
      </w:r>
      <w:r>
        <w:rPr>
          <w:rFonts w:hint="default"/>
        </w:rPr>
        <w:br w:type="textWrapping"/>
      </w:r>
      <w:r>
        <w:rPr>
          <w:rFonts w:hint="default"/>
        </w:rPr>
        <w:t xml:space="preserve">       内部订单，WBS属于此类。</w:t>
      </w:r>
      <w:r>
        <w:rPr>
          <w:rFonts w:hint="default"/>
        </w:rPr>
        <w:br w:type="textWrapping"/>
      </w:r>
      <w:r>
        <w:rPr>
          <w:rFonts w:hint="default"/>
        </w:rPr>
        <w:br w:type="textWrapping"/>
      </w:r>
      <w:r>
        <w:drawing>
          <wp:inline distT="0" distB="0" distL="114300" distR="114300">
            <wp:extent cx="5267325" cy="1818640"/>
            <wp:effectExtent l="0" t="0" r="9525" b="1016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7"/>
                    <a:stretch>
                      <a:fillRect/>
                    </a:stretch>
                  </pic:blipFill>
                  <pic:spPr>
                    <a:xfrm>
                      <a:off x="0" y="0"/>
                      <a:ext cx="5267325" cy="1818640"/>
                    </a:xfrm>
                    <a:prstGeom prst="rect">
                      <a:avLst/>
                    </a:prstGeom>
                    <a:noFill/>
                    <a:ln>
                      <a:noFill/>
                    </a:ln>
                  </pic:spPr>
                </pic:pic>
              </a:graphicData>
            </a:graphic>
          </wp:inline>
        </w:drawing>
      </w:r>
      <w:r>
        <w:rPr>
          <w:rFonts w:hint="default"/>
        </w:rPr>
        <w:br w:type="textWrapping"/>
      </w:r>
    </w:p>
    <w:p>
      <w:pPr>
        <w:numPr>
          <w:ilvl w:val="0"/>
          <w:numId w:val="1"/>
        </w:numPr>
        <w:ind w:left="420" w:leftChars="0" w:hanging="420" w:firstLineChars="0"/>
        <w:rPr>
          <w:rFonts w:hint="default"/>
        </w:rPr>
      </w:pPr>
      <w:r>
        <w:rPr>
          <w:rFonts w:hint="default"/>
        </w:rPr>
        <w:t>1 System Status</w:t>
      </w:r>
      <w:r>
        <w:rPr>
          <w:rFonts w:hint="default"/>
        </w:rPr>
        <w:br w:type="textWrapping"/>
      </w:r>
      <w:r>
        <w:rPr>
          <w:rFonts w:hint="default"/>
        </w:rPr>
        <w:t>通过订单状态配置来管理，系统通过不同的状态来控制内部订单不同阶段的功能。例如CRTD状态代表初始化状态，此时该状态无法对该内部订单过账。而当我们点击Release按钮后，系统则变为REL状态，那么系统才能允许对该内部订单过账。</w:t>
      </w:r>
    </w:p>
    <w:p>
      <w:pPr>
        <w:numPr>
          <w:ilvl w:val="0"/>
          <w:numId w:val="1"/>
        </w:numPr>
        <w:ind w:left="420" w:leftChars="0" w:hanging="420" w:firstLineChars="0"/>
        <w:rPr>
          <w:rFonts w:hint="default"/>
        </w:rPr>
      </w:pPr>
      <w:r>
        <w:rPr>
          <w:rFonts w:hint="default"/>
        </w:rPr>
        <w:t>2 Statistical Order</w:t>
      </w:r>
      <w:r>
        <w:rPr>
          <w:rFonts w:hint="default"/>
        </w:rPr>
        <w:br w:type="textWrapping"/>
      </w:r>
      <w:r>
        <w:rPr>
          <w:rFonts w:hint="default"/>
        </w:rPr>
        <w:t>统计性内部订单，意味着该内部订单仅仅是出于报表目的的统计作用，而不具备常规成本对象总的费用内部流转结算的功能。</w:t>
      </w:r>
    </w:p>
    <w:p>
      <w:pPr>
        <w:numPr>
          <w:ilvl w:val="0"/>
          <w:numId w:val="1"/>
        </w:numPr>
        <w:ind w:left="420" w:leftChars="0" w:hanging="420" w:firstLineChars="0"/>
        <w:rPr>
          <w:rFonts w:hint="default"/>
        </w:rPr>
      </w:pPr>
      <w:r>
        <w:rPr>
          <w:rFonts w:hint="default"/>
        </w:rPr>
        <w:t>3 Actual Posted CCtr</w:t>
      </w:r>
      <w:r>
        <w:rPr>
          <w:rFonts w:hint="default"/>
        </w:rPr>
        <w:br w:type="textWrapping"/>
      </w:r>
      <w:r>
        <w:rPr>
          <w:rFonts w:hint="default"/>
        </w:rPr>
        <w:t>该字段和统计性内部订单配套使用。当内部订单设置为统计型时，而该字段维护了成本中心，那么前台过账放入内部订单系统自动带出该默认的成本中心，也即过账时实际过账到该成本中心，统计过账到该内部订单。</w:t>
      </w:r>
    </w:p>
    <w:p>
      <w:pPr>
        <w:numPr>
          <w:ilvl w:val="0"/>
          <w:numId w:val="1"/>
        </w:numPr>
        <w:ind w:left="420" w:leftChars="0" w:hanging="420" w:firstLineChars="0"/>
        <w:rPr>
          <w:rFonts w:hint="default"/>
        </w:rPr>
      </w:pPr>
      <w:r>
        <w:rPr>
          <w:rFonts w:hint="default"/>
        </w:rPr>
        <w:t>4 Revenue posting</w:t>
      </w:r>
      <w:r>
        <w:rPr>
          <w:rFonts w:hint="default"/>
        </w:rPr>
        <w:br w:type="textWrapping"/>
      </w:r>
      <w:r>
        <w:rPr>
          <w:rFonts w:hint="default"/>
        </w:rPr>
        <w:t>打钩则允许收入类成本要素（11类型）过账到该内部订单。</w:t>
      </w:r>
    </w:p>
    <w:p>
      <w:pPr>
        <w:numPr>
          <w:ilvl w:val="0"/>
          <w:numId w:val="1"/>
        </w:numPr>
        <w:ind w:left="420" w:leftChars="0" w:hanging="420" w:firstLineChars="0"/>
        <w:rPr>
          <w:rFonts w:hint="default"/>
        </w:rPr>
      </w:pPr>
      <w:r>
        <w:rPr>
          <w:rFonts w:hint="default"/>
        </w:rPr>
        <w:t>5 Commitment Update</w:t>
      </w:r>
      <w:r>
        <w:rPr>
          <w:rFonts w:hint="default"/>
        </w:rPr>
        <w:br w:type="textWrapping"/>
      </w:r>
      <w:r>
        <w:rPr>
          <w:rFonts w:hint="default"/>
        </w:rPr>
        <w:t>承诺更新主要用于是否在创建类似采购申请的时候占用内部订单的预算金额。</w:t>
      </w:r>
    </w:p>
    <w:p>
      <w:pPr>
        <w:rPr>
          <w:rFonts w:hint="default"/>
        </w:rPr>
      </w:pPr>
    </w:p>
    <w:p>
      <w:pPr>
        <w:rPr>
          <w:rFonts w:hint="default"/>
        </w:rPr>
      </w:pPr>
    </w:p>
    <w:p>
      <w:pPr>
        <w:rPr>
          <w:rFonts w:hint="default" w:eastAsiaTheme="minorEastAsia"/>
          <w:lang w:val="en-US" w:eastAsia="zh-CN"/>
        </w:rPr>
      </w:pPr>
      <w:r>
        <w:drawing>
          <wp:inline distT="0" distB="0" distL="114300" distR="114300">
            <wp:extent cx="5271135" cy="1833880"/>
            <wp:effectExtent l="0" t="0" r="5715" b="1397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8"/>
                    <a:stretch>
                      <a:fillRect/>
                    </a:stretch>
                  </pic:blipFill>
                  <pic:spPr>
                    <a:xfrm>
                      <a:off x="0" y="0"/>
                      <a:ext cx="5271135" cy="1833880"/>
                    </a:xfrm>
                    <a:prstGeom prst="rect">
                      <a:avLst/>
                    </a:prstGeom>
                    <a:noFill/>
                    <a:ln>
                      <a:noFill/>
                    </a:ln>
                  </pic:spPr>
                </pic:pic>
              </a:graphicData>
            </a:graphic>
          </wp:inline>
        </w:drawing>
      </w:r>
    </w:p>
    <w:p>
      <w:pPr>
        <w:rPr>
          <w:rFonts w:hint="default"/>
        </w:rPr>
      </w:pPr>
    </w:p>
    <w:p>
      <w:pPr>
        <w:rPr>
          <w:rFonts w:hint="default"/>
        </w:rPr>
      </w:pPr>
      <w:r>
        <w:rPr>
          <w:rFonts w:hint="default"/>
        </w:rPr>
        <w:t>在菜单中找到”结算规则”，则进入内部订单最重要的功能之一，设置归集费用的结转规则，也即费用先进入到内部订单，然后通过此处的规则再结转到其他对象。</w:t>
      </w:r>
      <w:r>
        <w:rPr>
          <w:rFonts w:hint="default"/>
        </w:rPr>
        <w:br w:type="textWrapping"/>
      </w:r>
    </w:p>
    <w:p>
      <w:pPr>
        <w:rPr>
          <w:rFonts w:hint="default"/>
        </w:rPr>
      </w:pPr>
      <w:r>
        <w:rPr>
          <w:rFonts w:hint="default"/>
        </w:rPr>
        <w:t>1 &amp; 2 两个字段组合使用，例如当1输入CTR则代表接收方是成本中心，那么2需要输入成本中心，代表接收方是成本中心。此处除了成本中心，还可以是其他业务对象，例如内部订单，WBS，获利段，固定资产等。</w:t>
      </w:r>
      <w:r>
        <w:rPr>
          <w:rFonts w:hint="default"/>
        </w:rPr>
        <w:br w:type="textWrapping"/>
      </w:r>
    </w:p>
    <w:p>
      <w:pPr>
        <w:rPr>
          <w:rFonts w:hint="default"/>
        </w:rPr>
      </w:pPr>
      <w:r>
        <w:rPr>
          <w:rFonts w:hint="default"/>
        </w:rPr>
        <w:t>3 &amp; 4 定义了归集的费用按什么比例分配到接收方的对象中，该两个字段为2选1，也即在3输入百分比则系统按指定的百分比结转，或者在4直接输入某个业务量（例如本案例的人数）则系统按照人数对应的权重来分配。</w:t>
      </w:r>
      <w:r>
        <w:rPr>
          <w:rFonts w:hint="default"/>
        </w:rPr>
        <w:br w:type="textWrapping"/>
      </w:r>
    </w:p>
    <w:p>
      <w:pPr>
        <w:rPr>
          <w:rFonts w:hint="default"/>
        </w:rPr>
      </w:pPr>
      <w:r>
        <w:rPr>
          <w:rFonts w:hint="default"/>
        </w:rPr>
        <w:t>5则设定了是按期间结转PER还是全部结转FUL，例如某订单1月份有费用100元，2月份有费用200元，如果选择PER，当执行KO88结转时输入2月份则结转2月份的200元，而不考虑1月份的100元。如果选择了FUL，则KO88输入2月份时，1月和2月都会考虑。</w:t>
      </w:r>
    </w:p>
    <w:p>
      <w:pPr>
        <w:rPr>
          <w:rFonts w:hint="default"/>
        </w:rPr>
      </w:pPr>
    </w:p>
    <w:p>
      <w:pPr>
        <w:rPr>
          <w:rFonts w:hint="default"/>
        </w:rPr>
      </w:pPr>
      <w:r>
        <w:rPr>
          <w:rFonts w:hint="default"/>
        </w:rPr>
        <w:t>(1) 通过采购模块或者FI模块过账一笔实际费用（如下图用过F-02过账到内部订单500200)</w:t>
      </w:r>
    </w:p>
    <w:p>
      <w:pPr>
        <w:rPr>
          <w:rFonts w:hint="default"/>
        </w:rPr>
      </w:pPr>
      <w: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5205730" cy="1562100"/>
            <wp:effectExtent l="0" t="0" r="13970" b="0"/>
            <wp:wrapNone/>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9"/>
                    <a:stretch>
                      <a:fillRect/>
                    </a:stretch>
                  </pic:blipFill>
                  <pic:spPr>
                    <a:xfrm>
                      <a:off x="0" y="0"/>
                      <a:ext cx="5205730" cy="156210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column">
                  <wp:posOffset>2554605</wp:posOffset>
                </wp:positionH>
                <wp:positionV relativeFrom="paragraph">
                  <wp:posOffset>1184275</wp:posOffset>
                </wp:positionV>
                <wp:extent cx="464185" cy="128905"/>
                <wp:effectExtent l="6350" t="6350" r="24765" b="17145"/>
                <wp:wrapNone/>
                <wp:docPr id="12" name="矩形 5"/>
                <wp:cNvGraphicFramePr/>
                <a:graphic xmlns:a="http://schemas.openxmlformats.org/drawingml/2006/main">
                  <a:graphicData uri="http://schemas.microsoft.com/office/word/2010/wordprocessingShape">
                    <wps:wsp>
                      <wps:cNvSpPr/>
                      <wps:spPr>
                        <a:xfrm>
                          <a:off x="0" y="0"/>
                          <a:ext cx="464185" cy="128905"/>
                        </a:xfrm>
                        <a:prstGeom prst="rect">
                          <a:avLst/>
                        </a:prstGeom>
                        <a:noFill/>
                        <a:ln>
                          <a:solidFill>
                            <a:srgbClr val="C00000"/>
                          </a:solidFill>
                        </a:ln>
                      </wps:spPr>
                      <wps:style>
                        <a:lnRef idx="2">
                          <a:schemeClr val="accent6"/>
                        </a:lnRef>
                        <a:fillRef idx="1">
                          <a:schemeClr val="lt1"/>
                        </a:fillRef>
                        <a:effectRef idx="0">
                          <a:schemeClr val="accent6"/>
                        </a:effectRef>
                        <a:fontRef idx="minor">
                          <a:schemeClr val="dk1"/>
                        </a:fontRef>
                      </wps:style>
                      <wps:bodyPr rtlCol="0" anchor="ctr"/>
                    </wps:wsp>
                  </a:graphicData>
                </a:graphic>
              </wp:anchor>
            </w:drawing>
          </mc:Choice>
          <mc:Fallback>
            <w:pict>
              <v:rect id="矩形 5" o:spid="_x0000_s1026" o:spt="1" style="position:absolute;left:0pt;margin-left:201.15pt;margin-top:93.25pt;height:10.15pt;width:36.55pt;z-index:251664384;v-text-anchor:middle;mso-width-relative:page;mso-height-relative:page;" filled="f" stroked="t" coordsize="21600,21600" o:gfxdata="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MNndINoAAAALAQAADwAAAAAAAAABACAAAAAiAAAAZHJzL2Rvd25yZXYueG1sUEsBAhQAFAAAAAgA&#10;h07iQHE7HSXqAQAAxgMAAA4AAAAAAAAAAQAgAAAAKQEAAGRycy9lMm9Eb2MueG1sUEsFBgAAAAAG&#10;AAYAWQEAAIUFAAAAAA==&#10;">
                <v:fill on="f" focussize="0,0"/>
                <v:stroke weight="1pt" color="#C00000 [3209]" miterlimit="8" joinstyle="miter"/>
                <v:imagedata o:title=""/>
                <o:lock v:ext="edit" aspectratio="f"/>
              </v:rect>
            </w:pict>
          </mc:Fallback>
        </mc:AlternateContent>
      </w:r>
    </w:p>
    <w:p>
      <w:pPr>
        <w:rPr>
          <w:rFonts w:hint="default"/>
        </w:rPr>
      </w:pPr>
    </w:p>
    <w:p>
      <w:pPr>
        <w:rPr>
          <w:rFonts w:hint="default"/>
        </w:rPr>
      </w:pPr>
    </w:p>
    <w:p>
      <w:pPr>
        <w:rPr>
          <w:rFonts w:hint="default"/>
        </w:rPr>
      </w:pPr>
    </w:p>
    <w:p>
      <w:pPr>
        <w:rPr>
          <w:rFonts w:hint="default"/>
        </w:rPr>
      </w:pPr>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r>
        <w:rPr>
          <w:rFonts w:hint="eastAsia" w:eastAsiaTheme="minorEastAsia"/>
          <w:lang w:val="en-US" w:eastAsia="zh-CN"/>
        </w:rPr>
        <w:t xml:space="preserve">(2) </w:t>
      </w:r>
      <w:r>
        <w:rPr>
          <w:rFonts w:hint="default"/>
        </w:rPr>
        <w:t>内部订单的过账及结算</w:t>
      </w:r>
    </w:p>
    <w:p>
      <w:pPr>
        <w:rPr>
          <w:rFonts w:hint="eastAsia" w:eastAsiaTheme="minorEastAsia"/>
          <w:lang w:val="en-US" w:eastAsia="zh-CN"/>
        </w:rPr>
      </w:pPr>
      <w:r>
        <w:rPr>
          <w:rFonts w:hint="eastAsia" w:eastAsiaTheme="minorEastAsia"/>
          <w:lang w:val="en-US" w:eastAsia="zh-CN"/>
        </w:rPr>
        <w:t>通过KO88输入内部订单结算，正式执行前需要把“Test Run”去掉。</w:t>
      </w:r>
    </w:p>
    <w:p>
      <w:r>
        <w:drawing>
          <wp:inline distT="0" distB="0" distL="114300" distR="114300">
            <wp:extent cx="5273040" cy="2911475"/>
            <wp:effectExtent l="0" t="0" r="3810" b="317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0"/>
                    <a:stretch>
                      <a:fillRect/>
                    </a:stretch>
                  </pic:blipFill>
                  <pic:spPr>
                    <a:xfrm>
                      <a:off x="0" y="0"/>
                      <a:ext cx="5273040" cy="2911475"/>
                    </a:xfrm>
                    <a:prstGeom prst="rect">
                      <a:avLst/>
                    </a:prstGeom>
                    <a:noFill/>
                    <a:ln>
                      <a:noFill/>
                    </a:ln>
                  </pic:spPr>
                </pic:pic>
              </a:graphicData>
            </a:graphic>
          </wp:inline>
        </w:drawing>
      </w:r>
    </w:p>
    <w:p/>
    <w:p/>
    <w:p/>
    <w:p>
      <w:r>
        <w:drawing>
          <wp:inline distT="0" distB="0" distL="114300" distR="114300">
            <wp:extent cx="5273040" cy="2811145"/>
            <wp:effectExtent l="0" t="0" r="3810" b="8255"/>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11"/>
                    <a:stretch>
                      <a:fillRect/>
                    </a:stretch>
                  </pic:blipFill>
                  <pic:spPr>
                    <a:xfrm>
                      <a:off x="0" y="0"/>
                      <a:ext cx="5273040" cy="2811145"/>
                    </a:xfrm>
                    <a:prstGeom prst="rect">
                      <a:avLst/>
                    </a:prstGeom>
                    <a:noFill/>
                    <a:ln>
                      <a:noFill/>
                    </a:ln>
                  </pic:spPr>
                </pic:pic>
              </a:graphicData>
            </a:graphic>
          </wp:inline>
        </w:drawing>
      </w:r>
    </w:p>
    <w:p/>
    <w:p>
      <w:pPr>
        <w:numPr>
          <w:ilvl w:val="0"/>
          <w:numId w:val="2"/>
        </w:numPr>
      </w:pPr>
      <w:r>
        <w:rPr>
          <w:rFonts w:hint="default"/>
        </w:rPr>
        <w:t>结转后通过S_ALR_87013611报告查看接收方的四个成本中心</w:t>
      </w:r>
    </w:p>
    <w:p>
      <w:r>
        <w:drawing>
          <wp:inline distT="0" distB="0" distL="114300" distR="114300">
            <wp:extent cx="4523740" cy="1573530"/>
            <wp:effectExtent l="0" t="0" r="10160" b="762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
                    <pic:cNvPicPr>
                      <a:picLocks noChangeAspect="1"/>
                    </pic:cNvPicPr>
                  </pic:nvPicPr>
                  <pic:blipFill>
                    <a:blip r:embed="rId12"/>
                    <a:stretch>
                      <a:fillRect/>
                    </a:stretch>
                  </pic:blipFill>
                  <pic:spPr>
                    <a:xfrm>
                      <a:off x="0" y="0"/>
                      <a:ext cx="4524374" cy="1573695"/>
                    </a:xfrm>
                    <a:prstGeom prst="rect">
                      <a:avLst/>
                    </a:prstGeom>
                  </pic:spPr>
                </pic:pic>
              </a:graphicData>
            </a:graphic>
          </wp:inline>
        </w:drawing>
      </w:r>
      <w:r>
        <w:drawing>
          <wp:inline distT="0" distB="0" distL="114300" distR="114300">
            <wp:extent cx="4523740" cy="1550035"/>
            <wp:effectExtent l="0" t="0" r="10160" b="12065"/>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
                    <pic:cNvPicPr>
                      <a:picLocks noChangeAspect="1"/>
                    </pic:cNvPicPr>
                  </pic:nvPicPr>
                  <pic:blipFill>
                    <a:blip r:embed="rId13"/>
                    <a:stretch>
                      <a:fillRect/>
                    </a:stretch>
                  </pic:blipFill>
                  <pic:spPr>
                    <a:xfrm>
                      <a:off x="0" y="0"/>
                      <a:ext cx="4524374" cy="1550667"/>
                    </a:xfrm>
                    <a:prstGeom prst="rect">
                      <a:avLst/>
                    </a:prstGeom>
                  </pic:spPr>
                </pic:pic>
              </a:graphicData>
            </a:graphic>
          </wp:inline>
        </w:drawing>
      </w:r>
      <w:r>
        <w:drawing>
          <wp:inline distT="0" distB="0" distL="114300" distR="114300">
            <wp:extent cx="4590415" cy="1558290"/>
            <wp:effectExtent l="0" t="0" r="635" b="3810"/>
            <wp:docPr id="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5"/>
                    <pic:cNvPicPr>
                      <a:picLocks noChangeAspect="1"/>
                    </pic:cNvPicPr>
                  </pic:nvPicPr>
                  <pic:blipFill>
                    <a:blip r:embed="rId14"/>
                    <a:stretch>
                      <a:fillRect/>
                    </a:stretch>
                  </pic:blipFill>
                  <pic:spPr>
                    <a:xfrm>
                      <a:off x="0" y="0"/>
                      <a:ext cx="4590463" cy="1558290"/>
                    </a:xfrm>
                    <a:prstGeom prst="rect">
                      <a:avLst/>
                    </a:prstGeom>
                  </pic:spPr>
                </pic:pic>
              </a:graphicData>
            </a:graphic>
          </wp:inline>
        </w:drawing>
      </w:r>
      <w:r>
        <w:drawing>
          <wp:inline distT="0" distB="0" distL="114300" distR="114300">
            <wp:extent cx="4544695" cy="1553210"/>
            <wp:effectExtent l="0" t="0" r="8255" b="8890"/>
            <wp:docPr id="1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6"/>
                    <pic:cNvPicPr>
                      <a:picLocks noChangeAspect="1"/>
                    </pic:cNvPicPr>
                  </pic:nvPicPr>
                  <pic:blipFill>
                    <a:blip r:embed="rId15"/>
                    <a:stretch>
                      <a:fillRect/>
                    </a:stretch>
                  </pic:blipFill>
                  <pic:spPr>
                    <a:xfrm>
                      <a:off x="0" y="0"/>
                      <a:ext cx="4545035" cy="1553529"/>
                    </a:xfrm>
                    <a:prstGeom prst="rect">
                      <a:avLst/>
                    </a:prstGeom>
                  </pic:spPr>
                </pic:pic>
              </a:graphicData>
            </a:graphic>
          </wp:inline>
        </w:drawing>
      </w:r>
    </w:p>
    <w:p/>
    <w:p>
      <w:pPr>
        <w:numPr>
          <w:ilvl w:val="0"/>
          <w:numId w:val="2"/>
        </w:numPr>
        <w:ind w:left="0" w:leftChars="0" w:firstLine="0" w:firstLineChars="0"/>
        <w:rPr>
          <w:rFonts w:hint="eastAsia" w:eastAsiaTheme="minorEastAsia"/>
          <w:lang w:val="en-US" w:eastAsia="zh-CN"/>
        </w:rPr>
      </w:pPr>
      <w:r>
        <w:rPr>
          <w:rFonts w:hint="eastAsia" w:eastAsiaTheme="minorEastAsia"/>
          <w:lang w:val="en-US" w:eastAsia="zh-CN"/>
        </w:rPr>
        <w:t>结转后通过KOB1报告查看接收方的四个成本中心</w:t>
      </w:r>
    </w:p>
    <w:p>
      <w:pPr>
        <w:numPr>
          <w:numId w:val="0"/>
        </w:numPr>
        <w:ind w:leftChars="0"/>
        <w:rPr>
          <w:rFonts w:hint="eastAsia" w:eastAsiaTheme="minorEastAsia"/>
          <w:lang w:val="en-US" w:eastAsia="zh-CN"/>
        </w:rPr>
      </w:pPr>
      <w:r>
        <w:drawing>
          <wp:inline distT="0" distB="0" distL="114300" distR="114300">
            <wp:extent cx="3959225" cy="1952625"/>
            <wp:effectExtent l="0" t="0" r="3175" b="9525"/>
            <wp:docPr id="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7"/>
                    <pic:cNvPicPr>
                      <a:picLocks noChangeAspect="1"/>
                    </pic:cNvPicPr>
                  </pic:nvPicPr>
                  <pic:blipFill>
                    <a:blip r:embed="rId16"/>
                    <a:stretch>
                      <a:fillRect/>
                    </a:stretch>
                  </pic:blipFill>
                  <pic:spPr>
                    <a:xfrm>
                      <a:off x="0" y="0"/>
                      <a:ext cx="3959489" cy="1952625"/>
                    </a:xfrm>
                    <a:prstGeom prst="rect">
                      <a:avLst/>
                    </a:prstGeom>
                  </pic:spPr>
                </pic:pic>
              </a:graphicData>
            </a:graphic>
          </wp:inline>
        </w:drawing>
      </w:r>
    </w:p>
    <w:p>
      <w:pPr>
        <w:rPr>
          <w:rFonts w:hint="eastAsia" w:eastAsiaTheme="minorEastAsia"/>
          <w:lang w:val="en-US" w:eastAsia="zh-CN"/>
        </w:rPr>
      </w:pPr>
      <w:r>
        <mc:AlternateContent>
          <mc:Choice Requires="wps">
            <w:drawing>
              <wp:anchor distT="0" distB="0" distL="114300" distR="114300" simplePos="0" relativeHeight="251666432" behindDoc="0" locked="0" layoutInCell="1" allowOverlap="1">
                <wp:simplePos x="0" y="0"/>
                <wp:positionH relativeFrom="column">
                  <wp:posOffset>45085</wp:posOffset>
                </wp:positionH>
                <wp:positionV relativeFrom="paragraph">
                  <wp:posOffset>1401445</wp:posOffset>
                </wp:positionV>
                <wp:extent cx="5662295" cy="179705"/>
                <wp:effectExtent l="6350" t="6350" r="8255" b="23495"/>
                <wp:wrapNone/>
                <wp:docPr id="23" name="矩形 2"/>
                <wp:cNvGraphicFramePr/>
                <a:graphic xmlns:a="http://schemas.openxmlformats.org/drawingml/2006/main">
                  <a:graphicData uri="http://schemas.microsoft.com/office/word/2010/wordprocessingShape">
                    <wps:wsp>
                      <wps:cNvSpPr/>
                      <wps:spPr>
                        <a:xfrm>
                          <a:off x="0" y="0"/>
                          <a:ext cx="5662295" cy="179705"/>
                        </a:xfrm>
                        <a:prstGeom prst="rect">
                          <a:avLst/>
                        </a:prstGeom>
                        <a:noFill/>
                        <a:ln>
                          <a:solidFill>
                            <a:srgbClr val="C00000"/>
                          </a:solidFill>
                        </a:ln>
                      </wps:spPr>
                      <wps:style>
                        <a:lnRef idx="2">
                          <a:schemeClr val="accent6"/>
                        </a:lnRef>
                        <a:fillRef idx="1">
                          <a:schemeClr val="lt1"/>
                        </a:fillRef>
                        <a:effectRef idx="0">
                          <a:schemeClr val="accent6"/>
                        </a:effectRef>
                        <a:fontRef idx="minor">
                          <a:schemeClr val="dk1"/>
                        </a:fontRef>
                      </wps:style>
                      <wps:bodyPr rtlCol="0" anchor="ctr"/>
                    </wps:wsp>
                  </a:graphicData>
                </a:graphic>
              </wp:anchor>
            </w:drawing>
          </mc:Choice>
          <mc:Fallback>
            <w:pict>
              <v:rect id="矩形 2" o:spid="_x0000_s1026" o:spt="1" style="position:absolute;left:0pt;margin-left:3.55pt;margin-top:110.35pt;height:14.15pt;width:445.85pt;z-index:251666432;v-text-anchor:middle;mso-width-relative:page;mso-height-relative:page;" filled="f" stroked="t" coordsize="21600,21600" o:gfxdata="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MdrLytcAAAAJAQAADwAAAAAAAAABACAAAAAiAAAAZHJzL2Rvd25yZXYueG1sUEsBAhQAFAAAAAgA&#10;h07iQLZeQNHtAQAAxwMAAA4AAAAAAAAAAQAgAAAAJgEAAGRycy9lMm9Eb2MueG1sUEsFBgAAAAAG&#10;AAYAWQEAAIUFAAAAAA==&#10;">
                <v:fill on="f" focussize="0,0"/>
                <v:stroke weight="1pt" color="#C00000 [3209]" miterlimit="8" joinstyle="miter"/>
                <v:imagedata o:title=""/>
                <o:lock v:ext="edit" aspectratio="f"/>
              </v:rect>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38735</wp:posOffset>
                </wp:positionH>
                <wp:positionV relativeFrom="paragraph">
                  <wp:posOffset>966470</wp:posOffset>
                </wp:positionV>
                <wp:extent cx="5674360" cy="412750"/>
                <wp:effectExtent l="6350" t="6350" r="15240" b="19050"/>
                <wp:wrapNone/>
                <wp:docPr id="22" name="矩形 9"/>
                <wp:cNvGraphicFramePr/>
                <a:graphic xmlns:a="http://schemas.openxmlformats.org/drawingml/2006/main">
                  <a:graphicData uri="http://schemas.microsoft.com/office/word/2010/wordprocessingShape">
                    <wps:wsp>
                      <wps:cNvSpPr/>
                      <wps:spPr>
                        <a:xfrm>
                          <a:off x="0" y="0"/>
                          <a:ext cx="5674360" cy="412750"/>
                        </a:xfrm>
                        <a:prstGeom prst="rect">
                          <a:avLst/>
                        </a:prstGeom>
                        <a:noFill/>
                        <a:ln>
                          <a:solidFill>
                            <a:srgbClr val="C00000"/>
                          </a:solidFill>
                        </a:ln>
                      </wps:spPr>
                      <wps:style>
                        <a:lnRef idx="2">
                          <a:schemeClr val="accent6"/>
                        </a:lnRef>
                        <a:fillRef idx="1">
                          <a:schemeClr val="lt1"/>
                        </a:fillRef>
                        <a:effectRef idx="0">
                          <a:schemeClr val="accent6"/>
                        </a:effectRef>
                        <a:fontRef idx="minor">
                          <a:schemeClr val="dk1"/>
                        </a:fontRef>
                      </wps:style>
                      <wps:bodyPr rtlCol="0" anchor="ctr"/>
                    </wps:wsp>
                  </a:graphicData>
                </a:graphic>
              </wp:anchor>
            </w:drawing>
          </mc:Choice>
          <mc:Fallback>
            <w:pict>
              <v:rect id="矩形 9" o:spid="_x0000_s1026" o:spt="1" style="position:absolute;left:0pt;margin-left:3.05pt;margin-top:76.1pt;height:32.5pt;width:446.8pt;z-index:251665408;v-text-anchor:middle;mso-width-relative:page;mso-height-relative:page;" filled="f" stroked="t" coordsize="21600,21600" o:gfxdata="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y+HNH9gAAAAJAQAADwAAAAAAAAABACAAAAAiAAAAZHJzL2Rvd25yZXYueG1sUEsBAhQAFAAAAAgA&#10;h07iQIsHXsbsAQAAxwMAAA4AAAAAAAAAAQAgAAAAJwEAAGRycy9lMm9Eb2MueG1sUEsFBgAAAAAG&#10;AAYAWQEAAIUFAAAAAA==&#10;">
                <v:fill on="f" focussize="0,0"/>
                <v:stroke weight="1pt" color="#C00000 [3209]" miterlimit="8" joinstyle="miter"/>
                <v:imagedata o:title=""/>
                <o:lock v:ext="edit" aspectratio="f"/>
              </v:rect>
            </w:pict>
          </mc:Fallback>
        </mc:AlternateContent>
      </w:r>
      <w:r>
        <w:drawing>
          <wp:inline distT="0" distB="0" distL="114300" distR="114300">
            <wp:extent cx="5913755" cy="1707515"/>
            <wp:effectExtent l="0" t="0" r="10795" b="6985"/>
            <wp:docPr id="2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8"/>
                    <pic:cNvPicPr>
                      <a:picLocks noChangeAspect="1"/>
                    </pic:cNvPicPr>
                  </pic:nvPicPr>
                  <pic:blipFill>
                    <a:blip r:embed="rId17"/>
                    <a:stretch>
                      <a:fillRect/>
                    </a:stretch>
                  </pic:blipFill>
                  <pic:spPr>
                    <a:xfrm>
                      <a:off x="0" y="0"/>
                      <a:ext cx="5913755" cy="1707515"/>
                    </a:xfrm>
                    <a:prstGeom prst="rect">
                      <a:avLst/>
                    </a:prstGeom>
                  </pic:spPr>
                </pic:pic>
              </a:graphicData>
            </a:graphic>
          </wp:inline>
        </w:drawing>
      </w:r>
      <w:r>
        <mc:AlternateContent>
          <mc:Choice Requires="wps">
            <w:drawing>
              <wp:anchor distT="0" distB="0" distL="114300" distR="114300" simplePos="0" relativeHeight="251659264" behindDoc="0" locked="0" layoutInCell="1" allowOverlap="1">
                <wp:simplePos x="0" y="0"/>
                <wp:positionH relativeFrom="column">
                  <wp:posOffset>8047355</wp:posOffset>
                </wp:positionH>
                <wp:positionV relativeFrom="paragraph">
                  <wp:posOffset>3178810</wp:posOffset>
                </wp:positionV>
                <wp:extent cx="720090" cy="425450"/>
                <wp:effectExtent l="6350" t="6350" r="16510" b="6350"/>
                <wp:wrapNone/>
                <wp:docPr id="34" name="圆角矩形 15"/>
                <wp:cNvGraphicFramePr/>
                <a:graphic xmlns:a="http://schemas.openxmlformats.org/drawingml/2006/main">
                  <a:graphicData uri="http://schemas.microsoft.com/office/word/2010/wordprocessingShape">
                    <wps:wsp>
                      <wps:cNvSpPr/>
                      <wps:spPr>
                        <a:xfrm>
                          <a:off x="0" y="0"/>
                          <a:ext cx="720090" cy="425450"/>
                        </a:xfrm>
                        <a:prstGeom prst="roundRect">
                          <a:avLst>
                            <a:gd name="adj" fmla="val 9747"/>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oundrect id="圆角矩形 15" o:spid="_x0000_s1026" o:spt="2" style="position:absolute;left:0pt;margin-left:633.65pt;margin-top:250.3pt;height:33.5pt;width:56.7pt;z-index:251659264;v-text-anchor:middle;mso-width-relative:page;mso-height-relative:page;" filled="f" stroked="t" coordsize="21600,21600" arcsize="0.0974537037037037" o:gfxdata="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Mi8vz2wAAAA0BAAAP&#10;AAAAAAAAAAEAIAAAACIAAABkcnMvZG93bnJldi54bWxQSwECFAAUAAAACACHTuJAe4QXIRUCAAD9&#10;AwAADgAAAAAAAAABACAAAAAqAQAAZHJzL2Uyb0RvYy54bWxQSwUGAAAAAAYABgBZAQAAsQUAAAAA&#10;">
                <v:fill on="f" focussize="0,0"/>
                <v:stroke weight="1pt" color="#7030A0 [3204]" miterlimit="8" joinstyle="miter"/>
                <v:imagedata o:title=""/>
                <o:lock v:ext="edit" aspectratio="f"/>
              </v:roundrect>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CA9F50"/>
    <w:multiLevelType w:val="singleLevel"/>
    <w:tmpl w:val="F0CA9F50"/>
    <w:lvl w:ilvl="0" w:tentative="0">
      <w:start w:val="1"/>
      <w:numFmt w:val="bullet"/>
      <w:lvlText w:val=""/>
      <w:lvlJc w:val="left"/>
      <w:pPr>
        <w:ind w:left="420" w:hanging="420"/>
      </w:pPr>
      <w:rPr>
        <w:rFonts w:hint="default" w:ascii="Wingdings" w:hAnsi="Wingdings"/>
      </w:rPr>
    </w:lvl>
  </w:abstractNum>
  <w:abstractNum w:abstractNumId="1">
    <w:nsid w:val="2088DEE8"/>
    <w:multiLevelType w:val="singleLevel"/>
    <w:tmpl w:val="2088DEE8"/>
    <w:lvl w:ilvl="0" w:tentative="0">
      <w:start w:val="3"/>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yYTZlNDFiOTc4ZjIxNzVmMWU2Yzk0MjU4YmU5OTYifQ=="/>
  </w:docVars>
  <w:rsids>
    <w:rsidRoot w:val="7C577F33"/>
    <w:rsid w:val="4C604BF2"/>
    <w:rsid w:val="7C577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rPr>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2024-03-17T12:54:00Z</dcterms:created>
  <dc:creator>大雄</dc:creator>
  <cp:lastModifiedBy>大雄</cp:lastModifiedBy>
  <dcterms:modified xsi:type="dcterms:W3CDTF">2024-04-08T08:34:02Z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6EF81F2D4703412E9595A6F5BB9C8D04_11</vt:lpwstr>
  </property>
</Properties>
</file>