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olors1.xml" ContentType="application/vnd.ms-office.chartcolorstyle+xml"/>
  <Override PartName="/word/charts/colors10.xml" ContentType="application/vnd.ms-office.chartcolorstyle+xml"/>
  <Override PartName="/word/charts/colors1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colors9.xml" ContentType="application/vnd.ms-office.chartcolorstyle+xml"/>
  <Override PartName="/word/charts/style1.xml" ContentType="application/vnd.ms-office.chartstyle+xml"/>
  <Override PartName="/word/charts/style10.xml" ContentType="application/vnd.ms-office.chartstyle+xml"/>
  <Override PartName="/word/charts/style1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charts/style9.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6570BD">
      <w:pPr>
        <w:pStyle w:val="167"/>
        <w:rPr>
          <w:lang w:eastAsia="zh-CN"/>
        </w:rPr>
      </w:pPr>
      <w:bookmarkStart w:id="0" w:name="_Toc415818939"/>
      <w:bookmarkStart w:id="1" w:name="_Toc415142861"/>
      <w:bookmarkStart w:id="2" w:name="_Toc517262917"/>
      <w:bookmarkStart w:id="3" w:name="_Toc481801204"/>
      <w:bookmarkStart w:id="4" w:name="OLE_LINK13"/>
      <w:bookmarkStart w:id="5" w:name="_Toc415143481"/>
      <w:bookmarkStart w:id="6" w:name="OLE_LINK24"/>
      <w:bookmarkStart w:id="7" w:name="OLE_LINK40"/>
      <w:bookmarkStart w:id="8" w:name="_Toc438987549"/>
      <w:bookmarkStart w:id="9" w:name="OLE_LINK39"/>
      <w:bookmarkStart w:id="10" w:name="_Toc453597319"/>
      <w:bookmarkStart w:id="11" w:name="_Toc418070112"/>
      <w:bookmarkStart w:id="12" w:name="OLE_LINK15"/>
      <w:r>
        <w:rPr>
          <w:lang w:eastAsia="zh-CN"/>
        </w:rPr>
        <w:t>钛杯</w:t>
      </w:r>
      <w:r>
        <w:rPr>
          <w:rFonts w:hint="eastAsia"/>
          <w:lang w:eastAsia="zh-CN"/>
        </w:rPr>
        <w:t>全球市场总体规模</w:t>
      </w:r>
    </w:p>
    <w:p w14:paraId="4D38E3C6">
      <w:pPr>
        <w:pStyle w:val="145"/>
        <w:rPr>
          <w:lang w:eastAsia="zh-CN"/>
        </w:rPr>
      </w:pPr>
      <w:r>
        <w:rPr>
          <w:rFonts w:hint="eastAsia"/>
          <w:lang w:eastAsia="zh-CN"/>
        </w:rPr>
        <w:t>根据QYResearch最新调研报告显示，预计2</w:t>
      </w:r>
      <w:r>
        <w:rPr>
          <w:lang w:eastAsia="zh-CN"/>
        </w:rPr>
        <w:t>030</w:t>
      </w:r>
      <w:r>
        <w:rPr>
          <w:rFonts w:hint="eastAsia"/>
          <w:lang w:eastAsia="zh-CN"/>
        </w:rPr>
        <w:t>年全球</w:t>
      </w:r>
      <w:r>
        <w:rPr>
          <w:lang w:eastAsia="zh-CN"/>
        </w:rPr>
        <w:t>钛保温杯</w:t>
      </w:r>
      <w:r>
        <w:rPr>
          <w:rFonts w:hint="eastAsia"/>
          <w:lang w:eastAsia="zh-CN"/>
        </w:rPr>
        <w:t>市场规模将达到</w:t>
      </w:r>
      <w:r>
        <w:rPr>
          <w:lang w:eastAsia="zh-CN"/>
        </w:rPr>
        <w:t>163</w:t>
      </w:r>
      <w:r>
        <w:rPr>
          <w:rFonts w:hint="eastAsia"/>
          <w:lang w:eastAsia="zh-CN"/>
        </w:rPr>
        <w:t>百万美元，未来几年年复合增长率CAGR为</w:t>
      </w:r>
      <w:r>
        <w:rPr>
          <w:lang w:eastAsia="zh-CN"/>
        </w:rPr>
        <w:t>10.5</w:t>
      </w:r>
      <w:r>
        <w:rPr>
          <w:rFonts w:hint="eastAsia"/>
          <w:lang w:eastAsia="zh-CN"/>
        </w:rPr>
        <w:t>%。</w:t>
      </w:r>
    </w:p>
    <w:p w14:paraId="4A99425F">
      <w:pPr>
        <w:pStyle w:val="167"/>
        <w:rPr>
          <w:lang w:eastAsia="zh-CN"/>
        </w:rPr>
      </w:pPr>
      <w:bookmarkStart w:id="13" w:name="_Toc143633044"/>
      <w:bookmarkStart w:id="14" w:name="_Toc535600184"/>
      <w:bookmarkStart w:id="15" w:name="_Toc476606614"/>
      <w:bookmarkStart w:id="16" w:name="_Toc24027790"/>
      <w:r>
        <w:rPr>
          <w:rFonts w:hint="eastAsia"/>
          <w:lang w:eastAsia="zh-CN"/>
        </w:rPr>
        <w:t>产品定义及统计范围</w:t>
      </w:r>
      <w:bookmarkEnd w:id="13"/>
    </w:p>
    <w:bookmarkEnd w:id="14"/>
    <w:bookmarkEnd w:id="15"/>
    <w:bookmarkEnd w:id="16"/>
    <w:p w14:paraId="74940ED9">
      <w:pPr>
        <w:pStyle w:val="145"/>
        <w:ind w:firstLine="420"/>
        <w:rPr>
          <w:lang w:eastAsia="zh-CN"/>
        </w:rPr>
      </w:pPr>
      <w:r>
        <w:rPr>
          <w:rFonts w:hint="eastAsia"/>
          <w:lang w:eastAsia="zh-CN"/>
        </w:rPr>
        <w:t xml:space="preserve">用钛金属制作而成并且具有保温功能的杯子，钛保温杯具有保鲜性、密度小、硬度强、耐腐蚀等优点。 </w:t>
      </w:r>
      <w:r>
        <w:rPr>
          <w:rFonts w:ascii="Segoe UI" w:hAnsi="Segoe UI" w:cs="Segoe UI"/>
          <w:color w:val="000000"/>
          <w:szCs w:val="21"/>
          <w:shd w:val="clear" w:color="auto" w:fill="FFFFFF"/>
          <w:lang w:eastAsia="zh-CN"/>
        </w:rPr>
        <w:t>钛合金是一种非常坚固和耐用的材料，具有高强度和耐腐蚀性。这使得钛保温杯能够经受日常使用中的颠簸、摔落和碰撞，而不易受损或出现磨损。</w:t>
      </w:r>
      <w:r>
        <w:rPr>
          <w:lang w:eastAsia="zh-CN"/>
        </w:rPr>
        <w:t>常温下钛与氧气化合生成一层极薄致密的氧化膜，这层氧化膜抗蚀性远优于不锈钢，可盛放日常中碳酸饮料、茶水、果汁甚至是中药等液体，不易析出重金属</w:t>
      </w:r>
      <w:r>
        <w:rPr>
          <w:rFonts w:hint="eastAsia"/>
          <w:lang w:eastAsia="zh-CN"/>
        </w:rPr>
        <w:t>。</w:t>
      </w:r>
    </w:p>
    <w:p w14:paraId="6F0AA0F3">
      <w:pPr>
        <w:pStyle w:val="148"/>
      </w:pPr>
      <w:bookmarkStart w:id="17" w:name="_Toc143633408"/>
      <w:bookmarkStart w:id="18" w:name="_Toc24028878"/>
      <w:bookmarkStart w:id="19" w:name="_Toc26779984"/>
      <w:r>
        <w:t>钛保温杯</w:t>
      </w:r>
      <w:r>
        <w:rPr>
          <w:rFonts w:hint="eastAsia"/>
        </w:rPr>
        <w:t>产品图片</w:t>
      </w:r>
      <w:bookmarkEnd w:id="17"/>
      <w:bookmarkEnd w:id="18"/>
      <w:bookmarkEnd w:id="19"/>
    </w:p>
    <w:p w14:paraId="05CD8FE1">
      <w:r>
        <w:drawing>
          <wp:inline distT="0" distB="0" distL="0" distR="0">
            <wp:extent cx="2567940" cy="2181225"/>
            <wp:effectExtent l="0" t="0" r="3810" b="0"/>
            <wp:docPr id="294673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673082" name="图片 1"/>
                    <pic:cNvPicPr>
                      <a:picLocks noChangeAspect="1"/>
                    </pic:cNvPicPr>
                  </pic:nvPicPr>
                  <pic:blipFill>
                    <a:blip r:embed="rId8"/>
                    <a:stretch>
                      <a:fillRect/>
                    </a:stretch>
                  </pic:blipFill>
                  <pic:spPr>
                    <a:xfrm>
                      <a:off x="0" y="0"/>
                      <a:ext cx="2572310" cy="2184564"/>
                    </a:xfrm>
                    <a:prstGeom prst="rect">
                      <a:avLst/>
                    </a:prstGeom>
                  </pic:spPr>
                </pic:pic>
              </a:graphicData>
            </a:graphic>
          </wp:inline>
        </w:drawing>
      </w:r>
    </w:p>
    <w:p w14:paraId="3A15591F">
      <w:pPr>
        <w:pStyle w:val="143"/>
        <w:rPr>
          <w:lang w:eastAsia="zh-CN"/>
        </w:rPr>
      </w:pPr>
      <w:r>
        <w:rPr>
          <w:rFonts w:hint="eastAsia"/>
          <w:lang w:eastAsia="zh-CN"/>
        </w:rPr>
        <w:t>资料来源：第三方资料及QYResearch整理</w:t>
      </w:r>
    </w:p>
    <w:p w14:paraId="68BA353D">
      <w:pPr>
        <w:pStyle w:val="145"/>
        <w:rPr>
          <w:lang w:eastAsia="zh-CN"/>
        </w:rPr>
      </w:pPr>
    </w:p>
    <w:p w14:paraId="177A93EB">
      <w:pPr>
        <w:pStyle w:val="145"/>
        <w:rPr>
          <w:lang w:eastAsia="zh-CN"/>
        </w:rPr>
      </w:pPr>
      <w:r>
        <w:rPr>
          <w:rFonts w:hint="eastAsia"/>
          <w:lang w:eastAsia="zh-CN"/>
        </w:rPr>
        <w:t>主要驱动因素</w:t>
      </w:r>
      <w:r>
        <w:rPr>
          <w:lang w:eastAsia="zh-CN"/>
        </w:rPr>
        <w:t>:</w:t>
      </w:r>
    </w:p>
    <w:p w14:paraId="76FAB0F3">
      <w:pPr>
        <w:pStyle w:val="145"/>
        <w:rPr>
          <w:lang w:eastAsia="zh-CN"/>
        </w:rPr>
      </w:pPr>
      <w:r>
        <w:rPr>
          <w:rFonts w:hint="eastAsia"/>
          <w:lang w:eastAsia="zh-CN"/>
        </w:rPr>
        <w:t>2020年上半年我国消费品市场受到疫情的冲击，商品零售总额同比有所下降。但随着我国复工复产的快速推进和疫情防控的有序落实，从2020年下半年开始直到2021年末我国商品零售总额呈现明显的恢复性增长态势。2021年全年我国社会消费品商品零售总额达39.39万亿，消费重新成为经济增长第一拉动力。</w:t>
      </w:r>
    </w:p>
    <w:p w14:paraId="0A636233">
      <w:pPr>
        <w:pStyle w:val="145"/>
        <w:rPr>
          <w:lang w:eastAsia="zh-CN"/>
        </w:rPr>
      </w:pPr>
      <w:r>
        <w:rPr>
          <w:rFonts w:hint="eastAsia"/>
          <w:lang w:eastAsia="zh-CN"/>
        </w:rPr>
        <w:t>从用途需求上来看，区别于我国固有印象 中保温杯用于“保热”的用途，海外消费者使用保温杯主要用于“保冷”，保持水或饮料的 冰凉口感。从各项户外活动数据分析，海外人民热衷户外的生活习惯并没有因为疫情的影响发 生改变，反而在疫情后户外活动部分取代了聚集性活动使得户外活动参与度变得更高，户外 活动发展更为蓬勃。这为 包括保温杯在内的户外用品的消费提供了稳定的基础。</w:t>
      </w:r>
    </w:p>
    <w:p w14:paraId="21BB0530">
      <w:pPr>
        <w:pStyle w:val="145"/>
        <w:rPr>
          <w:lang w:eastAsia="zh-CN"/>
        </w:rPr>
      </w:pPr>
      <w:r>
        <w:rPr>
          <w:rFonts w:hint="eastAsia"/>
          <w:lang w:eastAsia="zh-CN"/>
        </w:rPr>
        <w:t>中国城镇中上阶层及富裕阶层占比迅速提升，2020年上中产阶级及以上家庭比例达到21%，该比例2025年预计将达到28%以上。年家庭可支配收入10万元以上的群体已超过半数，中国城镇人口整体财富呈上升趋势。根据经济学人智库针中国人均年可支配收入预测，2030年中国高收入及中高收入人群占比超总人口的1/3。快速崛起的中产阶级群体正在重塑中国市场，他们作为我国高端杯壶产品的主力消费群体，购买力强劲。</w:t>
      </w:r>
    </w:p>
    <w:p w14:paraId="7FF610EA">
      <w:pPr>
        <w:pStyle w:val="145"/>
        <w:rPr>
          <w:lang w:eastAsia="zh-CN"/>
        </w:rPr>
      </w:pPr>
      <w:r>
        <w:rPr>
          <w:rFonts w:hint="eastAsia"/>
          <w:lang w:eastAsia="zh-CN"/>
        </w:rPr>
        <w:t>近年来消费者追求“品质生活”的趋势明显，在做出消费选择时更看重高品质商品，且愿意为其支付高价格。消费升级与工艺改善推动，保温杯被赋予绿色环保产品，符合可持续发展需求。消费者对保温杯外观时尚、定制化、智能化等需求，加快产品设计及工艺革新。</w:t>
      </w:r>
    </w:p>
    <w:p w14:paraId="2FCBC9AC">
      <w:pPr>
        <w:pStyle w:val="145"/>
        <w:rPr>
          <w:lang w:eastAsia="zh-CN"/>
        </w:rPr>
      </w:pPr>
    </w:p>
    <w:p w14:paraId="6A1BA0BD">
      <w:pPr>
        <w:pStyle w:val="145"/>
        <w:rPr>
          <w:lang w:eastAsia="zh-CN"/>
        </w:rPr>
      </w:pPr>
      <w:r>
        <w:rPr>
          <w:rFonts w:hint="eastAsia"/>
          <w:lang w:eastAsia="zh-CN"/>
        </w:rPr>
        <w:t>主要阻碍因素</w:t>
      </w:r>
      <w:r>
        <w:rPr>
          <w:lang w:eastAsia="zh-CN"/>
        </w:rPr>
        <w:t>:</w:t>
      </w:r>
    </w:p>
    <w:p w14:paraId="289C5A2B">
      <w:pPr>
        <w:pStyle w:val="145"/>
        <w:rPr>
          <w:lang w:eastAsia="zh-CN"/>
        </w:rPr>
      </w:pPr>
      <w:r>
        <w:rPr>
          <w:rFonts w:hint="eastAsia"/>
          <w:lang w:eastAsia="zh-CN"/>
        </w:rPr>
        <w:t>保温杯以外销为主，主要客户所在国家和地区贸易政策的不确定性会对保温杯公司出口销售产生不利影响。近年来，国际贸易保护主义势头上升，部分国家和地区采取反倾销、反补贴、加征关税等手段加大对当地产业的保护力度。保温杯存在被加征关税的风险。海外大客户业务收入占杯壶生产企业主营业务收入比重较高，海外大客户订单受大宗商品价格、外汇结算、税收政策、市场消费等因素影响，若大客户订单出现大幅波动，会造成收入波动的风险。</w:t>
      </w:r>
    </w:p>
    <w:p w14:paraId="113BDD78">
      <w:pPr>
        <w:pStyle w:val="145"/>
        <w:rPr>
          <w:lang w:eastAsia="zh-CN"/>
        </w:rPr>
      </w:pPr>
      <w:r>
        <w:rPr>
          <w:rFonts w:hint="eastAsia"/>
          <w:lang w:eastAsia="zh-CN"/>
        </w:rPr>
        <w:t>随着生活水平的不断提高，消费者对保温杯需求结构和数量的增长给行业带来机遇的同时，也带来行业竞争的新变化，行业传统优势企业不断进行产品升级，提升性价比；新生品牌不断及其他行业跨界不断介入，如小米、苏泊尔等都将不断加剧行业竞争态势。若不能持续提升产品创新和高端制造能力，行业传统优势企业将不能适应新的竞争形势，可能对持续增长带来风险。</w:t>
      </w:r>
      <w:r>
        <w:rPr>
          <w:rFonts w:hint="eastAsia"/>
          <w:lang w:eastAsia="zh-CN"/>
        </w:rPr>
        <w:cr/>
      </w:r>
      <w:r>
        <w:rPr>
          <w:rFonts w:hint="eastAsia"/>
          <w:lang w:eastAsia="zh-CN"/>
        </w:rPr>
        <w:t>从全渠道市场来看，品牌集中度较低、行业竞争相对分散，品牌化空间依然较大。</w:t>
      </w:r>
    </w:p>
    <w:p w14:paraId="40AC00C3">
      <w:pPr>
        <w:pStyle w:val="145"/>
        <w:rPr>
          <w:lang w:eastAsia="zh-CN"/>
        </w:rPr>
      </w:pPr>
      <w:r>
        <w:rPr>
          <w:rFonts w:hint="eastAsia"/>
          <w:lang w:eastAsia="zh-CN"/>
        </w:rPr>
        <w:t>随着消费者消费水平及消费理念的不断提高，保温杯在原有保温性能好、安全便携、健康卫生等特点基础上，被逐步赋予了外观时尚、功能丰富、科技智能、节能环保等特色，消费者对保温杯的美观度、时尚性和产品质量的要求不断提高；同时行业的竞争对手也在不断提升自身产品设计水平和工艺流程。如果保温杯公司不能及时跟进或引领消费者审美品位的转变、产品制造工艺的进步，快速、及时推出满足客户及市场需求的新产品，将对公司的市场竞争地位和盈利能力产生不利影响。</w:t>
      </w:r>
    </w:p>
    <w:p w14:paraId="257DD05E">
      <w:pPr>
        <w:pStyle w:val="145"/>
        <w:rPr>
          <w:lang w:eastAsia="zh-CN"/>
        </w:rPr>
      </w:pPr>
      <w:r>
        <w:rPr>
          <w:rFonts w:hint="eastAsia"/>
          <w:lang w:eastAsia="zh-CN"/>
        </w:rPr>
        <w:t>钛保温杯生产所需的原材料主要是优质钛，因此钛价格波动是影响产品成本变 动的重要因素之一。钛材价格受宏观经济因素影响，若发生原材料价格大幅波动，会造成生 产经营成本增加的风险。</w:t>
      </w:r>
    </w:p>
    <w:p w14:paraId="34EFF7A4">
      <w:pPr>
        <w:pStyle w:val="145"/>
        <w:rPr>
          <w:lang w:eastAsia="zh-CN"/>
        </w:rPr>
      </w:pPr>
    </w:p>
    <w:p w14:paraId="7615DE55">
      <w:pPr>
        <w:pStyle w:val="145"/>
        <w:rPr>
          <w:lang w:eastAsia="zh-CN"/>
        </w:rPr>
      </w:pPr>
      <w:r>
        <w:rPr>
          <w:rFonts w:hint="eastAsia"/>
          <w:lang w:eastAsia="zh-CN"/>
        </w:rPr>
        <w:t>行业发展机遇</w:t>
      </w:r>
      <w:r>
        <w:rPr>
          <w:lang w:eastAsia="zh-CN"/>
        </w:rPr>
        <w:t>:</w:t>
      </w:r>
    </w:p>
    <w:p w14:paraId="001A0D67">
      <w:pPr>
        <w:pStyle w:val="145"/>
        <w:rPr>
          <w:lang w:eastAsia="zh-CN"/>
        </w:rPr>
      </w:pPr>
      <w:r>
        <w:rPr>
          <w:rFonts w:hint="eastAsia"/>
          <w:lang w:eastAsia="zh-CN"/>
        </w:rPr>
        <w:t>居民对健康饮水的重视程度提升极大地促进了杯壶行业的发展。一方面，健康饮水对饮水量和及时性都有一定的要求，这就促使消费者在各种场景下都携带相应的杯壶；另一方面，国家在考虑环境污染和群众健康安全的大背景下开始治理塑料污染，国家发改委、生态环境部于 2020 年 1 月 16 日发布《关于进一步加强塑料污染治理的意见》提出分阶段禁止、限制一次性塑料餐具等部分塑料制品的生产、销售和使用，将直接影响或转变国内居民的生活习惯和生活方式，为可重复使用的杯壶产品提供了更广阔的应用领域和市场空间。随着居民可支配收入提高以及需求场景的细分，我国杯壶产品在一定程度上呈现快消品特征，产品消费更换频率更快，人均保有量提升，整体市场规模增长较快。</w:t>
      </w:r>
    </w:p>
    <w:p w14:paraId="412789CB">
      <w:pPr>
        <w:pStyle w:val="145"/>
        <w:rPr>
          <w:lang w:eastAsia="zh-CN"/>
        </w:rPr>
      </w:pPr>
      <w:r>
        <w:rPr>
          <w:rFonts w:hint="eastAsia"/>
          <w:lang w:eastAsia="zh-CN"/>
        </w:rPr>
        <w:t>杯壶产品是人们最重要的日常家居用品之一，品类丰富多样，行业的集中度比较低，国内的杯壶生产企业多达数千家，仅浙江省永康市就有杯壶生产企业 300 多家，但在终端消费市场，国内杯壶生产企业的自有品牌知名度普遍不高 ， 知 名 品 牌 多 为 国 际 品 牌。多年来，随着国内自主品牌杯壶产品品质及品牌影响力的不断提升，消费者对国产品牌的印象持续好转 ，国内大部分品牌也逐渐得到了消费者认可。根据《环球时报》旗下环球舆情调查中心发布的《2018 年中国消费者对国产品牌的好感度调查报告》，84.4%的消费者对国产品牌的总体印象为“变好了”，且该比重连续三年上升。</w:t>
      </w:r>
    </w:p>
    <w:p w14:paraId="12FD9BEF">
      <w:pPr>
        <w:pStyle w:val="145"/>
        <w:rPr>
          <w:lang w:eastAsia="zh-CN"/>
        </w:rPr>
      </w:pPr>
    </w:p>
    <w:p w14:paraId="720E31E2">
      <w:pPr>
        <w:pStyle w:val="148"/>
        <w:rPr>
          <w:lang w:eastAsia="zh-CN"/>
        </w:rPr>
      </w:pPr>
      <w:r>
        <w:rPr>
          <w:rFonts w:hint="eastAsia"/>
          <w:lang w:eastAsia="zh-CN"/>
        </w:rPr>
        <w:t>全球</w:t>
      </w:r>
      <w:r>
        <w:rPr>
          <w:lang w:eastAsia="zh-CN"/>
        </w:rPr>
        <w:t>钛保温杯</w:t>
      </w:r>
      <w:r>
        <w:rPr>
          <w:rFonts w:hint="eastAsia"/>
          <w:lang w:eastAsia="zh-CN"/>
        </w:rPr>
        <w:t>市场前</w:t>
      </w:r>
      <w:r>
        <w:rPr>
          <w:lang w:eastAsia="zh-CN"/>
        </w:rPr>
        <w:t>22</w:t>
      </w:r>
      <w:r>
        <w:rPr>
          <w:rFonts w:hint="eastAsia"/>
          <w:lang w:eastAsia="zh-CN"/>
        </w:rPr>
        <w:t>强生产商排名及市场占有率（持续更新）</w:t>
      </w:r>
    </w:p>
    <w:p w14:paraId="04A43543">
      <w:pPr>
        <w:pStyle w:val="143"/>
        <w:rPr>
          <w:lang w:eastAsia="zh-CN"/>
        </w:rPr>
      </w:pPr>
      <w:r>
        <w:rPr>
          <w:lang w:val="en-US" w:eastAsia="zh-CN"/>
        </w:rPr>
        <w:drawing>
          <wp:inline distT="0" distB="0" distL="0" distR="0">
            <wp:extent cx="6119495" cy="4399915"/>
            <wp:effectExtent l="0" t="0" r="0" b="63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r>
        <w:rPr>
          <w:rFonts w:hint="eastAsia"/>
          <w:lang w:eastAsia="zh-CN"/>
        </w:rPr>
        <w:t>如上图表/数据，摘自QYResearch最新报告“全球</w:t>
      </w:r>
      <w:r>
        <w:rPr>
          <w:lang w:eastAsia="zh-CN"/>
        </w:rPr>
        <w:t>钛保温杯</w:t>
      </w:r>
      <w:r>
        <w:rPr>
          <w:rFonts w:hint="eastAsia"/>
          <w:lang w:eastAsia="zh-CN"/>
        </w:rPr>
        <w:t>市场研究报告2023-2029</w:t>
      </w:r>
      <w:r>
        <w:rPr>
          <w:lang w:eastAsia="zh-CN"/>
        </w:rPr>
        <w:t>.</w:t>
      </w:r>
    </w:p>
    <w:p w14:paraId="732DEE17">
      <w:pPr>
        <w:pStyle w:val="145"/>
        <w:rPr>
          <w:lang w:eastAsia="zh-CN"/>
        </w:rPr>
      </w:pPr>
      <w:r>
        <w:rPr>
          <w:rFonts w:hint="eastAsia"/>
          <w:lang w:eastAsia="zh-CN"/>
        </w:rPr>
        <w:t>目前全球主要厂商位于欧洲，中国和日本。包括太可（TAIC），膳魔师（Thermos），浙江飞剑（FEIJIAN)，希诺（HEENOOR）和深圳市极致钛业有限公司（钛立维）等，202</w:t>
      </w:r>
      <w:r>
        <w:rPr>
          <w:lang w:eastAsia="zh-CN"/>
        </w:rPr>
        <w:t>3</w:t>
      </w:r>
      <w:r>
        <w:rPr>
          <w:rFonts w:hint="eastAsia"/>
          <w:lang w:eastAsia="zh-CN"/>
        </w:rPr>
        <w:t>年全球前五家企业全球收入市场份额占比77%，市场集中度较高。</w:t>
      </w:r>
    </w:p>
    <w:p w14:paraId="4DF67D46">
      <w:pPr>
        <w:pStyle w:val="148"/>
        <w:rPr>
          <w:lang w:eastAsia="zh-CN"/>
        </w:rPr>
      </w:pPr>
      <w:r>
        <w:rPr>
          <w:lang w:eastAsia="zh-CN"/>
        </w:rPr>
        <w:t>钛保温杯</w:t>
      </w:r>
      <w:r>
        <w:rPr>
          <w:rFonts w:hint="eastAsia"/>
          <w:lang w:eastAsia="zh-CN"/>
        </w:rPr>
        <w:t>，全球市场规模，按产品类型细分，</w:t>
      </w:r>
      <w:r>
        <w:rPr>
          <w:lang w:eastAsia="zh-CN"/>
        </w:rPr>
        <w:t>300-400ml</w:t>
      </w:r>
      <w:r>
        <w:rPr>
          <w:rFonts w:hint="eastAsia"/>
          <w:lang w:eastAsia="zh-CN"/>
        </w:rPr>
        <w:t>处于主导地位</w:t>
      </w:r>
    </w:p>
    <w:p w14:paraId="1156A04E">
      <w:pPr>
        <w:pStyle w:val="145"/>
        <w:rPr>
          <w:lang w:eastAsia="zh-CN"/>
        </w:rPr>
      </w:pPr>
      <w:r>
        <w:rPr>
          <w:lang w:val="en-US" w:eastAsia="zh-CN"/>
        </w:rPr>
        <w:drawing>
          <wp:inline distT="0" distB="0" distL="0" distR="0">
            <wp:extent cx="2879725" cy="2879725"/>
            <wp:effectExtent l="0" t="0" r="0"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r>
        <w:t xml:space="preserve"> </w:t>
      </w:r>
      <w:r>
        <w:rPr>
          <w:lang w:val="en-US" w:eastAsia="zh-CN"/>
        </w:rPr>
        <w:drawing>
          <wp:inline distT="0" distB="0" distL="0" distR="0">
            <wp:extent cx="2879725" cy="2879725"/>
            <wp:effectExtent l="0" t="0" r="0"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465A9E3A">
      <w:pPr>
        <w:pStyle w:val="145"/>
        <w:rPr>
          <w:lang w:eastAsia="zh-CN"/>
        </w:rPr>
      </w:pPr>
      <w:r>
        <w:rPr>
          <w:lang w:val="en-US" w:eastAsia="zh-CN"/>
        </w:rPr>
        <w:drawing>
          <wp:inline distT="0" distB="0" distL="0" distR="0">
            <wp:extent cx="6188710" cy="2922270"/>
            <wp:effectExtent l="0" t="0" r="2540"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5C6CB2D3">
      <w:pPr>
        <w:pStyle w:val="143"/>
        <w:rPr>
          <w:lang w:eastAsia="zh-CN"/>
        </w:rPr>
      </w:pPr>
      <w:r>
        <w:rPr>
          <w:rFonts w:hint="eastAsia"/>
          <w:lang w:eastAsia="zh-CN"/>
        </w:rPr>
        <w:t>如上图表/数据，摘自QYResearch最新报告“全球</w:t>
      </w:r>
      <w:r>
        <w:rPr>
          <w:lang w:eastAsia="zh-CN"/>
        </w:rPr>
        <w:t>钛保温杯</w:t>
      </w:r>
      <w:r>
        <w:rPr>
          <w:rFonts w:hint="eastAsia"/>
          <w:lang w:eastAsia="zh-CN"/>
        </w:rPr>
        <w:t>市场研究报告2023-2029</w:t>
      </w:r>
      <w:r>
        <w:rPr>
          <w:lang w:eastAsia="zh-CN"/>
        </w:rPr>
        <w:t>.</w:t>
      </w:r>
    </w:p>
    <w:p w14:paraId="41C3E308">
      <w:pPr>
        <w:pStyle w:val="145"/>
        <w:rPr>
          <w:lang w:eastAsia="zh-CN"/>
        </w:rPr>
      </w:pPr>
      <w:r>
        <w:rPr>
          <w:rFonts w:hint="eastAsia"/>
          <w:lang w:eastAsia="zh-CN"/>
        </w:rPr>
        <w:t>就产品类型而言，目前</w:t>
      </w:r>
      <w:r>
        <w:rPr>
          <w:lang w:eastAsia="zh-CN"/>
        </w:rPr>
        <w:t>300-400ml</w:t>
      </w:r>
      <w:r>
        <w:rPr>
          <w:rFonts w:hint="eastAsia"/>
          <w:lang w:eastAsia="zh-CN"/>
        </w:rPr>
        <w:t>是最主要的细分产品，占据大约</w:t>
      </w:r>
      <w:r>
        <w:rPr>
          <w:lang w:eastAsia="zh-CN"/>
        </w:rPr>
        <w:t>51%</w:t>
      </w:r>
      <w:r>
        <w:rPr>
          <w:rFonts w:hint="eastAsia"/>
          <w:lang w:eastAsia="zh-CN"/>
        </w:rPr>
        <w:t>的份额。</w:t>
      </w:r>
    </w:p>
    <w:p w14:paraId="539909C3">
      <w:pPr>
        <w:pStyle w:val="145"/>
        <w:rPr>
          <w:lang w:eastAsia="zh-CN"/>
        </w:rPr>
      </w:pPr>
    </w:p>
    <w:p w14:paraId="6EBB6304">
      <w:pPr>
        <w:pStyle w:val="148"/>
        <w:rPr>
          <w:lang w:eastAsia="zh-CN"/>
        </w:rPr>
      </w:pPr>
      <w:r>
        <w:rPr>
          <w:lang w:eastAsia="zh-CN"/>
        </w:rPr>
        <w:t>钛保温杯</w:t>
      </w:r>
      <w:r>
        <w:rPr>
          <w:rFonts w:hint="eastAsia"/>
          <w:lang w:eastAsia="zh-CN"/>
        </w:rPr>
        <w:t>，全球市场规模，按应用细分，线下销售是最大的下游市场，占有</w:t>
      </w:r>
      <w:r>
        <w:rPr>
          <w:lang w:eastAsia="zh-CN"/>
        </w:rPr>
        <w:t>78%</w:t>
      </w:r>
      <w:r>
        <w:rPr>
          <w:rFonts w:hint="eastAsia"/>
          <w:lang w:eastAsia="zh-CN"/>
        </w:rPr>
        <w:t>份额。</w:t>
      </w:r>
    </w:p>
    <w:p w14:paraId="594072B4">
      <w:pPr>
        <w:pStyle w:val="145"/>
        <w:rPr>
          <w:lang w:eastAsia="zh-CN"/>
        </w:rPr>
      </w:pPr>
      <w:r>
        <w:rPr>
          <w:lang w:val="en-US" w:eastAsia="zh-CN"/>
        </w:rPr>
        <w:drawing>
          <wp:inline distT="0" distB="0" distL="0" distR="0">
            <wp:extent cx="2879725" cy="2879725"/>
            <wp:effectExtent l="0" t="0" r="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Pr>
          <w:lang w:eastAsia="zh-CN"/>
        </w:rPr>
        <w:t xml:space="preserve"> </w:t>
      </w:r>
      <w:r>
        <w:rPr>
          <w:lang w:val="en-US" w:eastAsia="zh-CN"/>
        </w:rPr>
        <w:drawing>
          <wp:inline distT="0" distB="0" distL="0" distR="0">
            <wp:extent cx="2879725" cy="2879725"/>
            <wp:effectExtent l="0" t="0" r="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r>
        <w:rPr>
          <w:lang w:eastAsia="zh-CN"/>
        </w:rPr>
        <w:t xml:space="preserve"> </w:t>
      </w:r>
      <w:r>
        <w:rPr>
          <w:lang w:val="en-US" w:eastAsia="zh-CN"/>
        </w:rPr>
        <w:drawing>
          <wp:inline distT="0" distB="0" distL="0" distR="0">
            <wp:extent cx="6188710" cy="2922270"/>
            <wp:effectExtent l="0" t="0" r="254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Pr>
          <w:rFonts w:hint="eastAsia"/>
          <w:i/>
          <w:sz w:val="16"/>
          <w:lang w:eastAsia="zh-CN"/>
        </w:rPr>
        <w:t>如上图表/数据，摘自QYResearch最新报告“全球</w:t>
      </w:r>
      <w:r>
        <w:rPr>
          <w:i/>
          <w:sz w:val="16"/>
          <w:lang w:eastAsia="zh-CN"/>
        </w:rPr>
        <w:t>钛保温杯</w:t>
      </w:r>
      <w:r>
        <w:rPr>
          <w:rFonts w:hint="eastAsia"/>
          <w:i/>
          <w:sz w:val="16"/>
          <w:lang w:eastAsia="zh-CN"/>
        </w:rPr>
        <w:t>市场研究报告2023-2029</w:t>
      </w:r>
      <w:r>
        <w:rPr>
          <w:i/>
          <w:sz w:val="16"/>
          <w:lang w:eastAsia="zh-CN"/>
        </w:rPr>
        <w:t>.</w:t>
      </w:r>
    </w:p>
    <w:p w14:paraId="20E11F5C">
      <w:pPr>
        <w:pStyle w:val="145"/>
        <w:rPr>
          <w:lang w:eastAsia="zh-CN"/>
        </w:rPr>
      </w:pPr>
    </w:p>
    <w:p w14:paraId="1D8555A0">
      <w:pPr>
        <w:pStyle w:val="145"/>
        <w:rPr>
          <w:lang w:eastAsia="zh-CN"/>
        </w:rPr>
      </w:pPr>
      <w:r>
        <w:rPr>
          <w:rFonts w:hint="eastAsia"/>
          <w:lang w:eastAsia="zh-CN"/>
        </w:rPr>
        <w:t>就产品类型而言，目前线下销售是最主要的需求来源，占据大约</w:t>
      </w:r>
      <w:r>
        <w:rPr>
          <w:lang w:eastAsia="zh-CN"/>
        </w:rPr>
        <w:t>78%</w:t>
      </w:r>
      <w:r>
        <w:rPr>
          <w:rFonts w:hint="eastAsia"/>
          <w:lang w:eastAsia="zh-CN"/>
        </w:rPr>
        <w:t>的份额。</w:t>
      </w:r>
    </w:p>
    <w:p w14:paraId="6C1FD389">
      <w:pPr>
        <w:pStyle w:val="148"/>
        <w:rPr>
          <w:lang w:eastAsia="zh-CN"/>
        </w:rPr>
      </w:pPr>
      <w:r>
        <w:rPr>
          <w:rFonts w:hint="eastAsia"/>
          <w:lang w:eastAsia="zh-CN"/>
        </w:rPr>
        <w:t>全球</w:t>
      </w:r>
      <w:r>
        <w:rPr>
          <w:lang w:eastAsia="zh-CN"/>
        </w:rPr>
        <w:t>钛保温杯</w:t>
      </w:r>
      <w:r>
        <w:rPr>
          <w:rFonts w:hint="eastAsia"/>
          <w:lang w:eastAsia="zh-CN"/>
        </w:rPr>
        <w:t>规模，主要生产地区份额（按产值）</w:t>
      </w:r>
    </w:p>
    <w:p w14:paraId="0A714116">
      <w:pPr>
        <w:pStyle w:val="145"/>
        <w:rPr>
          <w:lang w:val="en-US" w:eastAsia="zh-CN"/>
        </w:rPr>
      </w:pPr>
      <w:r>
        <w:rPr>
          <w:lang w:val="en-US" w:eastAsia="zh-CN"/>
        </w:rPr>
        <w:drawing>
          <wp:inline distT="0" distB="0" distL="0" distR="0">
            <wp:extent cx="6188710" cy="2922270"/>
            <wp:effectExtent l="0" t="0" r="254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r>
        <w:rPr>
          <w:lang w:eastAsia="zh-CN"/>
        </w:rPr>
        <w:t xml:space="preserve"> </w:t>
      </w:r>
      <w:r>
        <w:rPr>
          <w:lang w:val="en-US" w:eastAsia="zh-CN"/>
        </w:rPr>
        <w:drawing>
          <wp:inline distT="0" distB="0" distL="0" distR="0">
            <wp:extent cx="6188710" cy="2922270"/>
            <wp:effectExtent l="0" t="0" r="2540"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3C6B1243">
      <w:pPr>
        <w:pStyle w:val="143"/>
        <w:rPr>
          <w:lang w:eastAsia="zh-CN"/>
        </w:rPr>
      </w:pPr>
      <w:r>
        <w:rPr>
          <w:rFonts w:hint="eastAsia"/>
          <w:lang w:eastAsia="zh-CN"/>
        </w:rPr>
        <w:t>如上图表/数据，摘自QYResearch最新报告“全球</w:t>
      </w:r>
      <w:r>
        <w:rPr>
          <w:lang w:eastAsia="zh-CN"/>
        </w:rPr>
        <w:t>钛保温杯</w:t>
      </w:r>
      <w:r>
        <w:rPr>
          <w:rFonts w:hint="eastAsia"/>
          <w:lang w:eastAsia="zh-CN"/>
        </w:rPr>
        <w:t>市场研究报告2023-2029</w:t>
      </w:r>
      <w:r>
        <w:rPr>
          <w:lang w:eastAsia="zh-CN"/>
        </w:rPr>
        <w:t>.</w:t>
      </w:r>
    </w:p>
    <w:p w14:paraId="4A094FCA">
      <w:pPr>
        <w:pStyle w:val="145"/>
        <w:rPr>
          <w:lang w:eastAsia="zh-CN"/>
        </w:rPr>
      </w:pPr>
    </w:p>
    <w:p w14:paraId="28500A2F">
      <w:pPr>
        <w:pStyle w:val="148"/>
        <w:rPr>
          <w:lang w:eastAsia="zh-CN"/>
        </w:rPr>
      </w:pPr>
      <w:r>
        <w:rPr>
          <w:rFonts w:hint="eastAsia"/>
          <w:lang w:eastAsia="zh-CN"/>
        </w:rPr>
        <w:t>全球主要市场</w:t>
      </w:r>
      <w:r>
        <w:rPr>
          <w:lang w:eastAsia="zh-CN"/>
        </w:rPr>
        <w:t>钛保温杯</w:t>
      </w:r>
      <w:r>
        <w:rPr>
          <w:rFonts w:hint="eastAsia"/>
          <w:lang w:eastAsia="zh-CN"/>
        </w:rPr>
        <w:t>规模</w:t>
      </w:r>
    </w:p>
    <w:p w14:paraId="152322BB">
      <w:pPr>
        <w:pStyle w:val="145"/>
        <w:rPr>
          <w:lang w:val="en-US" w:eastAsia="zh-CN"/>
        </w:rPr>
      </w:pPr>
      <w:r>
        <w:rPr>
          <w:lang w:val="en-US" w:eastAsia="zh-CN"/>
        </w:rPr>
        <w:drawing>
          <wp:inline distT="0" distB="0" distL="0" distR="0">
            <wp:extent cx="6188710" cy="2922270"/>
            <wp:effectExtent l="0" t="0" r="2540" b="0"/>
            <wp:docPr id="12" name="图表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r>
        <w:rPr>
          <w:lang w:eastAsia="zh-CN"/>
        </w:rPr>
        <w:t xml:space="preserve"> </w:t>
      </w:r>
      <w:r>
        <w:rPr>
          <w:lang w:val="en-US" w:eastAsia="zh-CN"/>
        </w:rPr>
        <w:drawing>
          <wp:inline distT="0" distB="0" distL="0" distR="0">
            <wp:extent cx="6188710" cy="2922270"/>
            <wp:effectExtent l="0" t="0" r="2540" b="0"/>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FF828E9">
      <w:pPr>
        <w:pStyle w:val="143"/>
        <w:rPr>
          <w:lang w:eastAsia="zh-CN"/>
        </w:rPr>
      </w:pPr>
      <w:r>
        <w:rPr>
          <w:rFonts w:hint="eastAsia"/>
          <w:lang w:eastAsia="zh-CN"/>
        </w:rPr>
        <w:t>如上图表/数据，摘自QYResearch最新报告“全球</w:t>
      </w:r>
      <w:r>
        <w:rPr>
          <w:lang w:eastAsia="zh-CN"/>
        </w:rPr>
        <w:t>钛保温杯</w:t>
      </w:r>
      <w:r>
        <w:rPr>
          <w:rFonts w:hint="eastAsia"/>
          <w:lang w:eastAsia="zh-CN"/>
        </w:rPr>
        <w:t>市场研究报告2023-2029</w:t>
      </w:r>
      <w:r>
        <w:rPr>
          <w:lang w:eastAsia="zh-CN"/>
        </w:rPr>
        <w:t>.</w:t>
      </w:r>
    </w:p>
    <w:bookmarkEnd w:id="0"/>
    <w:bookmarkEnd w:id="1"/>
    <w:bookmarkEnd w:id="2"/>
    <w:bookmarkEnd w:id="3"/>
    <w:bookmarkEnd w:id="4"/>
    <w:bookmarkEnd w:id="5"/>
    <w:bookmarkEnd w:id="6"/>
    <w:bookmarkEnd w:id="7"/>
    <w:bookmarkEnd w:id="8"/>
    <w:bookmarkEnd w:id="9"/>
    <w:bookmarkEnd w:id="10"/>
    <w:bookmarkEnd w:id="11"/>
    <w:bookmarkEnd w:id="12"/>
    <w:p w14:paraId="74641357">
      <w:pPr>
        <w:pStyle w:val="145"/>
        <w:rPr>
          <w:lang w:eastAsia="zh-CN"/>
        </w:rPr>
      </w:pPr>
      <w:bookmarkStart w:id="20" w:name="_GoBack"/>
      <w:bookmarkEnd w:id="20"/>
    </w:p>
    <w:sectPr>
      <w:headerReference r:id="rId6" w:type="first"/>
      <w:headerReference r:id="rId4"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Segoe UI">
    <w:panose1 w:val="020B0502040204020203"/>
    <w:charset w:val="00"/>
    <w:family w:val="swiss"/>
    <w:pitch w:val="default"/>
    <w:sig w:usb0="E4002EFF" w:usb1="C000E47F" w:usb2="00000009" w:usb3="00000000" w:csb0="200001FF" w:csb1="0000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全球钛杯市场研究报告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全球钛杯市场研究报告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CCD"/>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B5"/>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5D8"/>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BF6"/>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352"/>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2E0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A6"/>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C7B"/>
    <w:rsid w:val="00914DF7"/>
    <w:rsid w:val="0091525A"/>
    <w:rsid w:val="009152B9"/>
    <w:rsid w:val="009156C4"/>
    <w:rsid w:val="00915752"/>
    <w:rsid w:val="00915BB6"/>
    <w:rsid w:val="00916160"/>
    <w:rsid w:val="0091624F"/>
    <w:rsid w:val="00916372"/>
    <w:rsid w:val="00916458"/>
    <w:rsid w:val="00916532"/>
    <w:rsid w:val="00916B56"/>
    <w:rsid w:val="00916CF4"/>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16D"/>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2"/>
    <w:rsid w:val="00C21BB7"/>
    <w:rsid w:val="00C21D79"/>
    <w:rsid w:val="00C224D4"/>
    <w:rsid w:val="00C229C1"/>
    <w:rsid w:val="00C229F3"/>
    <w:rsid w:val="00C22A82"/>
    <w:rsid w:val="00C23510"/>
    <w:rsid w:val="00C23784"/>
    <w:rsid w:val="00C2399B"/>
    <w:rsid w:val="00C23A2B"/>
    <w:rsid w:val="00C23B5A"/>
    <w:rsid w:val="00C23DBE"/>
    <w:rsid w:val="00C242F0"/>
    <w:rsid w:val="00C24A6C"/>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C1F"/>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98E"/>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86"/>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56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671"/>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ECA"/>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0B7"/>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799C30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0"/>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0"/>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0"/>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0"/>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目录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hart" Target="charts/chart1.xml"/><Relationship Id="rId8" Type="http://schemas.openxmlformats.org/officeDocument/2006/relationships/image" Target="media/image3.png"/><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11.xml"/><Relationship Id="rId18" Type="http://schemas.openxmlformats.org/officeDocument/2006/relationships/chart" Target="charts/chart10.xml"/><Relationship Id="rId17" Type="http://schemas.openxmlformats.org/officeDocument/2006/relationships/chart" Target="charts/chart9.xml"/><Relationship Id="rId16" Type="http://schemas.openxmlformats.org/officeDocument/2006/relationships/chart" Target="charts/chart8.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chart" Target="charts/chart3.xml"/><Relationship Id="rId10" Type="http://schemas.openxmlformats.org/officeDocument/2006/relationships/chart" Target="charts/chart2.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11.xml"/><Relationship Id="rId2" Type="http://schemas.microsoft.com/office/2011/relationships/chartStyle" Target="style11.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Administrator\Desktop\&#23459;&#20256;&#31295;\11&#26376;&#35266;&#28857;&#25991;&#20214;\Titanium%20Thermos%20Cup&#38043;&#20445;&#28201;&#26479;\Titanium%20Thermos%20Cup&#38043;&#20445;&#28201;&#26479;.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9.xml"/><Relationship Id="rId2" Type="http://schemas.microsoft.com/office/2011/relationships/chartStyle" Target="style9.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0.xml"/><Relationship Id="rId2" Type="http://schemas.microsoft.com/office/2011/relationships/chartStyle" Target="style10.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9.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10.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_rels/chart11.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file:///C:\Users\Administrator\Desktop\&#23459;&#20256;&#31295;\11&#26376;&#35266;&#28857;&#25991;&#20214;\&#26032;&#24314;&#25991;&#20214;&#22841;\&#35266;&#28857;&#25968;&#25454;&#22270;&#34920;&#27169;&#26495;-&#27169;&#26495;%2020231106.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企业排序!$H$1</c:f>
              <c:strCache>
                <c:ptCount val="1"/>
                <c:pt idx="0">
                  <c:v>2023</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Pt>
            <c:idx val="10"/>
            <c:invertIfNegative val="0"/>
            <c:bubble3D val="0"/>
            <c:spPr>
              <a:solidFill>
                <a:schemeClr val="accent5">
                  <a:lumMod val="60000"/>
                </a:schemeClr>
              </a:solidFill>
              <a:ln>
                <a:noFill/>
              </a:ln>
              <a:effectLst/>
            </c:spPr>
          </c:dPt>
          <c:dPt>
            <c:idx val="11"/>
            <c:invertIfNegative val="0"/>
            <c:bubble3D val="0"/>
            <c:spPr>
              <a:solidFill>
                <a:schemeClr val="accent6">
                  <a:lumMod val="60000"/>
                </a:schemeClr>
              </a:solidFill>
              <a:ln>
                <a:noFill/>
              </a:ln>
              <a:effectLst/>
            </c:spPr>
          </c:dPt>
          <c:dPt>
            <c:idx val="12"/>
            <c:invertIfNegative val="0"/>
            <c:bubble3D val="0"/>
            <c:spPr>
              <a:solidFill>
                <a:schemeClr val="accent1">
                  <a:lumMod val="80000"/>
                  <a:lumOff val="20000"/>
                </a:schemeClr>
              </a:solidFill>
              <a:ln>
                <a:noFill/>
              </a:ln>
              <a:effectLst/>
            </c:spPr>
          </c:dPt>
          <c:dPt>
            <c:idx val="13"/>
            <c:invertIfNegative val="0"/>
            <c:bubble3D val="0"/>
            <c:spPr>
              <a:solidFill>
                <a:schemeClr val="accent2">
                  <a:lumMod val="80000"/>
                  <a:lumOff val="20000"/>
                </a:schemeClr>
              </a:solidFill>
              <a:ln>
                <a:noFill/>
              </a:ln>
              <a:effectLst/>
            </c:spPr>
          </c:dPt>
          <c:dPt>
            <c:idx val="14"/>
            <c:invertIfNegative val="0"/>
            <c:bubble3D val="0"/>
            <c:spPr>
              <a:solidFill>
                <a:schemeClr val="accent3">
                  <a:lumMod val="80000"/>
                  <a:lumOff val="20000"/>
                </a:schemeClr>
              </a:solidFill>
              <a:ln>
                <a:noFill/>
              </a:ln>
              <a:effectLst/>
            </c:spPr>
          </c:dPt>
          <c:dPt>
            <c:idx val="15"/>
            <c:invertIfNegative val="0"/>
            <c:bubble3D val="0"/>
            <c:spPr>
              <a:solidFill>
                <a:schemeClr val="accent4">
                  <a:lumMod val="80000"/>
                  <a:lumOff val="20000"/>
                </a:schemeClr>
              </a:solidFill>
              <a:ln>
                <a:noFill/>
              </a:ln>
              <a:effectLst/>
            </c:spPr>
          </c:dPt>
          <c:dPt>
            <c:idx val="16"/>
            <c:invertIfNegative val="0"/>
            <c:bubble3D val="0"/>
            <c:spPr>
              <a:solidFill>
                <a:schemeClr val="accent5">
                  <a:lumMod val="80000"/>
                  <a:lumOff val="20000"/>
                </a:schemeClr>
              </a:solidFill>
              <a:ln>
                <a:noFill/>
              </a:ln>
              <a:effectLst/>
            </c:spPr>
          </c:dPt>
          <c:dPt>
            <c:idx val="17"/>
            <c:invertIfNegative val="0"/>
            <c:bubble3D val="0"/>
            <c:spPr>
              <a:solidFill>
                <a:schemeClr val="accent6">
                  <a:lumMod val="80000"/>
                  <a:lumOff val="20000"/>
                </a:schemeClr>
              </a:solidFill>
              <a:ln>
                <a:noFill/>
              </a:ln>
              <a:effectLst/>
            </c:spPr>
          </c:dPt>
          <c:dPt>
            <c:idx val="18"/>
            <c:invertIfNegative val="0"/>
            <c:bubble3D val="0"/>
            <c:spPr>
              <a:solidFill>
                <a:schemeClr val="accent1">
                  <a:lumMod val="80000"/>
                </a:schemeClr>
              </a:solidFill>
              <a:ln>
                <a:noFill/>
              </a:ln>
              <a:effectLst/>
            </c:spPr>
          </c:dPt>
          <c:dLbls>
            <c:delete val="1"/>
          </c:dLbls>
          <c:cat>
            <c:strRef>
              <c:f>企业排序!$F$2:$F$20</c:f>
              <c:strCache>
                <c:ptCount val="19"/>
                <c:pt idx="0">
                  <c:v>MOOSEN</c:v>
                </c:pt>
                <c:pt idx="1">
                  <c:v>浙江搜熊科技（BeddyBear）</c:v>
                </c:pt>
                <c:pt idx="2">
                  <c:v>日新金属制品有限公司(BEMEGA)</c:v>
                </c:pt>
                <c:pt idx="3">
                  <c:v>富光FUGUANG</c:v>
                </c:pt>
                <c:pt idx="4">
                  <c:v>苏泊尔（SUPOR）</c:v>
                </c:pt>
                <c:pt idx="5">
                  <c:v>厚岸科技（水密码）</c:v>
                </c:pt>
                <c:pt idx="6">
                  <c:v>台州市迈弘商贸（车后市）</c:v>
                </c:pt>
                <c:pt idx="7">
                  <c:v>格亚（GEYA）</c:v>
                </c:pt>
                <c:pt idx="8">
                  <c:v>Vanow</c:v>
                </c:pt>
                <c:pt idx="9">
                  <c:v>特美刻（TOMIC）</c:v>
                </c:pt>
                <c:pt idx="10">
                  <c:v>日本羽钛（TiKOBO钛工坊）</c:v>
                </c:pt>
                <c:pt idx="11">
                  <c:v>雷德夫（Leidfor）</c:v>
                </c:pt>
                <c:pt idx="12">
                  <c:v>堀江（Horie）</c:v>
                </c:pt>
                <c:pt idx="13">
                  <c:v>斯坦利（Stanley）</c:v>
                </c:pt>
                <c:pt idx="14">
                  <c:v>深圳市极致钛业有限公司（钛立维）</c:v>
                </c:pt>
                <c:pt idx="15">
                  <c:v>希诺（HEENOOR）</c:v>
                </c:pt>
                <c:pt idx="16">
                  <c:v>膳魔师（Thermos）</c:v>
                </c:pt>
                <c:pt idx="17">
                  <c:v>浙江飞剑（FEIJIAN)</c:v>
                </c:pt>
                <c:pt idx="18">
                  <c:v>太可（TAIC）</c:v>
                </c:pt>
              </c:strCache>
            </c:strRef>
          </c:cat>
          <c:val>
            <c:numRef>
              <c:f>企业排序!$H$2:$H$20</c:f>
              <c:numCache>
                <c:formatCode>#,##0.00_ </c:formatCode>
                <c:ptCount val="19"/>
                <c:pt idx="0">
                  <c:v>0.04</c:v>
                </c:pt>
                <c:pt idx="1">
                  <c:v>0.07</c:v>
                </c:pt>
                <c:pt idx="2">
                  <c:v>0.1</c:v>
                </c:pt>
                <c:pt idx="3">
                  <c:v>0.12</c:v>
                </c:pt>
                <c:pt idx="4">
                  <c:v>0.18</c:v>
                </c:pt>
                <c:pt idx="5">
                  <c:v>0.17</c:v>
                </c:pt>
                <c:pt idx="6">
                  <c:v>0.29</c:v>
                </c:pt>
                <c:pt idx="7">
                  <c:v>0.49</c:v>
                </c:pt>
                <c:pt idx="8">
                  <c:v>0.64</c:v>
                </c:pt>
                <c:pt idx="9">
                  <c:v>0.72</c:v>
                </c:pt>
                <c:pt idx="10">
                  <c:v>0.8</c:v>
                </c:pt>
                <c:pt idx="11">
                  <c:v>1.05</c:v>
                </c:pt>
                <c:pt idx="12">
                  <c:v>1.6</c:v>
                </c:pt>
                <c:pt idx="13">
                  <c:v>3.9</c:v>
                </c:pt>
                <c:pt idx="14">
                  <c:v>3.98</c:v>
                </c:pt>
                <c:pt idx="15">
                  <c:v>6.89</c:v>
                </c:pt>
                <c:pt idx="16">
                  <c:v>8.04</c:v>
                </c:pt>
                <c:pt idx="17">
                  <c:v>8.08</c:v>
                </c:pt>
                <c:pt idx="18">
                  <c:v>13.53</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extLst>
      <c:ext uri="{0b15fc19-7d7d-44ad-8c2d-2c3a37ce22c3}">
        <chartProps xmlns="https://web.wps.cn/et/2018/main" chartId="{5c243feb-22ed-41e8-9c2f-f475c422e90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31731154884581"/>
          <c:y val="0.46860724548351"/>
        </c:manualLayout>
      </c:layout>
      <c:overlay val="0"/>
      <c:spPr>
        <a:noFill/>
        <a:ln>
          <a:noFill/>
        </a:ln>
        <a:effectLst/>
      </c:spPr>
    </c:title>
    <c:autoTitleDeleted val="0"/>
    <c:plotArea>
      <c:layout/>
      <c:doughnutChart>
        <c:varyColors val="1"/>
        <c:ser>
          <c:idx val="0"/>
          <c:order val="0"/>
          <c:tx>
            <c:strRef>
              <c:f>分类!$AF$1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分类!$R$2:$R$4</c:f>
              <c:strCache>
                <c:ptCount val="3"/>
                <c:pt idx="0">
                  <c:v>≤300ml</c:v>
                </c:pt>
                <c:pt idx="1">
                  <c:v>300-400ml</c:v>
                </c:pt>
                <c:pt idx="2">
                  <c:v>＞400ml</c:v>
                </c:pt>
              </c:strCache>
            </c:strRef>
          </c:cat>
          <c:val>
            <c:numRef>
              <c:f>分类!$AF$2:$AF$4</c:f>
              <c:numCache>
                <c:formatCode>0.0%</c:formatCode>
                <c:ptCount val="3"/>
                <c:pt idx="0">
                  <c:v>0.269230769230769</c:v>
                </c:pt>
                <c:pt idx="1">
                  <c:v>0.519230769230769</c:v>
                </c:pt>
                <c:pt idx="2">
                  <c:v>0.211538461538462</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07cc2d3-8b9c-4f63-baa7-c0c0f96c5a10}"/>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38725452196382"/>
          <c:y val="0.469304340045449"/>
        </c:manualLayout>
      </c:layout>
      <c:overlay val="0"/>
      <c:spPr>
        <a:noFill/>
        <a:ln>
          <a:noFill/>
        </a:ln>
        <a:effectLst/>
      </c:spPr>
    </c:title>
    <c:autoTitleDeleted val="0"/>
    <c:plotArea>
      <c:layout/>
      <c:doughnutChart>
        <c:varyColors val="1"/>
        <c:ser>
          <c:idx val="0"/>
          <c:order val="0"/>
          <c:tx>
            <c:strRef>
              <c:f>分类!$AG$1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Lbls>
            <c:delete val="1"/>
          </c:dLbls>
          <c:cat>
            <c:strRef>
              <c:f>分类!$R$2:$R$4</c:f>
              <c:strCache>
                <c:ptCount val="3"/>
                <c:pt idx="0">
                  <c:v>≤300ml</c:v>
                </c:pt>
                <c:pt idx="1">
                  <c:v>300-400ml</c:v>
                </c:pt>
                <c:pt idx="2">
                  <c:v>＞400ml</c:v>
                </c:pt>
              </c:strCache>
            </c:strRef>
          </c:cat>
          <c:val>
            <c:numRef>
              <c:f>分类!$AG$2:$AG$4</c:f>
              <c:numCache>
                <c:formatCode>0.0%</c:formatCode>
                <c:ptCount val="3"/>
                <c:pt idx="0">
                  <c:v>0.27</c:v>
                </c:pt>
                <c:pt idx="1">
                  <c:v>0.53</c:v>
                </c:pt>
                <c:pt idx="2">
                  <c:v>0.2</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1ab0f186-70f0-46ab-a31d-aecc418e006d}"/>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≤300ml</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2</c:v>
                </c:pt>
                <c:pt idx="1">
                  <c:v>4</c:v>
                </c:pt>
                <c:pt idx="2">
                  <c:v>5</c:v>
                </c:pt>
                <c:pt idx="3">
                  <c:v>10</c:v>
                </c:pt>
                <c:pt idx="4">
                  <c:v>14</c:v>
                </c:pt>
                <c:pt idx="5">
                  <c:v>16</c:v>
                </c:pt>
                <c:pt idx="6">
                  <c:v>15</c:v>
                </c:pt>
                <c:pt idx="7">
                  <c:v>17</c:v>
                </c:pt>
                <c:pt idx="8">
                  <c:v>20</c:v>
                </c:pt>
                <c:pt idx="9">
                  <c:v>22</c:v>
                </c:pt>
                <c:pt idx="10">
                  <c:v>23</c:v>
                </c:pt>
                <c:pt idx="11">
                  <c:v>27</c:v>
                </c:pt>
              </c:numCache>
            </c:numRef>
          </c:val>
        </c:ser>
        <c:ser>
          <c:idx val="1"/>
          <c:order val="1"/>
          <c:tx>
            <c:strRef>
              <c:f>分类!$A$3</c:f>
              <c:strCache>
                <c:ptCount val="1"/>
                <c:pt idx="0">
                  <c:v>300-400ml</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5</c:v>
                </c:pt>
                <c:pt idx="1">
                  <c:v>7</c:v>
                </c:pt>
                <c:pt idx="2">
                  <c:v>10</c:v>
                </c:pt>
                <c:pt idx="3">
                  <c:v>19</c:v>
                </c:pt>
                <c:pt idx="4">
                  <c:v>27</c:v>
                </c:pt>
                <c:pt idx="5">
                  <c:v>28</c:v>
                </c:pt>
                <c:pt idx="6">
                  <c:v>31</c:v>
                </c:pt>
                <c:pt idx="7">
                  <c:v>35</c:v>
                </c:pt>
                <c:pt idx="8">
                  <c:v>40</c:v>
                </c:pt>
                <c:pt idx="9">
                  <c:v>45</c:v>
                </c:pt>
                <c:pt idx="10">
                  <c:v>49</c:v>
                </c:pt>
                <c:pt idx="11">
                  <c:v>53</c:v>
                </c:pt>
              </c:numCache>
            </c:numRef>
          </c:val>
        </c:ser>
        <c:ser>
          <c:idx val="2"/>
          <c:order val="2"/>
          <c:tx>
            <c:strRef>
              <c:f>分类!$A$4</c:f>
              <c:strCache>
                <c:ptCount val="1"/>
                <c:pt idx="0">
                  <c:v>＞400ml</c:v>
                </c:pt>
              </c:strCache>
            </c:strRef>
          </c:tx>
          <c:spPr>
            <a:solidFill>
              <a:schemeClr val="accent3"/>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Cache>
                <c:formatCode>#,##0_);[Red]\(#,##0\)</c:formatCode>
                <c:ptCount val="12"/>
                <c:pt idx="0">
                  <c:v>2</c:v>
                </c:pt>
                <c:pt idx="1">
                  <c:v>3</c:v>
                </c:pt>
                <c:pt idx="2">
                  <c:v>4</c:v>
                </c:pt>
                <c:pt idx="3">
                  <c:v>7</c:v>
                </c:pt>
                <c:pt idx="4">
                  <c:v>11</c:v>
                </c:pt>
                <c:pt idx="5">
                  <c:v>11</c:v>
                </c:pt>
                <c:pt idx="6">
                  <c:v>12</c:v>
                </c:pt>
                <c:pt idx="7">
                  <c:v>13</c:v>
                </c:pt>
                <c:pt idx="8">
                  <c:v>15</c:v>
                </c:pt>
                <c:pt idx="9">
                  <c:v>17</c:v>
                </c:pt>
                <c:pt idx="10">
                  <c:v>18</c:v>
                </c:pt>
                <c:pt idx="11">
                  <c:v>20</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297134259259259"/>
          <c:h val="0.0658464052287582"/>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6bca9eb6-b7c4-45c4-b6ce-771955d80aa9}"/>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2022</a:t>
            </a:r>
            <a:endParaRPr lang="en-US" altLang="zh-CN">
              <a:latin typeface="Book Antiqua" panose="02040602050305030304" pitchFamily="1" charset="0"/>
            </a:endParaRPr>
          </a:p>
        </c:rich>
      </c:tx>
      <c:layout>
        <c:manualLayout>
          <c:xMode val="edge"/>
          <c:yMode val="edge"/>
          <c:x val="0.422602852702949"/>
          <c:y val="0.464898558022033"/>
        </c:manualLayout>
      </c:layout>
      <c:overlay val="0"/>
      <c:spPr>
        <a:noFill/>
        <a:ln>
          <a:noFill/>
        </a:ln>
        <a:effectLst/>
      </c:spPr>
    </c:title>
    <c:autoTitleDeleted val="0"/>
    <c:plotArea>
      <c:layout/>
      <c:doughnutChart>
        <c:varyColors val="1"/>
        <c:ser>
          <c:idx val="0"/>
          <c:order val="0"/>
          <c:tx>
            <c:strRef>
              <c:f>应用!$AF$1</c:f>
              <c:strCache>
                <c:ptCount val="1"/>
                <c:pt idx="0">
                  <c:v>2022</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应用!$R$2:$R$3</c:f>
              <c:strCache>
                <c:ptCount val="2"/>
                <c:pt idx="0">
                  <c:v>线上销售</c:v>
                </c:pt>
                <c:pt idx="1">
                  <c:v>线下零售</c:v>
                </c:pt>
              </c:strCache>
            </c:strRef>
          </c:cat>
          <c:val>
            <c:numRef>
              <c:f>应用!$AF$2:$AF$3</c:f>
              <c:numCache>
                <c:formatCode>0.0%</c:formatCode>
                <c:ptCount val="2"/>
                <c:pt idx="0">
                  <c:v>0.219672131147541</c:v>
                </c:pt>
                <c:pt idx="1">
                  <c:v>0.780327868852459</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eab1c84b-555f-4995-875a-2c54738768ea}"/>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r>
              <a:rPr lang="en-US" altLang="zh-CN">
                <a:latin typeface="Book Antiqua" panose="02040602050305030304" pitchFamily="1" charset="0"/>
              </a:rPr>
              <a:t>2029</a:t>
            </a:r>
            <a:endParaRPr lang="en-US" altLang="zh-CN">
              <a:latin typeface="Book Antiqua" panose="02040602050305030304" pitchFamily="1" charset="0"/>
            </a:endParaRPr>
          </a:p>
        </c:rich>
      </c:tx>
      <c:layout>
        <c:manualLayout>
          <c:xMode val="edge"/>
          <c:yMode val="edge"/>
          <c:x val="0.429905286095026"/>
          <c:y val="0.45631058521213"/>
        </c:manualLayout>
      </c:layout>
      <c:overlay val="0"/>
      <c:spPr>
        <a:noFill/>
        <a:ln>
          <a:noFill/>
        </a:ln>
        <a:effectLst/>
      </c:spPr>
    </c:title>
    <c:autoTitleDeleted val="0"/>
    <c:plotArea>
      <c:layout/>
      <c:doughnutChart>
        <c:varyColors val="1"/>
        <c:ser>
          <c:idx val="0"/>
          <c:order val="0"/>
          <c:tx>
            <c:strRef>
              <c:f>应用!$AG$1</c:f>
              <c:strCache>
                <c:ptCount val="1"/>
                <c:pt idx="0">
                  <c:v>2029</c:v>
                </c:pt>
              </c:strCache>
            </c:strRef>
          </c:tx>
          <c:spPr/>
          <c:explosion val="2"/>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elete val="1"/>
          </c:dLbls>
          <c:cat>
            <c:strRef>
              <c:f>应用!$R$2:$R$3</c:f>
              <c:strCache>
                <c:ptCount val="2"/>
                <c:pt idx="0">
                  <c:v>线上销售</c:v>
                </c:pt>
                <c:pt idx="1">
                  <c:v>线下销售</c:v>
                </c:pt>
              </c:strCache>
            </c:strRef>
          </c:cat>
          <c:val>
            <c:numRef>
              <c:f>应用!$AG$2:$AG$3</c:f>
              <c:numCache>
                <c:formatCode>0.0%</c:formatCode>
                <c:ptCount val="2"/>
                <c:pt idx="0">
                  <c:v>0.241314461051173</c:v>
                </c:pt>
                <c:pt idx="1">
                  <c:v>0.758685538948827</c:v>
                </c:pt>
              </c:numCache>
            </c:numRef>
          </c:val>
        </c:ser>
        <c:dLbls>
          <c:showLegendKey val="0"/>
          <c:showVal val="0"/>
          <c:showCatName val="0"/>
          <c:showSerName val="0"/>
          <c:showPercent val="0"/>
          <c:showBubbleSize val="0"/>
          <c:showLeaderLines val="1"/>
        </c:dLbls>
        <c:firstSliceAng val="0"/>
        <c:holeSize val="50"/>
      </c:doughnutChart>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3777fd8-0b30-489e-a9ab-8d892892d71f}"/>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线上销售</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#,##0.00_);[Red]\(#,##0.00\)</c:formatCode>
                <c:ptCount val="12"/>
                <c:pt idx="0">
                  <c:v>1.87</c:v>
                </c:pt>
                <c:pt idx="1">
                  <c:v>3</c:v>
                </c:pt>
                <c:pt idx="2">
                  <c:v>4.31</c:v>
                </c:pt>
                <c:pt idx="3">
                  <c:v>8.18</c:v>
                </c:pt>
                <c:pt idx="4">
                  <c:v>11.39</c:v>
                </c:pt>
                <c:pt idx="5">
                  <c:v>12.74</c:v>
                </c:pt>
                <c:pt idx="6">
                  <c:v>13.01</c:v>
                </c:pt>
                <c:pt idx="7">
                  <c:v>14.09</c:v>
                </c:pt>
                <c:pt idx="8">
                  <c:v>17.02</c:v>
                </c:pt>
                <c:pt idx="9">
                  <c:v>20.12</c:v>
                </c:pt>
                <c:pt idx="10">
                  <c:v>21.83</c:v>
                </c:pt>
                <c:pt idx="11">
                  <c:v>24.38</c:v>
                </c:pt>
              </c:numCache>
            </c:numRef>
          </c:val>
        </c:ser>
        <c:ser>
          <c:idx val="1"/>
          <c:order val="1"/>
          <c:tx>
            <c:strRef>
              <c:f>应用!$A$3</c:f>
              <c:strCache>
                <c:ptCount val="1"/>
                <c:pt idx="0">
                  <c:v>线下零售</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#,##0.00_);[Red]\(#,##0.00\)</c:formatCode>
                <c:ptCount val="12"/>
                <c:pt idx="0">
                  <c:v>6.83</c:v>
                </c:pt>
                <c:pt idx="1">
                  <c:v>10.5</c:v>
                </c:pt>
                <c:pt idx="2">
                  <c:v>14.28</c:v>
                </c:pt>
                <c:pt idx="3">
                  <c:v>27.97</c:v>
                </c:pt>
                <c:pt idx="4">
                  <c:v>40.46</c:v>
                </c:pt>
                <c:pt idx="5">
                  <c:v>42.43</c:v>
                </c:pt>
                <c:pt idx="6">
                  <c:v>44.92</c:v>
                </c:pt>
                <c:pt idx="7">
                  <c:v>51.04</c:v>
                </c:pt>
                <c:pt idx="8">
                  <c:v>57.95</c:v>
                </c:pt>
                <c:pt idx="9">
                  <c:v>64.57</c:v>
                </c:pt>
                <c:pt idx="10">
                  <c:v>67.33</c:v>
                </c:pt>
                <c:pt idx="11">
                  <c:v>76.65</c:v>
                </c:pt>
              </c:numCache>
            </c:numRef>
          </c:val>
        </c:ser>
        <c:dLbls>
          <c:showLegendKey val="0"/>
          <c:showVal val="0"/>
          <c:showCatName val="0"/>
          <c:showSerName val="0"/>
          <c:showPercent val="0"/>
          <c:showBubbleSize val="0"/>
        </c:dLbls>
        <c:gapWidth val="25"/>
        <c:overlap val="100"/>
        <c:axId val="2101581920"/>
        <c:axId val="2101559456"/>
      </c:bar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6b4aa6fb-2b09-4c61-9a67-9e391aae2b3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'地区-生产'!$A$2</c:f>
              <c:strCache>
                <c:ptCount val="1"/>
                <c:pt idx="0">
                  <c:v>北美</c:v>
                </c:pt>
              </c:strCache>
            </c:strRef>
          </c:tx>
          <c:spPr>
            <a:solidFill>
              <a:srgbClr val="00206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'地区-生产'!$B$2:$M$2</c:f>
              <c:numCache>
                <c:formatCode>#,##0_);[Red]\(#,##0\)</c:formatCode>
                <c:ptCount val="12"/>
                <c:pt idx="0">
                  <c:v>0.64</c:v>
                </c:pt>
                <c:pt idx="1">
                  <c:v>0.69</c:v>
                </c:pt>
                <c:pt idx="2">
                  <c:v>1.38</c:v>
                </c:pt>
                <c:pt idx="3">
                  <c:v>3.8</c:v>
                </c:pt>
                <c:pt idx="4">
                  <c:v>5.14</c:v>
                </c:pt>
                <c:pt idx="5">
                  <c:v>5.29</c:v>
                </c:pt>
                <c:pt idx="6">
                  <c:v>5.5</c:v>
                </c:pt>
                <c:pt idx="7">
                  <c:v>6.21</c:v>
                </c:pt>
                <c:pt idx="8">
                  <c:v>6.93</c:v>
                </c:pt>
                <c:pt idx="9">
                  <c:v>7.74</c:v>
                </c:pt>
                <c:pt idx="10">
                  <c:v>8.08</c:v>
                </c:pt>
                <c:pt idx="11">
                  <c:v>9.32</c:v>
                </c:pt>
              </c:numCache>
            </c:numRef>
          </c:val>
        </c:ser>
        <c:ser>
          <c:idx val="1"/>
          <c:order val="1"/>
          <c:tx>
            <c:strRef>
              <c:f>'地区-生产'!$A$3</c:f>
              <c:strCache>
                <c:ptCount val="1"/>
                <c:pt idx="0">
                  <c:v>欧洲</c:v>
                </c:pt>
              </c:strCache>
            </c:strRef>
          </c:tx>
          <c:spPr>
            <a:solidFill>
              <a:schemeClr val="bg1">
                <a:lumMod val="50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'地区-生产'!$B$3:$M$3</c:f>
              <c:numCache>
                <c:formatCode>#,##0_);[Red]\(#,##0\)</c:formatCode>
                <c:ptCount val="12"/>
                <c:pt idx="0">
                  <c:v>2.04</c:v>
                </c:pt>
                <c:pt idx="1">
                  <c:v>2.23</c:v>
                </c:pt>
                <c:pt idx="2">
                  <c:v>1.96</c:v>
                </c:pt>
                <c:pt idx="3">
                  <c:v>3.13</c:v>
                </c:pt>
                <c:pt idx="4">
                  <c:v>4.56</c:v>
                </c:pt>
                <c:pt idx="5">
                  <c:v>4.53</c:v>
                </c:pt>
                <c:pt idx="6">
                  <c:v>4.6</c:v>
                </c:pt>
                <c:pt idx="7">
                  <c:v>5.13</c:v>
                </c:pt>
                <c:pt idx="8">
                  <c:v>5.75</c:v>
                </c:pt>
                <c:pt idx="9">
                  <c:v>6.58</c:v>
                </c:pt>
                <c:pt idx="10">
                  <c:v>6.93</c:v>
                </c:pt>
                <c:pt idx="11">
                  <c:v>7.75</c:v>
                </c:pt>
              </c:numCache>
            </c:numRef>
          </c:val>
        </c:ser>
        <c:ser>
          <c:idx val="2"/>
          <c:order val="2"/>
          <c:tx>
            <c:strRef>
              <c:f>'地区-生产'!$A$4</c:f>
              <c:strCache>
                <c:ptCount val="1"/>
                <c:pt idx="0">
                  <c:v>中国</c:v>
                </c:pt>
              </c:strCache>
            </c:strRef>
          </c:tx>
          <c:spPr>
            <a:solidFill>
              <a:srgbClr val="0070C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'地区-生产'!$B$4:$M$4</c:f>
              <c:numCache>
                <c:formatCode>#,##0_);[Red]\(#,##0\)</c:formatCode>
                <c:ptCount val="12"/>
                <c:pt idx="0">
                  <c:v>5.4</c:v>
                </c:pt>
                <c:pt idx="1">
                  <c:v>9.3</c:v>
                </c:pt>
                <c:pt idx="2">
                  <c:v>13.81</c:v>
                </c:pt>
                <c:pt idx="3">
                  <c:v>26.52</c:v>
                </c:pt>
                <c:pt idx="4">
                  <c:v>38.77</c:v>
                </c:pt>
                <c:pt idx="5">
                  <c:v>41.8</c:v>
                </c:pt>
                <c:pt idx="6">
                  <c:v>44.13</c:v>
                </c:pt>
                <c:pt idx="7">
                  <c:v>49.7</c:v>
                </c:pt>
                <c:pt idx="8">
                  <c:v>57.74</c:v>
                </c:pt>
                <c:pt idx="9">
                  <c:v>65.31</c:v>
                </c:pt>
                <c:pt idx="10">
                  <c:v>68.74</c:v>
                </c:pt>
                <c:pt idx="11">
                  <c:v>77.91</c:v>
                </c:pt>
              </c:numCache>
            </c:numRef>
          </c:val>
        </c:ser>
        <c:ser>
          <c:idx val="3"/>
          <c:order val="3"/>
          <c:tx>
            <c:strRef>
              <c:f>'地区-生产'!$A$5</c:f>
              <c:strCache>
                <c:ptCount val="1"/>
                <c:pt idx="0">
                  <c:v>日本</c:v>
                </c:pt>
              </c:strCache>
            </c:strRef>
          </c:tx>
          <c:spPr>
            <a:solidFill>
              <a:srgbClr val="FFC000"/>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'地区-生产'!$B$5:$M$5</c:f>
              <c:numCache>
                <c:formatCode>#,##0_);[Red]\(#,##0\)</c:formatCode>
                <c:ptCount val="12"/>
                <c:pt idx="0">
                  <c:v>0.48</c:v>
                </c:pt>
                <c:pt idx="1">
                  <c:v>1.08</c:v>
                </c:pt>
                <c:pt idx="2">
                  <c:v>1.21</c:v>
                </c:pt>
                <c:pt idx="3">
                  <c:v>2.26</c:v>
                </c:pt>
                <c:pt idx="4">
                  <c:v>2.77</c:v>
                </c:pt>
                <c:pt idx="5">
                  <c:v>2.9</c:v>
                </c:pt>
                <c:pt idx="6">
                  <c:v>3.01</c:v>
                </c:pt>
                <c:pt idx="7">
                  <c:v>3.31</c:v>
                </c:pt>
                <c:pt idx="8">
                  <c:v>3.74</c:v>
                </c:pt>
                <c:pt idx="9">
                  <c:v>4.13</c:v>
                </c:pt>
                <c:pt idx="10">
                  <c:v>4.42</c:v>
                </c:pt>
                <c:pt idx="11">
                  <c:v>4.98</c:v>
                </c:pt>
              </c:numCache>
            </c:numRef>
          </c:val>
        </c:ser>
        <c:ser>
          <c:idx val="4"/>
          <c:order val="4"/>
          <c:tx>
            <c:strRef>
              <c:f>'地区-生产'!$A$6</c:f>
              <c:strCache>
                <c:ptCount val="1"/>
                <c:pt idx="0">
                  <c:v>其他</c:v>
                </c:pt>
              </c:strCache>
            </c:strRef>
          </c:tx>
          <c:spPr>
            <a:solidFill>
              <a:schemeClr val="tx1">
                <a:lumMod val="65000"/>
                <a:lumOff val="35000"/>
              </a:schemeClr>
            </a:solidFill>
            <a:ln>
              <a:noFill/>
            </a:ln>
            <a:effectLst/>
          </c:spPr>
          <c:invertIfNegative val="0"/>
          <c:dLbls>
            <c:delete val="1"/>
          </c:dLbls>
          <c:cat>
            <c:numRef>
              <c:f>'地区-生产'!$B$1:$M$1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'地区-生产'!$B$6:$M$6</c:f>
              <c:numCache>
                <c:formatCode>#,##0_);[Red]\(#,##0\)</c:formatCode>
                <c:ptCount val="12"/>
                <c:pt idx="0">
                  <c:v>0.14</c:v>
                </c:pt>
                <c:pt idx="1">
                  <c:v>0.2</c:v>
                </c:pt>
                <c:pt idx="2">
                  <c:v>0.23</c:v>
                </c:pt>
                <c:pt idx="3">
                  <c:v>0.44</c:v>
                </c:pt>
                <c:pt idx="4">
                  <c:v>0.61</c:v>
                </c:pt>
                <c:pt idx="5">
                  <c:v>0.65</c:v>
                </c:pt>
                <c:pt idx="6">
                  <c:v>0.69</c:v>
                </c:pt>
                <c:pt idx="7">
                  <c:v>0.78</c:v>
                </c:pt>
                <c:pt idx="8">
                  <c:v>0.81</c:v>
                </c:pt>
                <c:pt idx="9">
                  <c:v>0.93</c:v>
                </c:pt>
                <c:pt idx="10">
                  <c:v>0.99</c:v>
                </c:pt>
                <c:pt idx="11">
                  <c:v>1.07</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a339fe19-153c-4f65-8103-6b33e20bd93b}"/>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'地区-生产'!$AE$1</c:f>
              <c:strCache>
                <c:ptCount val="1"/>
                <c:pt idx="0">
                  <c:v>2018</c:v>
                </c:pt>
              </c:strCache>
            </c:strRef>
          </c:tx>
          <c:spPr>
            <a:solidFill>
              <a:srgbClr val="FFC000"/>
            </a:solidFill>
            <a:ln>
              <a:noFill/>
            </a:ln>
            <a:effectLst/>
          </c:spPr>
          <c:invertIfNegative val="0"/>
          <c:dLbls>
            <c:delete val="1"/>
          </c:dLbls>
          <c:cat>
            <c:strRef>
              <c:f>'地区-生产'!$AD$2:$AD$6</c:f>
              <c:strCache>
                <c:ptCount val="5"/>
                <c:pt idx="0">
                  <c:v>北美</c:v>
                </c:pt>
                <c:pt idx="1">
                  <c:v>欧洲</c:v>
                </c:pt>
                <c:pt idx="2">
                  <c:v>中国</c:v>
                </c:pt>
                <c:pt idx="3">
                  <c:v>日本</c:v>
                </c:pt>
                <c:pt idx="4">
                  <c:v>其他</c:v>
                </c:pt>
              </c:strCache>
            </c:strRef>
          </c:cat>
          <c:val>
            <c:numRef>
              <c:f>'地区-生产'!$AE$2:$AE$6</c:f>
              <c:numCache>
                <c:formatCode>#,##0_);[Red]\(#,##0\)</c:formatCode>
                <c:ptCount val="5"/>
                <c:pt idx="0">
                  <c:v>0.64</c:v>
                </c:pt>
                <c:pt idx="1">
                  <c:v>2.04</c:v>
                </c:pt>
                <c:pt idx="2">
                  <c:v>5.4</c:v>
                </c:pt>
                <c:pt idx="3">
                  <c:v>0.48</c:v>
                </c:pt>
                <c:pt idx="4">
                  <c:v>0.14</c:v>
                </c:pt>
              </c:numCache>
            </c:numRef>
          </c:val>
        </c:ser>
        <c:ser>
          <c:idx val="1"/>
          <c:order val="1"/>
          <c:tx>
            <c:strRef>
              <c:f>'地区-生产'!$AF$1</c:f>
              <c:strCache>
                <c:ptCount val="1"/>
                <c:pt idx="0">
                  <c:v>2022</c:v>
                </c:pt>
              </c:strCache>
            </c:strRef>
          </c:tx>
          <c:spPr>
            <a:solidFill>
              <a:schemeClr val="bg1">
                <a:lumMod val="50000"/>
              </a:schemeClr>
            </a:solidFill>
            <a:ln>
              <a:noFill/>
            </a:ln>
            <a:effectLst/>
          </c:spPr>
          <c:invertIfNegative val="0"/>
          <c:dLbls>
            <c:delete val="1"/>
          </c:dLbls>
          <c:cat>
            <c:strRef>
              <c:f>'地区-生产'!$AD$2:$AD$6</c:f>
              <c:strCache>
                <c:ptCount val="5"/>
                <c:pt idx="0">
                  <c:v>北美</c:v>
                </c:pt>
                <c:pt idx="1">
                  <c:v>欧洲</c:v>
                </c:pt>
                <c:pt idx="2">
                  <c:v>中国</c:v>
                </c:pt>
                <c:pt idx="3">
                  <c:v>日本</c:v>
                </c:pt>
                <c:pt idx="4">
                  <c:v>其他</c:v>
                </c:pt>
              </c:strCache>
            </c:strRef>
          </c:cat>
          <c:val>
            <c:numRef>
              <c:f>'地区-生产'!$AF$2:$AF$6</c:f>
              <c:numCache>
                <c:formatCode>#,##0_);[Red]\(#,##0\)</c:formatCode>
                <c:ptCount val="5"/>
                <c:pt idx="0">
                  <c:v>5.14</c:v>
                </c:pt>
                <c:pt idx="1">
                  <c:v>4.56</c:v>
                </c:pt>
                <c:pt idx="2">
                  <c:v>38.77</c:v>
                </c:pt>
                <c:pt idx="3">
                  <c:v>2.77</c:v>
                </c:pt>
                <c:pt idx="4">
                  <c:v>0.61</c:v>
                </c:pt>
              </c:numCache>
            </c:numRef>
          </c:val>
        </c:ser>
        <c:ser>
          <c:idx val="2"/>
          <c:order val="2"/>
          <c:tx>
            <c:strRef>
              <c:f>'地区-生产'!$AG$1</c:f>
              <c:strCache>
                <c:ptCount val="1"/>
                <c:pt idx="0">
                  <c:v>2029</c:v>
                </c:pt>
              </c:strCache>
            </c:strRef>
          </c:tx>
          <c:spPr>
            <a:solidFill>
              <a:srgbClr val="002060"/>
            </a:solidFill>
            <a:ln>
              <a:noFill/>
            </a:ln>
            <a:effectLst/>
          </c:spPr>
          <c:invertIfNegative val="0"/>
          <c:dLbls>
            <c:delete val="1"/>
          </c:dLbls>
          <c:cat>
            <c:strRef>
              <c:f>'地区-生产'!$AD$2:$AD$6</c:f>
              <c:strCache>
                <c:ptCount val="5"/>
                <c:pt idx="0">
                  <c:v>北美</c:v>
                </c:pt>
                <c:pt idx="1">
                  <c:v>欧洲</c:v>
                </c:pt>
                <c:pt idx="2">
                  <c:v>中国</c:v>
                </c:pt>
                <c:pt idx="3">
                  <c:v>日本</c:v>
                </c:pt>
                <c:pt idx="4">
                  <c:v>其他</c:v>
                </c:pt>
              </c:strCache>
            </c:strRef>
          </c:cat>
          <c:val>
            <c:numRef>
              <c:f>'地区-生产'!$AG$2:$AG$6</c:f>
              <c:numCache>
                <c:formatCode>#,##0_);[Red]\(#,##0\)</c:formatCode>
                <c:ptCount val="5"/>
                <c:pt idx="0">
                  <c:v>9.32</c:v>
                </c:pt>
                <c:pt idx="1">
                  <c:v>7.75</c:v>
                </c:pt>
                <c:pt idx="2">
                  <c:v>77.91</c:v>
                </c:pt>
                <c:pt idx="3">
                  <c:v>4.98</c:v>
                </c:pt>
                <c:pt idx="4">
                  <c:v>1.07</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53fc2124-6dab-4288-a264-7eed1895e5d5}"/>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北美</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#,##0.00_);[Red]\(#,##0.00\)</c:formatCode>
                <c:ptCount val="12"/>
                <c:pt idx="0">
                  <c:v>2.34</c:v>
                </c:pt>
                <c:pt idx="1">
                  <c:v>3.42</c:v>
                </c:pt>
                <c:pt idx="2">
                  <c:v>4.86</c:v>
                </c:pt>
                <c:pt idx="3">
                  <c:v>9.43</c:v>
                </c:pt>
                <c:pt idx="4">
                  <c:v>13.44</c:v>
                </c:pt>
                <c:pt idx="5">
                  <c:v>14.43</c:v>
                </c:pt>
                <c:pt idx="6">
                  <c:v>14.87</c:v>
                </c:pt>
                <c:pt idx="7">
                  <c:v>17.52</c:v>
                </c:pt>
                <c:pt idx="8">
                  <c:v>18.93</c:v>
                </c:pt>
                <c:pt idx="9">
                  <c:v>21.09</c:v>
                </c:pt>
                <c:pt idx="10">
                  <c:v>23.37</c:v>
                </c:pt>
                <c:pt idx="11">
                  <c:v>25.95</c:v>
                </c:pt>
              </c:numCache>
            </c:numRef>
          </c:val>
        </c:ser>
        <c:ser>
          <c:idx val="1"/>
          <c:order val="1"/>
          <c:tx>
            <c:strRef>
              <c:f>'地区-消费'!$A$3</c:f>
              <c:strCache>
                <c:ptCount val="1"/>
                <c:pt idx="0">
                  <c:v>欧洲</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#,##0.00_);[Red]\(#,##0.00\)</c:formatCode>
                <c:ptCount val="12"/>
                <c:pt idx="0">
                  <c:v>2.35</c:v>
                </c:pt>
                <c:pt idx="1">
                  <c:v>3.65</c:v>
                </c:pt>
                <c:pt idx="2">
                  <c:v>4.99</c:v>
                </c:pt>
                <c:pt idx="3">
                  <c:v>9.69</c:v>
                </c:pt>
                <c:pt idx="4">
                  <c:v>13.8</c:v>
                </c:pt>
                <c:pt idx="5">
                  <c:v>14.66</c:v>
                </c:pt>
                <c:pt idx="6">
                  <c:v>15</c:v>
                </c:pt>
                <c:pt idx="7">
                  <c:v>16.63</c:v>
                </c:pt>
                <c:pt idx="8">
                  <c:v>19.33</c:v>
                </c:pt>
                <c:pt idx="9">
                  <c:v>21.86</c:v>
                </c:pt>
                <c:pt idx="10">
                  <c:v>22.71</c:v>
                </c:pt>
                <c:pt idx="11">
                  <c:v>25.19</c:v>
                </c:pt>
              </c:numCache>
            </c:numRef>
          </c:val>
        </c:ser>
        <c:ser>
          <c:idx val="2"/>
          <c:order val="2"/>
          <c:tx>
            <c:strRef>
              <c:f>'地区-消费'!$A$4</c:f>
              <c:strCache>
                <c:ptCount val="1"/>
                <c:pt idx="0">
                  <c:v>亚太地区</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#,##0.00_);[Red]\(#,##0.00\)</c:formatCode>
                <c:ptCount val="12"/>
                <c:pt idx="0">
                  <c:v>3.59</c:v>
                </c:pt>
                <c:pt idx="1">
                  <c:v>5.78</c:v>
                </c:pt>
                <c:pt idx="2">
                  <c:v>7.86</c:v>
                </c:pt>
                <c:pt idx="3">
                  <c:v>15.34</c:v>
                </c:pt>
                <c:pt idx="4">
                  <c:v>22.2</c:v>
                </c:pt>
                <c:pt idx="5">
                  <c:v>23.51</c:v>
                </c:pt>
                <c:pt idx="6">
                  <c:v>25.38</c:v>
                </c:pt>
                <c:pt idx="7">
                  <c:v>28.08</c:v>
                </c:pt>
                <c:pt idx="8">
                  <c:v>33.33</c:v>
                </c:pt>
                <c:pt idx="9">
                  <c:v>37.94</c:v>
                </c:pt>
                <c:pt idx="10">
                  <c:v>39.2</c:v>
                </c:pt>
                <c:pt idx="11">
                  <c:v>45.59</c:v>
                </c:pt>
              </c:numCache>
            </c:numRef>
          </c:val>
        </c:ser>
        <c:ser>
          <c:idx val="3"/>
          <c:order val="3"/>
          <c:tx>
            <c:strRef>
              <c:f>'地区-消费'!$A$5</c:f>
              <c:strCache>
                <c:ptCount val="1"/>
                <c:pt idx="0">
                  <c:v>拉美</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#,##0.00_);[Red]\(#,##0.00\)</c:formatCode>
                <c:ptCount val="12"/>
                <c:pt idx="0">
                  <c:v>0.22</c:v>
                </c:pt>
                <c:pt idx="1">
                  <c:v>0.35</c:v>
                </c:pt>
                <c:pt idx="2">
                  <c:v>0.46</c:v>
                </c:pt>
                <c:pt idx="3">
                  <c:v>0.9</c:v>
                </c:pt>
                <c:pt idx="4">
                  <c:v>1.28</c:v>
                </c:pt>
                <c:pt idx="5">
                  <c:v>1.36</c:v>
                </c:pt>
                <c:pt idx="6">
                  <c:v>1.41</c:v>
                </c:pt>
                <c:pt idx="7">
                  <c:v>1.51</c:v>
                </c:pt>
                <c:pt idx="8">
                  <c:v>1.74</c:v>
                </c:pt>
                <c:pt idx="9">
                  <c:v>1.98</c:v>
                </c:pt>
                <c:pt idx="10">
                  <c:v>2.05</c:v>
                </c:pt>
                <c:pt idx="11">
                  <c:v>2.31</c:v>
                </c:pt>
              </c:numCache>
            </c:numRef>
          </c:val>
        </c:ser>
        <c:ser>
          <c:idx val="4"/>
          <c:order val="4"/>
          <c:tx>
            <c:strRef>
              <c:f>'地区-消费'!$A$6</c:f>
              <c:strCache>
                <c:ptCount val="1"/>
                <c:pt idx="0">
                  <c:v>中东和非洲</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#,##0.00_);[Red]\(#,##0.00\)</c:formatCode>
                <c:ptCount val="12"/>
                <c:pt idx="0">
                  <c:v>0.2</c:v>
                </c:pt>
                <c:pt idx="1">
                  <c:v>0.3</c:v>
                </c:pt>
                <c:pt idx="2">
                  <c:v>0.42</c:v>
                </c:pt>
                <c:pt idx="3">
                  <c:v>0.79</c:v>
                </c:pt>
                <c:pt idx="4">
                  <c:v>1.13</c:v>
                </c:pt>
                <c:pt idx="5">
                  <c:v>1.21</c:v>
                </c:pt>
                <c:pt idx="6">
                  <c:v>1.27</c:v>
                </c:pt>
                <c:pt idx="7">
                  <c:v>1.39</c:v>
                </c:pt>
                <c:pt idx="8">
                  <c:v>1.64</c:v>
                </c:pt>
                <c:pt idx="9">
                  <c:v>1.82</c:v>
                </c:pt>
                <c:pt idx="10">
                  <c:v>1.83</c:v>
                </c:pt>
                <c:pt idx="11">
                  <c:v>1.99</c:v>
                </c:pt>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'地区-消费'!$B$7:$M$7</c:f>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'地区-消费'!$B$8:$M$8</c:f>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'地区-消费'!$B$9:$M$9</c:f>
            </c:numRef>
          </c:val>
        </c:ser>
        <c:ser>
          <c:idx val="8"/>
          <c:order val="8"/>
          <c:tx>
            <c:strRef>
              <c:f>'地区-消费'!$A$10</c:f>
              <c:strCache>
                <c:ptCount val="1"/>
                <c:pt idx="0">
                  <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'地区-消费'!$B$10:$M$10</c:f>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extLst>
      <c:ext uri="{0b15fc19-7d7d-44ad-8c2d-2c3a37ce22c3}">
        <chartProps xmlns="https://web.wps.cn/et/2018/main" chartId="{25056eb5-b34b-4047-b15b-f9251e37f0fe}"/>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Market Size 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'地区-消费'!$AE$1</c:f>
              <c:strCache>
                <c:ptCount val="1"/>
                <c:pt idx="0">
                  <c:v>2018</c:v>
                </c:pt>
              </c:strCache>
            </c:strRef>
          </c:tx>
          <c:spPr>
            <a:solidFill>
              <a:srgbClr val="FFC000"/>
            </a:solidFill>
            <a:ln>
              <a:noFill/>
            </a:ln>
            <a:effectLst/>
          </c:spPr>
          <c:invertIfNegative val="0"/>
          <c:dLbls>
            <c:delete val="1"/>
          </c:dLbls>
          <c:cat>
            <c:strRef>
              <c:f>'地区-消费'!$AD$2:$AD$6</c:f>
              <c:strCache>
                <c:ptCount val="5"/>
                <c:pt idx="0">
                  <c:v>北美</c:v>
                </c:pt>
                <c:pt idx="1">
                  <c:v>欧洲</c:v>
                </c:pt>
                <c:pt idx="2">
                  <c:v>亚太地区</c:v>
                </c:pt>
                <c:pt idx="3">
                  <c:v>拉美</c:v>
                </c:pt>
                <c:pt idx="4">
                  <c:v>中东和非洲</c:v>
                </c:pt>
              </c:strCache>
            </c:strRef>
          </c:cat>
          <c:val>
            <c:numRef>
              <c:f>'地区-消费'!$AE$2:$AE$6</c:f>
              <c:numCache>
                <c:formatCode>#,##0_);[Red]\(#,##0\)</c:formatCode>
                <c:ptCount val="5"/>
                <c:pt idx="0">
                  <c:v>2.34</c:v>
                </c:pt>
                <c:pt idx="1">
                  <c:v>2.35</c:v>
                </c:pt>
                <c:pt idx="2">
                  <c:v>3.59</c:v>
                </c:pt>
                <c:pt idx="3">
                  <c:v>0.22</c:v>
                </c:pt>
                <c:pt idx="4">
                  <c:v>0.2</c:v>
                </c:pt>
              </c:numCache>
            </c:numRef>
          </c:val>
        </c:ser>
        <c:ser>
          <c:idx val="1"/>
          <c:order val="1"/>
          <c:tx>
            <c:strRef>
              <c:f>'地区-消费'!$AF$1</c:f>
              <c:strCache>
                <c:ptCount val="1"/>
                <c:pt idx="0">
                  <c:v>2022</c:v>
                </c:pt>
              </c:strCache>
            </c:strRef>
          </c:tx>
          <c:spPr>
            <a:solidFill>
              <a:schemeClr val="bg1">
                <a:lumMod val="50000"/>
              </a:schemeClr>
            </a:solidFill>
            <a:ln>
              <a:noFill/>
            </a:ln>
            <a:effectLst/>
          </c:spPr>
          <c:invertIfNegative val="0"/>
          <c:dLbls>
            <c:delete val="1"/>
          </c:dLbls>
          <c:cat>
            <c:strRef>
              <c:f>'地区-消费'!$AD$2:$AD$6</c:f>
              <c:strCache>
                <c:ptCount val="5"/>
                <c:pt idx="0">
                  <c:v>北美</c:v>
                </c:pt>
                <c:pt idx="1">
                  <c:v>欧洲</c:v>
                </c:pt>
                <c:pt idx="2">
                  <c:v>亚太地区</c:v>
                </c:pt>
                <c:pt idx="3">
                  <c:v>拉美</c:v>
                </c:pt>
                <c:pt idx="4">
                  <c:v>中东和非洲</c:v>
                </c:pt>
              </c:strCache>
            </c:strRef>
          </c:cat>
          <c:val>
            <c:numRef>
              <c:f>'地区-消费'!$AF$2:$AF$6</c:f>
              <c:numCache>
                <c:formatCode>#,##0_);[Red]\(#,##0\)</c:formatCode>
                <c:ptCount val="5"/>
                <c:pt idx="0">
                  <c:v>13.44</c:v>
                </c:pt>
                <c:pt idx="1">
                  <c:v>13.8</c:v>
                </c:pt>
                <c:pt idx="2">
                  <c:v>22.2</c:v>
                </c:pt>
                <c:pt idx="3">
                  <c:v>1.28</c:v>
                </c:pt>
                <c:pt idx="4">
                  <c:v>1.13</c:v>
                </c:pt>
              </c:numCache>
            </c:numRef>
          </c:val>
        </c:ser>
        <c:ser>
          <c:idx val="2"/>
          <c:order val="2"/>
          <c:tx>
            <c:strRef>
              <c:f>'地区-消费'!$AG$1</c:f>
              <c:strCache>
                <c:ptCount val="1"/>
                <c:pt idx="0">
                  <c:v>2029</c:v>
                </c:pt>
              </c:strCache>
            </c:strRef>
          </c:tx>
          <c:spPr>
            <a:solidFill>
              <a:srgbClr val="002060"/>
            </a:solidFill>
            <a:ln>
              <a:noFill/>
            </a:ln>
            <a:effectLst/>
          </c:spPr>
          <c:invertIfNegative val="0"/>
          <c:dLbls>
            <c:delete val="1"/>
          </c:dLbls>
          <c:cat>
            <c:strRef>
              <c:f>'地区-消费'!$AD$2:$AD$6</c:f>
              <c:strCache>
                <c:ptCount val="5"/>
                <c:pt idx="0">
                  <c:v>北美</c:v>
                </c:pt>
                <c:pt idx="1">
                  <c:v>欧洲</c:v>
                </c:pt>
                <c:pt idx="2">
                  <c:v>亚太地区</c:v>
                </c:pt>
                <c:pt idx="3">
                  <c:v>拉美</c:v>
                </c:pt>
                <c:pt idx="4">
                  <c:v>中东和非洲</c:v>
                </c:pt>
              </c:strCache>
            </c:strRef>
          </c:cat>
          <c:val>
            <c:numRef>
              <c:f>'地区-消费'!$AG$2:$AG$6</c:f>
              <c:numCache>
                <c:formatCode>#,##0_);[Red]\(#,##0\)</c:formatCode>
                <c:ptCount val="5"/>
                <c:pt idx="0">
                  <c:v>25.95</c:v>
                </c:pt>
                <c:pt idx="1">
                  <c:v>25.19</c:v>
                </c:pt>
                <c:pt idx="2">
                  <c:v>45.59</c:v>
                </c:pt>
                <c:pt idx="3">
                  <c:v>2.31</c:v>
                </c:pt>
                <c:pt idx="4">
                  <c:v>1.99</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extLst>
      <c:ext uri="{0b15fc19-7d7d-44ad-8c2d-2c3a37ce22c3}">
        <chartProps xmlns="https://web.wps.cn/et/2018/main" chartId="{07318e10-3db4-47ee-89b3-a384202a5e86}"/>
      </c:ext>
    </c:extLst>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9.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0.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1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9.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0.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1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1A67C73-759B-4B98-A646-ECF742793702}">
  <ds:schemaRefs/>
</ds:datastoreItem>
</file>

<file path=docProps/app.xml><?xml version="1.0" encoding="utf-8"?>
<Properties xmlns="http://schemas.openxmlformats.org/officeDocument/2006/extended-properties" xmlns:vt="http://schemas.openxmlformats.org/officeDocument/2006/docPropsVTypes">
  <Template>Normal</Template>
  <Pages>8</Pages>
  <Words>3129</Words>
  <Characters>3477</Characters>
  <Lines>25</Lines>
  <Paragraphs>7</Paragraphs>
  <TotalTime>652</TotalTime>
  <ScaleCrop>false</ScaleCrop>
  <LinksUpToDate>false</LinksUpToDate>
  <CharactersWithSpaces>3516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2025-08-27T07:20:57Z</dcterms:modified>
  <cp:revision>812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2052-12.1.0.22529</vt:lpwstr>
  </property>
  <property fmtid="{D5CDD505-2E9C-101B-9397-08002B2CF9AE}" pid="4" name="ICV">
    <vt:lpwstr>3B9BF1B0AF884B03BC7FF0382FC87117_12</vt:lpwstr>
  </property>
</Properties>
</file>