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22307">
      <w:pPr>
        <w:pStyle w:val="145"/>
        <w:rPr>
          <w:i w:val="0"/>
          <w:iCs w:val="0"/>
          <w:lang w:eastAsia="zh-CN"/>
        </w:rPr>
      </w:pPr>
      <w:bookmarkStart w:id="0" w:name="_Toc517262917"/>
      <w:bookmarkStart w:id="1" w:name="_Toc481801204"/>
      <w:bookmarkStart w:id="2" w:name="_Toc415818939"/>
      <w:bookmarkStart w:id="3" w:name="_Toc415143481"/>
      <w:bookmarkStart w:id="4" w:name="OLE_LINK15"/>
      <w:bookmarkStart w:id="5" w:name="OLE_LINK13"/>
      <w:bookmarkStart w:id="6" w:name="_Toc453597319"/>
      <w:bookmarkStart w:id="7" w:name="_Toc438987549"/>
      <w:bookmarkStart w:id="8" w:name="_Toc418070112"/>
      <w:bookmarkStart w:id="9" w:name="_Toc415142861"/>
      <w:bookmarkStart w:id="10" w:name="OLE_LINK24"/>
      <w:bookmarkStart w:id="11" w:name="OLE_LINK40"/>
      <w:bookmarkStart w:id="12" w:name="OLE_LINK39"/>
      <w:r>
        <w:rPr>
          <w:i w:val="0"/>
          <w:iCs w:val="0"/>
        </w:rPr>
        <w:drawing>
          <wp:inline distT="0" distB="0" distL="114300" distR="114300">
            <wp:extent cx="6187440" cy="4401820"/>
            <wp:effectExtent l="0" t="0" r="381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401820"/>
                    </a:xfrm>
                    <a:prstGeom prst="rect">
                      <a:avLst/>
                    </a:prstGeom>
                    <a:noFill/>
                    <a:ln>
                      <a:noFill/>
                    </a:ln>
                  </pic:spPr>
                </pic:pic>
              </a:graphicData>
            </a:graphic>
          </wp:inline>
        </w:drawing>
      </w:r>
      <w:r>
        <w:rPr>
          <w:i w:val="0"/>
          <w:iCs w:val="0"/>
          <w:lang w:eastAsia="zh-CN"/>
        </w:rPr>
        <w:t>生物基橡胶轮胎是一种将源自生物来源的可再生和可持续材料纳入其组成的轮胎。 传统的橡胶轮胎主要由石油中的合成橡胶制成，石油是一种不可再生资源。 生物基橡胶轮胎旨在通过利用天然材料来减少轮胎制造对环境的影响。</w:t>
      </w:r>
    </w:p>
    <w:p w14:paraId="038BE5E2">
      <w:pPr>
        <w:pStyle w:val="145"/>
        <w:rPr>
          <w:i w:val="0"/>
          <w:iCs w:val="0"/>
          <w:lang w:eastAsia="zh-CN"/>
        </w:rPr>
      </w:pPr>
      <w:r>
        <w:rPr>
          <w:i w:val="0"/>
          <w:iCs w:val="0"/>
        </w:rPr>
        <w:drawing>
          <wp:inline distT="0" distB="0" distL="0" distR="0">
            <wp:extent cx="2619375" cy="1743075"/>
            <wp:effectExtent l="0" t="0" r="9525" b="9525"/>
            <wp:docPr id="1512019297" name="图片 97" descr="玲珑轮胎成为全球可持续天然橡胶平台成员，推动橡胶行业发展_再生橡胶信息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019297" name="图片 97" descr="玲珑轮胎成为全球可持续天然橡胶平台成员，推动橡胶行业发展_再生橡胶信息网"/>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619375" cy="1743075"/>
                    </a:xfrm>
                    <a:prstGeom prst="rect">
                      <a:avLst/>
                    </a:prstGeom>
                    <a:noFill/>
                    <a:ln>
                      <a:noFill/>
                    </a:ln>
                  </pic:spPr>
                </pic:pic>
              </a:graphicData>
            </a:graphic>
          </wp:inline>
        </w:drawing>
      </w:r>
    </w:p>
    <w:p w14:paraId="3BA57076">
      <w:pPr>
        <w:pStyle w:val="145"/>
        <w:rPr>
          <w:i w:val="0"/>
          <w:iCs w:val="0"/>
          <w:lang w:eastAsia="zh-CN"/>
        </w:rPr>
      </w:pPr>
      <w:r>
        <w:rPr>
          <w:rFonts w:hint="eastAsia"/>
          <w:i w:val="0"/>
          <w:iCs w:val="0"/>
          <w:lang w:eastAsia="zh-CN"/>
        </w:rPr>
        <w:t>根据QYResearch最新调研报告显示，预计2</w:t>
      </w:r>
      <w:r>
        <w:rPr>
          <w:i w:val="0"/>
          <w:iCs w:val="0"/>
          <w:lang w:eastAsia="zh-CN"/>
        </w:rPr>
        <w:t>03</w:t>
      </w:r>
      <w:r>
        <w:rPr>
          <w:rFonts w:hint="eastAsia"/>
          <w:i w:val="0"/>
          <w:iCs w:val="0"/>
          <w:lang w:eastAsia="zh-CN"/>
        </w:rPr>
        <w:t>1年全球</w:t>
      </w:r>
      <w:r>
        <w:rPr>
          <w:i w:val="0"/>
          <w:iCs w:val="0"/>
          <w:lang w:eastAsia="zh-CN"/>
        </w:rPr>
        <w:t>生物基橡胶轮胎</w:t>
      </w:r>
      <w:r>
        <w:rPr>
          <w:rFonts w:hint="eastAsia"/>
          <w:i w:val="0"/>
          <w:iCs w:val="0"/>
          <w:lang w:eastAsia="zh-CN"/>
        </w:rPr>
        <w:t>市场规模将达到24.33亿美元，未来几年年复合增长率CAGR为20.35%。</w:t>
      </w:r>
    </w:p>
    <w:p w14:paraId="5131B9EE">
      <w:pPr>
        <w:pStyle w:val="145"/>
        <w:rPr>
          <w:i w:val="0"/>
          <w:iCs w:val="0"/>
          <w:lang w:eastAsia="zh-CN"/>
        </w:rPr>
      </w:pPr>
    </w:p>
    <w:p w14:paraId="7015835C">
      <w:pPr>
        <w:pStyle w:val="148"/>
        <w:numPr>
          <w:numId w:val="0"/>
        </w:numPr>
        <w:ind w:leftChars="0"/>
        <w:rPr>
          <w:i w:val="0"/>
          <w:iCs w:val="0"/>
          <w:lang w:eastAsia="zh-CN"/>
        </w:rPr>
      </w:pPr>
    </w:p>
    <w:p w14:paraId="3F6C2722">
      <w:pPr>
        <w:pStyle w:val="148"/>
        <w:numPr>
          <w:numId w:val="0"/>
        </w:numPr>
        <w:ind w:leftChars="0"/>
        <w:rPr>
          <w:i w:val="0"/>
          <w:iCs w:val="0"/>
          <w:lang w:eastAsia="zh-CN"/>
        </w:rPr>
      </w:pPr>
      <w:r>
        <w:rPr>
          <w:i w:val="0"/>
          <w:iCs w:val="0"/>
          <w:lang w:eastAsia="zh-CN"/>
        </w:rPr>
        <w:t>生物基橡胶轮胎</w:t>
      </w:r>
      <w:r>
        <w:rPr>
          <w:rFonts w:hint="eastAsia"/>
          <w:i w:val="0"/>
          <w:iCs w:val="0"/>
          <w:lang w:eastAsia="zh-CN"/>
        </w:rPr>
        <w:t>，全球市场总体规模</w:t>
      </w:r>
    </w:p>
    <w:p w14:paraId="33261207">
      <w:pPr>
        <w:rPr>
          <w:i w:val="0"/>
          <w:iCs w:val="0"/>
        </w:rPr>
      </w:pPr>
      <w:bookmarkStart w:id="13" w:name="_Hlk35959958"/>
      <w:r>
        <w:rPr>
          <w:i w:val="0"/>
          <w:iCs w:val="0"/>
        </w:rPr>
        <mc:AlternateContent>
          <mc:Choice Requires="wpg">
            <w:drawing>
              <wp:anchor distT="0" distB="0" distL="114300" distR="114300" simplePos="0" relativeHeight="251660288" behindDoc="0" locked="0" layoutInCell="1" allowOverlap="1">
                <wp:simplePos x="0" y="0"/>
                <wp:positionH relativeFrom="column">
                  <wp:posOffset>666750</wp:posOffset>
                </wp:positionH>
                <wp:positionV relativeFrom="paragraph">
                  <wp:posOffset>168910</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39347"/>
                            <a:ext cx="1452266" cy="945364"/>
                          </a:xfrm>
                          <a:prstGeom prst="rect">
                            <a:avLst/>
                          </a:prstGeom>
                          <a:noFill/>
                          <a:ln w="6350">
                            <a:noFill/>
                          </a:ln>
                        </wps:spPr>
                        <wps:txbx>
                          <w:txbxContent>
                            <w:p w14:paraId="05A60C0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4</w:t>
                              </w:r>
                            </w:p>
                            <w:p w14:paraId="4E27E399">
                              <w:pPr>
                                <w:spacing w:line="0" w:lineRule="atLeast"/>
                                <w:jc w:val="center"/>
                                <w:rPr>
                                  <w:sz w:val="24"/>
                                  <w:szCs w:val="24"/>
                                </w:rPr>
                              </w:pPr>
                              <w:r>
                                <w:rPr>
                                  <w:rFonts w:hint="eastAsia"/>
                                  <w:b/>
                                  <w:color w:val="FFC709"/>
                                  <w:sz w:val="24"/>
                                  <w:szCs w:val="24"/>
                                </w:rPr>
                                <w:t>132.76</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739FC621">
                              <w:pPr>
                                <w:spacing w:line="0" w:lineRule="atLeast"/>
                                <w:jc w:val="center"/>
                                <w:rPr>
                                  <w:sz w:val="24"/>
                                  <w:szCs w:val="24"/>
                                </w:rPr>
                              </w:pPr>
                              <w:r>
                                <w:rPr>
                                  <w:b/>
                                  <w:color w:val="FFFFFF"/>
                                  <w:sz w:val="24"/>
                                  <w:szCs w:val="24"/>
                                </w:rPr>
                                <w:t>20</w:t>
                              </w:r>
                              <w:r>
                                <w:rPr>
                                  <w:rFonts w:hint="eastAsia"/>
                                  <w:b/>
                                  <w:color w:val="FFFFFF"/>
                                  <w:sz w:val="24"/>
                                  <w:szCs w:val="24"/>
                                </w:rPr>
                                <w:t>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E5FB501">
                              <w:pPr>
                                <w:spacing w:line="0" w:lineRule="atLeast"/>
                                <w:jc w:val="center"/>
                                <w:rPr>
                                  <w:sz w:val="24"/>
                                  <w:szCs w:val="24"/>
                                </w:rPr>
                              </w:pPr>
                              <w:r>
                                <w:rPr>
                                  <w:b/>
                                  <w:color w:val="FFFFFF"/>
                                  <w:sz w:val="24"/>
                                  <w:szCs w:val="24"/>
                                </w:rPr>
                                <w:t>202</w:t>
                              </w:r>
                              <w:r>
                                <w:rPr>
                                  <w:rFonts w:hint="eastAsia"/>
                                  <w:b/>
                                  <w:color w:val="FFFFFF"/>
                                  <w:sz w:val="24"/>
                                  <w:szCs w:val="24"/>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55580A51">
                              <w:pPr>
                                <w:spacing w:line="0" w:lineRule="atLeast"/>
                                <w:jc w:val="center"/>
                                <w:rPr>
                                  <w:sz w:val="24"/>
                                  <w:szCs w:val="24"/>
                                </w:rPr>
                              </w:pPr>
                              <w:r>
                                <w:rPr>
                                  <w:b/>
                                  <w:color w:val="FFFFFF"/>
                                  <w:sz w:val="24"/>
                                  <w:szCs w:val="24"/>
                                </w:rPr>
                                <w:t>20</w:t>
                              </w:r>
                              <w:r>
                                <w:rPr>
                                  <w:rFonts w:hint="eastAsia"/>
                                  <w:b/>
                                  <w:color w:val="FFFFFF"/>
                                  <w:sz w:val="24"/>
                                  <w:szCs w:val="24"/>
                                </w:rPr>
                                <w:t>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2306852D">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5</w:t>
                              </w:r>
                              <w:r>
                                <w:rPr>
                                  <w:b/>
                                  <w:color w:val="FFFFFF"/>
                                  <w:w w:val="95"/>
                                  <w:sz w:val="24"/>
                                  <w:szCs w:val="24"/>
                                </w:rPr>
                                <w:t>-203</w:t>
                              </w:r>
                              <w:r>
                                <w:rPr>
                                  <w:rFonts w:hint="eastAsia"/>
                                  <w:b/>
                                  <w:color w:val="FFFFFF"/>
                                  <w:w w:val="95"/>
                                  <w:sz w:val="24"/>
                                  <w:szCs w:val="24"/>
                                </w:rPr>
                                <w:t>1</w:t>
                              </w:r>
                            </w:p>
                            <w:p w14:paraId="4C2FCC0A">
                              <w:pPr>
                                <w:spacing w:line="0" w:lineRule="atLeast"/>
                                <w:jc w:val="center"/>
                                <w:rPr>
                                  <w:sz w:val="24"/>
                                  <w:szCs w:val="24"/>
                                </w:rPr>
                              </w:pPr>
                              <w:r>
                                <w:rPr>
                                  <w:rFonts w:hint="eastAsia"/>
                                  <w:b/>
                                  <w:color w:val="FFC709"/>
                                  <w:sz w:val="24"/>
                                  <w:szCs w:val="24"/>
                                </w:rPr>
                                <w:t>20.35</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606C2C17">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5年增速</w:t>
                              </w:r>
                              <w:r>
                                <w:rPr>
                                  <w:b/>
                                  <w:color w:val="FFFFFF"/>
                                  <w:sz w:val="24"/>
                                  <w:szCs w:val="24"/>
                                </w:rPr>
                                <w:t>:</w:t>
                              </w:r>
                              <w:r>
                                <w:rPr>
                                  <w:rFonts w:hint="eastAsia"/>
                                  <w:b/>
                                  <w:color w:val="FFFFFF"/>
                                  <w:sz w:val="24"/>
                                  <w:szCs w:val="24"/>
                                </w:rPr>
                                <w:t xml:space="preserve"> </w:t>
                              </w:r>
                            </w:p>
                            <w:p w14:paraId="30E46AAA">
                              <w:pPr>
                                <w:spacing w:line="0" w:lineRule="atLeast"/>
                                <w:jc w:val="center"/>
                                <w:rPr>
                                  <w:sz w:val="24"/>
                                  <w:szCs w:val="24"/>
                                </w:rPr>
                              </w:pPr>
                              <w:r>
                                <w:rPr>
                                  <w:rFonts w:hint="eastAsia"/>
                                  <w:b/>
                                  <w:color w:val="FFC709"/>
                                  <w:sz w:val="24"/>
                                  <w:szCs w:val="24"/>
                                </w:rPr>
                                <w:t>28.7</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40326BD6">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21.20</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1C025B42">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800.86</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067" y="192790"/>
                            <a:ext cx="1439124" cy="410010"/>
                          </a:xfrm>
                          <a:prstGeom prst="rect">
                            <a:avLst/>
                          </a:prstGeom>
                          <a:noFill/>
                          <a:ln w="6350">
                            <a:noFill/>
                          </a:ln>
                        </wps:spPr>
                        <wps:txbx>
                          <w:txbxContent>
                            <w:p w14:paraId="7009FC2D">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2433.95</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5pt;margin-top:13.3pt;height:243.15pt;width:412.35pt;z-index:251660288;mso-width-relative:page;mso-height-relative:page;" coordorigin="225631,-356484" coordsize="5451144,3420318" o:gfxdata="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">
                <o:lock v:ext="edit" aspectratio="f"/>
                <v:shape id="_x0000_s1026" o:spid="_x0000_s1026" o:spt="202" type="#_x0000_t202" style="position:absolute;left:225635;top:139347;height:945364;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5A60C0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4</w:t>
                        </w:r>
                      </w:p>
                      <w:p w14:paraId="4E27E399">
                        <w:pPr>
                          <w:spacing w:line="0" w:lineRule="atLeast"/>
                          <w:jc w:val="center"/>
                          <w:rPr>
                            <w:sz w:val="24"/>
                            <w:szCs w:val="24"/>
                          </w:rPr>
                        </w:pPr>
                        <w:r>
                          <w:rPr>
                            <w:rFonts w:hint="eastAsia"/>
                            <w:b/>
                            <w:color w:val="FFC709"/>
                            <w:sz w:val="24"/>
                            <w:szCs w:val="24"/>
                          </w:rPr>
                          <w:t>132.76</w:t>
                        </w:r>
                        <w:r>
                          <w:rPr>
                            <w:b/>
                            <w:color w:val="FFC709"/>
                            <w:sz w:val="24"/>
                            <w:szCs w:val="24"/>
                          </w:rPr>
                          <w:t>%</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39FC621">
                        <w:pPr>
                          <w:spacing w:line="0" w:lineRule="atLeast"/>
                          <w:jc w:val="center"/>
                          <w:rPr>
                            <w:sz w:val="24"/>
                            <w:szCs w:val="24"/>
                          </w:rPr>
                        </w:pPr>
                        <w:r>
                          <w:rPr>
                            <w:b/>
                            <w:color w:val="FFFFFF"/>
                            <w:sz w:val="24"/>
                            <w:szCs w:val="24"/>
                          </w:rPr>
                          <w:t>20</w:t>
                        </w:r>
                        <w:r>
                          <w:rPr>
                            <w:rFonts w:hint="eastAsia"/>
                            <w:b/>
                            <w:color w:val="FFFFFF"/>
                            <w:sz w:val="24"/>
                            <w:szCs w:val="24"/>
                          </w:rPr>
                          <w:t>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E5FB501">
                        <w:pPr>
                          <w:spacing w:line="0" w:lineRule="atLeast"/>
                          <w:jc w:val="center"/>
                          <w:rPr>
                            <w:sz w:val="24"/>
                            <w:szCs w:val="24"/>
                          </w:rPr>
                        </w:pPr>
                        <w:r>
                          <w:rPr>
                            <w:b/>
                            <w:color w:val="FFFFFF"/>
                            <w:sz w:val="24"/>
                            <w:szCs w:val="24"/>
                          </w:rPr>
                          <w:t>202</w:t>
                        </w:r>
                        <w:r>
                          <w:rPr>
                            <w:rFonts w:hint="eastAsia"/>
                            <w:b/>
                            <w:color w:val="FFFFFF"/>
                            <w:sz w:val="24"/>
                            <w:szCs w:val="24"/>
                          </w:rPr>
                          <w:t>5</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5580A51">
                        <w:pPr>
                          <w:spacing w:line="0" w:lineRule="atLeast"/>
                          <w:jc w:val="center"/>
                          <w:rPr>
                            <w:sz w:val="24"/>
                            <w:szCs w:val="24"/>
                          </w:rPr>
                        </w:pPr>
                        <w:r>
                          <w:rPr>
                            <w:b/>
                            <w:color w:val="FFFFFF"/>
                            <w:sz w:val="24"/>
                            <w:szCs w:val="24"/>
                          </w:rPr>
                          <w:t>20</w:t>
                        </w:r>
                        <w:r>
                          <w:rPr>
                            <w:rFonts w:hint="eastAsia"/>
                            <w:b/>
                            <w:color w:val="FFFFFF"/>
                            <w:sz w:val="24"/>
                            <w:szCs w:val="24"/>
                          </w:rPr>
                          <w:t>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306852D">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5</w:t>
                        </w:r>
                        <w:r>
                          <w:rPr>
                            <w:b/>
                            <w:color w:val="FFFFFF"/>
                            <w:w w:val="95"/>
                            <w:sz w:val="24"/>
                            <w:szCs w:val="24"/>
                          </w:rPr>
                          <w:t>-203</w:t>
                        </w:r>
                        <w:r>
                          <w:rPr>
                            <w:rFonts w:hint="eastAsia"/>
                            <w:b/>
                            <w:color w:val="FFFFFF"/>
                            <w:w w:val="95"/>
                            <w:sz w:val="24"/>
                            <w:szCs w:val="24"/>
                          </w:rPr>
                          <w:t>1</w:t>
                        </w:r>
                      </w:p>
                      <w:p w14:paraId="4C2FCC0A">
                        <w:pPr>
                          <w:spacing w:line="0" w:lineRule="atLeast"/>
                          <w:jc w:val="center"/>
                          <w:rPr>
                            <w:sz w:val="24"/>
                            <w:szCs w:val="24"/>
                          </w:rPr>
                        </w:pPr>
                        <w:r>
                          <w:rPr>
                            <w:rFonts w:hint="eastAsia"/>
                            <w:b/>
                            <w:color w:val="FFC709"/>
                            <w:sz w:val="24"/>
                            <w:szCs w:val="24"/>
                          </w:rPr>
                          <w:t>20.35</w:t>
                        </w:r>
                        <w:r>
                          <w:rPr>
                            <w:b/>
                            <w:color w:val="FFC709"/>
                            <w:sz w:val="24"/>
                            <w:szCs w:val="24"/>
                          </w:rPr>
                          <w:t>%</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06C2C17">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5年增速</w:t>
                        </w:r>
                        <w:r>
                          <w:rPr>
                            <w:b/>
                            <w:color w:val="FFFFFF"/>
                            <w:sz w:val="24"/>
                            <w:szCs w:val="24"/>
                          </w:rPr>
                          <w:t>:</w:t>
                        </w:r>
                        <w:r>
                          <w:rPr>
                            <w:rFonts w:hint="eastAsia"/>
                            <w:b/>
                            <w:color w:val="FFFFFF"/>
                            <w:sz w:val="24"/>
                            <w:szCs w:val="24"/>
                          </w:rPr>
                          <w:t xml:space="preserve"> </w:t>
                        </w:r>
                      </w:p>
                      <w:p w14:paraId="30E46AAA">
                        <w:pPr>
                          <w:spacing w:line="0" w:lineRule="atLeast"/>
                          <w:jc w:val="center"/>
                          <w:rPr>
                            <w:sz w:val="24"/>
                            <w:szCs w:val="24"/>
                          </w:rPr>
                        </w:pPr>
                        <w:r>
                          <w:rPr>
                            <w:rFonts w:hint="eastAsia"/>
                            <w:b/>
                            <w:color w:val="FFC709"/>
                            <w:sz w:val="24"/>
                            <w:szCs w:val="24"/>
                          </w:rPr>
                          <w:t>28.7</w:t>
                        </w:r>
                        <w:r>
                          <w:rPr>
                            <w:b/>
                            <w:color w:val="FFC709"/>
                            <w:sz w:val="24"/>
                            <w:szCs w:val="24"/>
                          </w:rPr>
                          <w:t>%</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0326BD6">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21.20</w:t>
                        </w:r>
                        <w:r>
                          <w:rPr>
                            <w:b/>
                            <w:color w:val="FFC709"/>
                            <w:sz w:val="24"/>
                            <w:szCs w:val="24"/>
                          </w:rPr>
                          <w:t xml:space="preserve">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C025B42">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800.86</w:t>
                        </w:r>
                        <w:r>
                          <w:rPr>
                            <w:b/>
                            <w:color w:val="FFC709"/>
                            <w:sz w:val="24"/>
                            <w:szCs w:val="24"/>
                          </w:rPr>
                          <w:t xml:space="preserve"> Mn</w:t>
                        </w:r>
                      </w:p>
                    </w:txbxContent>
                  </v:textbox>
                </v:shape>
                <v:shape id="_x0000_s1026" o:spid="_x0000_s1026" o:spt="202" type="#_x0000_t202" style="position:absolute;left:4014067;top:192790;height:410010;width:1439124;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009FC2D">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2433.95</w:t>
                        </w:r>
                        <w:r>
                          <w:rPr>
                            <w:b/>
                            <w:color w:val="FFC709"/>
                            <w:sz w:val="24"/>
                            <w:szCs w:val="24"/>
                          </w:rPr>
                          <w:t xml:space="preserve"> Mn</w:t>
                        </w:r>
                      </w:p>
                    </w:txbxContent>
                  </v:textbox>
                </v:shape>
              </v:group>
            </w:pict>
          </mc:Fallback>
        </mc:AlternateContent>
      </w:r>
      <w:r>
        <w:rPr>
          <w:i w:val="0"/>
          <w:iCs w:val="0"/>
        </w:rPr>
        <mc:AlternateContent>
          <mc:Choice Requires="wpg">
            <w:drawing>
              <wp:inline distT="0" distB="0" distL="0" distR="0">
                <wp:extent cx="6127115" cy="3183890"/>
                <wp:effectExtent l="0" t="0" r="6985" b="0"/>
                <wp:docPr id="3"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OX+UWroAAADb&#10;AAAADwAAAGRycy9kb3ducmV2LnhtbEVPTWsCMRC9C/0PYQreNKtFKVujh4IoFA9asddhM26WJpNt&#10;EnX11xtB6G0e73Nmi85ZcaYQG88KRsMCBHHldcO1gv33cvAOIiZkjdYzKbhShMX8pTfDUvsLb+m8&#10;S7XIIRxLVGBSakspY2XIYRz6ljhzRx8cpgxDLXXASw53Vo6LYiodNpwbDLb0aaj63Z2cgnF9kN0q&#10;hJ/J5qs6bqe3zv5Zo1T/dVR8gEjUpX/x073Wef4bPH7JB8j5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f5RaugAAANsA&#10;AAAPAAAAAAAAAAEAIAAAACIAAABkcnMvZG93bnJldi54bWxQSwECFAAUAAAACACHTuJAMy8FnjsA&#10;AAA5AAAAEAAAAAAAAAABACAAAAAJAQAAZHJzL3NoYXBleG1sLnhtbFBLBQYAAAAABgAGAFsBAACz&#10;AwAAAAA=&#10;">
                  <v:fill on="f" focussize="0,0"/>
                  <v:stroke on="f"/>
                  <v:imagedata r:id="rId11"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zN50r4AAADb&#10;AAAADwAAAGRycy9kb3ducmV2LnhtbEWPT4vCMBTE74LfITzBi6ypZZWlGkVEYWVP/kHw9mzetl2b&#10;l9LEWr+9WRA8DjPzG2a2aE0pGqpdYVnBaBiBIE6tLjhTcDxsPr5AOI+ssbRMCh7kYDHvdmaYaHvn&#10;HTV7n4kAYZeggtz7KpHSpTkZdENbEQfv19YGfZB1JnWN9wA3pYyjaCINFhwWcqxolVN63d+MgtM2&#10;+1sv14Mz/cTteMvlZeybi1L93iiagvDU+nf41f7WCj5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N50r4A&#10;AADbAAAADwAAAAAAAAABACAAAAAiAAAAZHJzL2Rvd25yZXYueG1sUEsBAhQAFAAAAAgAh07iQDMv&#10;BZ47AAAAOQAAABAAAAAAAAAAAQAgAAAADQEAAGRycy9zaGFwZXhtbC54bWxQSwUGAAAAAAYABgBb&#10;AQAAtwMAAAAA&#10;">
                  <v:fill on="f" focussize="0,0"/>
                  <v:stroke on="f"/>
                  <v:imagedata r:id="rId12"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WTZPXL8AAADc&#10;AAAADwAAAGRycy9kb3ducmV2LnhtbEWPQWvCQBSE74L/YXmCF6mbtRJL6iaHVsEepNT2B7xmX5PQ&#10;7NuQXU38992C4HGYmW+YbTHaVlyo941jDWqZgCAunWm40vD1uX94AuEDssHWMWm4kocin062mBk3&#10;8AddTqESEcI+Qw11CF0mpS9rsuiXriOO3o/rLYYo+0qaHocIt61cJUkqLTYcF2rs6KWm8vd0thrc&#10;eFyk3169vQ7K7Haqku+PrdR6PlPJM4hAY7iHb+2D0bDebOD/TDwC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2T1y/&#10;AAAA3AAAAA8AAAAAAAAAAQAgAAAAIgAAAGRycy9kb3ducmV2LnhtbFBLAQIUABQAAAAIAIdO4kAz&#10;LwWeOwAAADkAAAAQAAAAAAAAAAEAIAAAAA4BAABkcnMvc2hhcGV4bWwueG1sUEsFBgAAAAAGAAYA&#10;WwEAALgDAAAAAA==&#10;">
                  <v:fill on="f" focussize="0,0"/>
                  <v:stroke on="f"/>
                  <v:imagedata r:id="rId13"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bookmarkEnd w:id="13"/>
    </w:p>
    <w:p w14:paraId="4C2322E6">
      <w:pPr>
        <w:pStyle w:val="143"/>
        <w:rPr>
          <w:i w:val="0"/>
          <w:iCs w:val="0"/>
          <w:lang w:eastAsia="zh-CN"/>
        </w:rPr>
      </w:pPr>
      <w:r>
        <w:rPr>
          <w:rFonts w:hint="eastAsia"/>
          <w:i w:val="0"/>
          <w:iCs w:val="0"/>
          <w:lang w:eastAsia="zh-CN"/>
        </w:rPr>
        <w:t>来源：QYResearch南宁研究中心</w:t>
      </w:r>
    </w:p>
    <w:p w14:paraId="12FD9BEF">
      <w:pPr>
        <w:pStyle w:val="145"/>
        <w:rPr>
          <w:i w:val="0"/>
          <w:iCs w:val="0"/>
        </w:rPr>
      </w:pPr>
    </w:p>
    <w:p w14:paraId="17603517">
      <w:pPr>
        <w:pStyle w:val="148"/>
        <w:numPr>
          <w:numId w:val="0"/>
        </w:numPr>
        <w:ind w:leftChars="0"/>
        <w:rPr>
          <w:rFonts w:hint="eastAsia"/>
          <w:i w:val="0"/>
          <w:iCs w:val="0"/>
          <w:lang w:eastAsia="zh-CN"/>
        </w:rPr>
      </w:pPr>
    </w:p>
    <w:p w14:paraId="720E31E2">
      <w:pPr>
        <w:pStyle w:val="148"/>
        <w:numPr>
          <w:numId w:val="0"/>
        </w:numPr>
        <w:ind w:leftChars="0"/>
        <w:rPr>
          <w:i w:val="0"/>
          <w:iCs w:val="0"/>
          <w:lang w:eastAsia="zh-CN"/>
        </w:rPr>
      </w:pPr>
      <w:r>
        <w:rPr>
          <w:rFonts w:hint="eastAsia"/>
          <w:i w:val="0"/>
          <w:iCs w:val="0"/>
          <w:lang w:eastAsia="zh-CN"/>
        </w:rPr>
        <w:t>全球</w:t>
      </w:r>
      <w:r>
        <w:rPr>
          <w:i w:val="0"/>
          <w:iCs w:val="0"/>
          <w:lang w:eastAsia="zh-CN"/>
        </w:rPr>
        <w:t>生物基橡胶轮胎</w:t>
      </w:r>
      <w:r>
        <w:rPr>
          <w:rFonts w:hint="eastAsia"/>
          <w:i w:val="0"/>
          <w:iCs w:val="0"/>
          <w:lang w:eastAsia="zh-CN"/>
        </w:rPr>
        <w:t>市场前6强生产商排名及市场占有率（基于2</w:t>
      </w:r>
      <w:r>
        <w:rPr>
          <w:i w:val="0"/>
          <w:iCs w:val="0"/>
          <w:lang w:eastAsia="zh-CN"/>
        </w:rPr>
        <w:t>02</w:t>
      </w:r>
      <w:r>
        <w:rPr>
          <w:rFonts w:hint="eastAsia"/>
          <w:i w:val="0"/>
          <w:iCs w:val="0"/>
          <w:lang w:eastAsia="zh-CN"/>
        </w:rPr>
        <w:t>5年调研数据；目前最新数据以本公司最新调研数据为准）</w:t>
      </w:r>
    </w:p>
    <w:p w14:paraId="773AFA33">
      <w:pPr>
        <w:widowControl/>
        <w:topLinePunct w:val="0"/>
        <w:spacing w:after="0"/>
        <w:jc w:val="center"/>
        <w:rPr>
          <w:rFonts w:hint="eastAsia" w:ascii="宋体" w:hAnsi="宋体" w:cs="宋体"/>
          <w:i w:val="0"/>
          <w:iCs w:val="0"/>
          <w:kern w:val="0"/>
          <w:sz w:val="24"/>
          <w:szCs w:val="24"/>
        </w:rPr>
      </w:pPr>
      <w:r>
        <w:rPr>
          <w:i w:val="0"/>
          <w:iCs w:val="0"/>
        </w:rPr>
        <w:drawing>
          <wp:inline distT="0" distB="0" distL="0" distR="0">
            <wp:extent cx="6248400" cy="4019550"/>
            <wp:effectExtent l="0" t="0" r="0" b="0"/>
            <wp:docPr id="198466913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A600155">
      <w:pPr>
        <w:pStyle w:val="143"/>
        <w:rPr>
          <w:i w:val="0"/>
          <w:iCs w:val="0"/>
          <w:lang w:eastAsia="zh-CN"/>
        </w:rPr>
      </w:pPr>
      <w:r>
        <w:rPr>
          <w:rFonts w:hint="eastAsia"/>
          <w:i w:val="0"/>
          <w:iCs w:val="0"/>
          <w:lang w:eastAsia="zh-CN"/>
        </w:rPr>
        <w:t>来源：QYResearch 南宁研究中心。行业处于不断变动之中，最新数据请联系QYResearch咨询。</w:t>
      </w:r>
    </w:p>
    <w:p w14:paraId="2A9BFC0B">
      <w:pPr>
        <w:pStyle w:val="145"/>
        <w:rPr>
          <w:i w:val="0"/>
          <w:iCs w:val="0"/>
          <w:lang w:eastAsia="zh-CN"/>
        </w:rPr>
      </w:pPr>
      <w:r>
        <w:rPr>
          <w:rFonts w:hint="eastAsia"/>
          <w:i w:val="0"/>
          <w:iCs w:val="0"/>
          <w:lang w:eastAsia="zh-CN"/>
        </w:rPr>
        <w:t>全球范围内，</w:t>
      </w:r>
      <w:r>
        <w:rPr>
          <w:i w:val="0"/>
          <w:iCs w:val="0"/>
          <w:lang w:eastAsia="zh-CN"/>
        </w:rPr>
        <w:t>生物基橡胶轮胎</w:t>
      </w:r>
      <w:r>
        <w:rPr>
          <w:rFonts w:hint="eastAsia"/>
          <w:i w:val="0"/>
          <w:iCs w:val="0"/>
          <w:lang w:eastAsia="zh-CN"/>
        </w:rPr>
        <w:t>主要生产商包括固特异，韩泰轮胎，优科豪马轮胎等，其中前五大厂商占有大约82%的市场份额。</w:t>
      </w:r>
    </w:p>
    <w:p w14:paraId="29E7A780">
      <w:pPr>
        <w:pStyle w:val="145"/>
        <w:rPr>
          <w:i w:val="0"/>
          <w:iCs w:val="0"/>
          <w:lang w:eastAsia="zh-CN"/>
        </w:rPr>
      </w:pPr>
      <w:r>
        <w:rPr>
          <w:rFonts w:hint="eastAsia"/>
          <w:i w:val="0"/>
          <w:iCs w:val="0"/>
          <w:lang w:eastAsia="zh-CN"/>
        </w:rPr>
        <w:t>目前，全球核心厂商主要分布在欧美和日韩。</w:t>
      </w:r>
    </w:p>
    <w:p w14:paraId="3B2E5865">
      <w:pPr>
        <w:pStyle w:val="145"/>
        <w:rPr>
          <w:i w:val="0"/>
          <w:iCs w:val="0"/>
          <w:lang w:eastAsia="zh-CN"/>
        </w:rPr>
      </w:pPr>
    </w:p>
    <w:p w14:paraId="5B44895F">
      <w:pPr>
        <w:pStyle w:val="148"/>
        <w:numPr>
          <w:numId w:val="0"/>
        </w:numPr>
        <w:ind w:leftChars="0"/>
        <w:rPr>
          <w:i w:val="0"/>
          <w:iCs w:val="0"/>
          <w:lang w:eastAsia="zh-CN"/>
        </w:rPr>
      </w:pPr>
    </w:p>
    <w:p w14:paraId="3E6DE9A8">
      <w:pPr>
        <w:pStyle w:val="148"/>
        <w:numPr>
          <w:numId w:val="0"/>
        </w:numPr>
        <w:ind w:leftChars="0"/>
        <w:rPr>
          <w:i w:val="0"/>
          <w:iCs w:val="0"/>
          <w:lang w:eastAsia="zh-CN"/>
        </w:rPr>
      </w:pPr>
      <w:r>
        <w:rPr>
          <w:i w:val="0"/>
          <w:iCs w:val="0"/>
          <w:lang w:eastAsia="zh-CN"/>
        </w:rPr>
        <w:t>生物基橡胶轮胎</w:t>
      </w:r>
      <w:r>
        <w:rPr>
          <w:rFonts w:hint="eastAsia"/>
          <w:i w:val="0"/>
          <w:iCs w:val="0"/>
          <w:lang w:eastAsia="zh-CN"/>
        </w:rPr>
        <w:t>，全球市场规模，按产品类型细分，19英寸处于主导地位</w:t>
      </w:r>
    </w:p>
    <w:p w14:paraId="1DAC1641">
      <w:pPr>
        <w:pStyle w:val="145"/>
        <w:rPr>
          <w:i w:val="0"/>
          <w:iCs w:val="0"/>
          <w:lang w:eastAsia="zh-CN"/>
        </w:rPr>
      </w:pPr>
      <w:r>
        <w:rPr>
          <w:i w:val="0"/>
          <w:iCs w:val="0"/>
        </w:rPr>
        <w:drawing>
          <wp:inline distT="0" distB="0" distL="0" distR="0">
            <wp:extent cx="6188710" cy="3602990"/>
            <wp:effectExtent l="0" t="0" r="2540" b="0"/>
            <wp:docPr id="10988747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5FE8DBF">
      <w:pPr>
        <w:pStyle w:val="143"/>
        <w:rPr>
          <w:i w:val="0"/>
          <w:iCs w:val="0"/>
          <w:lang w:eastAsia="zh-CN"/>
        </w:rPr>
      </w:pPr>
      <w:r>
        <w:rPr>
          <w:rFonts w:hint="eastAsia"/>
          <w:i w:val="0"/>
          <w:iCs w:val="0"/>
          <w:lang w:eastAsia="zh-CN"/>
        </w:rPr>
        <w:t>来源：QYResearch 南宁研究中心</w:t>
      </w:r>
    </w:p>
    <w:p w14:paraId="0C15F77A">
      <w:pPr>
        <w:pStyle w:val="145"/>
        <w:rPr>
          <w:i w:val="0"/>
          <w:iCs w:val="0"/>
          <w:lang w:eastAsia="zh-CN"/>
        </w:rPr>
      </w:pPr>
      <w:r>
        <w:rPr>
          <w:rFonts w:hint="eastAsia"/>
          <w:i w:val="0"/>
          <w:iCs w:val="0"/>
          <w:lang w:eastAsia="zh-CN"/>
        </w:rPr>
        <w:t>就产品类型而言，目前19英寸是最主要的细分产品，占据大约22.79%的份额。</w:t>
      </w:r>
    </w:p>
    <w:p w14:paraId="41C3AE68">
      <w:pPr>
        <w:pStyle w:val="145"/>
        <w:rPr>
          <w:i w:val="0"/>
          <w:iCs w:val="0"/>
          <w:lang w:eastAsia="zh-CN"/>
        </w:rPr>
      </w:pPr>
    </w:p>
    <w:p w14:paraId="1FFDBDBC">
      <w:pPr>
        <w:pStyle w:val="145"/>
        <w:rPr>
          <w:i w:val="0"/>
          <w:iCs w:val="0"/>
          <w:lang w:eastAsia="zh-CN"/>
        </w:rPr>
      </w:pPr>
    </w:p>
    <w:p w14:paraId="59D10C7D">
      <w:pPr>
        <w:pStyle w:val="145"/>
        <w:rPr>
          <w:i w:val="0"/>
          <w:iCs w:val="0"/>
          <w:lang w:eastAsia="zh-CN"/>
        </w:rPr>
      </w:pPr>
    </w:p>
    <w:p w14:paraId="1E8B085D">
      <w:pPr>
        <w:pStyle w:val="145"/>
        <w:rPr>
          <w:i w:val="0"/>
          <w:iCs w:val="0"/>
          <w:lang w:eastAsia="zh-CN"/>
        </w:rPr>
      </w:pPr>
    </w:p>
    <w:p w14:paraId="3D47DC34">
      <w:pPr>
        <w:pStyle w:val="145"/>
        <w:rPr>
          <w:i w:val="0"/>
          <w:iCs w:val="0"/>
          <w:lang w:eastAsia="zh-CN"/>
        </w:rPr>
      </w:pPr>
    </w:p>
    <w:p w14:paraId="78BE71BA">
      <w:pPr>
        <w:pStyle w:val="145"/>
        <w:rPr>
          <w:i w:val="0"/>
          <w:iCs w:val="0"/>
          <w:lang w:eastAsia="zh-CN"/>
        </w:rPr>
      </w:pPr>
    </w:p>
    <w:p w14:paraId="0BE222B9">
      <w:pPr>
        <w:pStyle w:val="145"/>
        <w:rPr>
          <w:i w:val="0"/>
          <w:iCs w:val="0"/>
          <w:lang w:eastAsia="zh-CN"/>
        </w:rPr>
      </w:pPr>
    </w:p>
    <w:p w14:paraId="79C43477">
      <w:pPr>
        <w:pStyle w:val="145"/>
        <w:rPr>
          <w:i w:val="0"/>
          <w:iCs w:val="0"/>
          <w:lang w:eastAsia="zh-CN"/>
        </w:rPr>
      </w:pPr>
    </w:p>
    <w:p w14:paraId="3F838F36">
      <w:pPr>
        <w:pStyle w:val="145"/>
        <w:rPr>
          <w:i w:val="0"/>
          <w:iCs w:val="0"/>
          <w:lang w:eastAsia="zh-CN"/>
        </w:rPr>
      </w:pPr>
    </w:p>
    <w:p w14:paraId="0C78B168">
      <w:pPr>
        <w:pStyle w:val="145"/>
        <w:rPr>
          <w:i w:val="0"/>
          <w:iCs w:val="0"/>
          <w:lang w:eastAsia="zh-CN"/>
        </w:rPr>
      </w:pPr>
    </w:p>
    <w:p w14:paraId="6AD41974">
      <w:pPr>
        <w:pStyle w:val="145"/>
        <w:rPr>
          <w:i w:val="0"/>
          <w:iCs w:val="0"/>
          <w:lang w:eastAsia="zh-CN"/>
        </w:rPr>
      </w:pPr>
    </w:p>
    <w:p w14:paraId="0B069045">
      <w:pPr>
        <w:pStyle w:val="148"/>
        <w:numPr>
          <w:numId w:val="0"/>
        </w:numPr>
        <w:ind w:leftChars="0"/>
        <w:rPr>
          <w:i w:val="0"/>
          <w:iCs w:val="0"/>
          <w:lang w:eastAsia="zh-CN"/>
        </w:rPr>
      </w:pPr>
      <w:r>
        <w:rPr>
          <w:i w:val="0"/>
          <w:iCs w:val="0"/>
          <w:lang w:eastAsia="zh-CN"/>
        </w:rPr>
        <w:t>生物基橡胶轮胎</w:t>
      </w:r>
      <w:r>
        <w:rPr>
          <w:rFonts w:hint="eastAsia"/>
          <w:i w:val="0"/>
          <w:iCs w:val="0"/>
          <w:lang w:eastAsia="zh-CN"/>
        </w:rPr>
        <w:t>，全球市场规模，按应用细分，乘用车是最大的下游市场</w:t>
      </w:r>
    </w:p>
    <w:p w14:paraId="0A4DB270">
      <w:pPr>
        <w:widowControl/>
        <w:topLinePunct w:val="0"/>
        <w:spacing w:after="0"/>
        <w:jc w:val="left"/>
        <w:rPr>
          <w:rFonts w:hint="eastAsia" w:ascii="宋体" w:hAnsi="宋体" w:cs="宋体"/>
          <w:i w:val="0"/>
          <w:iCs w:val="0"/>
          <w:kern w:val="0"/>
          <w:sz w:val="24"/>
          <w:szCs w:val="24"/>
        </w:rPr>
      </w:pPr>
    </w:p>
    <w:p w14:paraId="1F9213C6">
      <w:pPr>
        <w:widowControl/>
        <w:topLinePunct w:val="0"/>
        <w:spacing w:after="0"/>
        <w:jc w:val="left"/>
        <w:rPr>
          <w:rFonts w:hint="eastAsia" w:ascii="宋体" w:hAnsi="宋体" w:cs="宋体"/>
          <w:i w:val="0"/>
          <w:iCs w:val="0"/>
          <w:kern w:val="0"/>
          <w:sz w:val="24"/>
          <w:szCs w:val="24"/>
        </w:rPr>
      </w:pPr>
      <w:r>
        <w:rPr>
          <w:i w:val="0"/>
          <w:iCs w:val="0"/>
        </w:rPr>
        <w:drawing>
          <wp:inline distT="0" distB="0" distL="0" distR="0">
            <wp:extent cx="6181725" cy="3285490"/>
            <wp:effectExtent l="0" t="0" r="9525" b="10160"/>
            <wp:docPr id="90019763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CF26C22">
      <w:pPr>
        <w:pStyle w:val="143"/>
        <w:rPr>
          <w:i w:val="0"/>
          <w:iCs w:val="0"/>
          <w:lang w:eastAsia="zh-CN"/>
        </w:rPr>
      </w:pPr>
      <w:r>
        <w:rPr>
          <w:rFonts w:hint="eastAsia"/>
          <w:i w:val="0"/>
          <w:iCs w:val="0"/>
          <w:lang w:eastAsia="zh-CN"/>
        </w:rPr>
        <w:t>来源：QYResearch 南宁研究中心</w:t>
      </w:r>
    </w:p>
    <w:p w14:paraId="57B4BA57">
      <w:pPr>
        <w:pStyle w:val="145"/>
        <w:rPr>
          <w:i w:val="0"/>
          <w:iCs w:val="0"/>
          <w:lang w:eastAsia="zh-CN"/>
        </w:rPr>
      </w:pPr>
      <w:r>
        <w:rPr>
          <w:rFonts w:hint="eastAsia"/>
          <w:i w:val="0"/>
          <w:iCs w:val="0"/>
          <w:lang w:eastAsia="zh-CN"/>
        </w:rPr>
        <w:t>就产品类型而言，目前乘用车是最主要的需求来源，占据大约91%的份额。</w:t>
      </w:r>
    </w:p>
    <w:p w14:paraId="4B5D90DE">
      <w:pPr>
        <w:pStyle w:val="145"/>
        <w:rPr>
          <w:i w:val="0"/>
          <w:iCs w:val="0"/>
          <w:lang w:eastAsia="zh-CN"/>
        </w:rPr>
      </w:pPr>
    </w:p>
    <w:p w14:paraId="502D871D">
      <w:pPr>
        <w:pStyle w:val="148"/>
        <w:numPr>
          <w:numId w:val="0"/>
        </w:numPr>
        <w:ind w:leftChars="0"/>
        <w:rPr>
          <w:rFonts w:hint="eastAsia"/>
          <w:i w:val="0"/>
          <w:iCs w:val="0"/>
          <w:lang w:eastAsia="zh-CN"/>
        </w:rPr>
      </w:pPr>
    </w:p>
    <w:p w14:paraId="5F8B78C0">
      <w:pPr>
        <w:pStyle w:val="148"/>
        <w:numPr>
          <w:numId w:val="0"/>
        </w:numPr>
        <w:ind w:leftChars="0"/>
        <w:rPr>
          <w:i w:val="0"/>
          <w:iCs w:val="0"/>
          <w:lang w:eastAsia="zh-CN"/>
        </w:rPr>
      </w:pPr>
      <w:r>
        <w:rPr>
          <w:rFonts w:hint="eastAsia"/>
          <w:i w:val="0"/>
          <w:iCs w:val="0"/>
          <w:lang w:eastAsia="zh-CN"/>
        </w:rPr>
        <w:t>全球</w:t>
      </w:r>
      <w:r>
        <w:rPr>
          <w:i w:val="0"/>
          <w:iCs w:val="0"/>
          <w:lang w:eastAsia="zh-CN"/>
        </w:rPr>
        <w:t>生物基橡胶轮胎</w:t>
      </w:r>
      <w:r>
        <w:rPr>
          <w:rFonts w:hint="eastAsia"/>
          <w:i w:val="0"/>
          <w:iCs w:val="0"/>
          <w:lang w:eastAsia="zh-CN"/>
        </w:rPr>
        <w:t>规模，主要生产地区份额（按产值）</w:t>
      </w:r>
    </w:p>
    <w:p w14:paraId="04A4515E">
      <w:pPr>
        <w:pStyle w:val="145"/>
        <w:rPr>
          <w:i w:val="0"/>
          <w:iCs w:val="0"/>
          <w:lang w:val="en-US" w:eastAsia="zh-CN"/>
        </w:rPr>
      </w:pPr>
      <w:r>
        <w:rPr>
          <w:i w:val="0"/>
          <w:iCs w:val="0"/>
        </w:rPr>
        <w:drawing>
          <wp:inline distT="0" distB="0" distL="0" distR="0">
            <wp:extent cx="6467475" cy="3676650"/>
            <wp:effectExtent l="0" t="0" r="0" b="0"/>
            <wp:docPr id="113601088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5916E77">
      <w:pPr>
        <w:pStyle w:val="143"/>
        <w:rPr>
          <w:i w:val="0"/>
          <w:iCs w:val="0"/>
          <w:lang w:eastAsia="zh-CN"/>
        </w:rPr>
      </w:pPr>
      <w:r>
        <w:rPr>
          <w:rFonts w:hint="eastAsia"/>
          <w:i w:val="0"/>
          <w:iCs w:val="0"/>
          <w:lang w:eastAsia="zh-CN"/>
        </w:rPr>
        <w:t>来源：QYResearch南宁研究中心</w:t>
      </w:r>
    </w:p>
    <w:p w14:paraId="21E23D3B">
      <w:pPr>
        <w:pStyle w:val="143"/>
        <w:rPr>
          <w:i w:val="0"/>
          <w:iCs w:val="0"/>
          <w:lang w:eastAsia="zh-CN"/>
        </w:rPr>
      </w:pPr>
    </w:p>
    <w:p w14:paraId="73C5DA66">
      <w:pPr>
        <w:pStyle w:val="148"/>
        <w:numPr>
          <w:numId w:val="0"/>
        </w:numPr>
        <w:ind w:leftChars="0"/>
        <w:rPr>
          <w:rFonts w:hint="eastAsia"/>
          <w:i w:val="0"/>
          <w:iCs w:val="0"/>
          <w:lang w:eastAsia="zh-CN"/>
        </w:rPr>
      </w:pPr>
      <w:bookmarkStart w:id="14" w:name="_GoBack"/>
      <w:bookmarkEnd w:id="14"/>
    </w:p>
    <w:p w14:paraId="0CD10F4E">
      <w:pPr>
        <w:pStyle w:val="148"/>
        <w:numPr>
          <w:numId w:val="0"/>
        </w:numPr>
        <w:ind w:leftChars="0"/>
        <w:rPr>
          <w:i w:val="0"/>
          <w:iCs w:val="0"/>
          <w:lang w:eastAsia="zh-CN"/>
        </w:rPr>
      </w:pPr>
      <w:r>
        <w:rPr>
          <w:rFonts w:hint="eastAsia"/>
          <w:i w:val="0"/>
          <w:iCs w:val="0"/>
          <w:lang w:eastAsia="zh-CN"/>
        </w:rPr>
        <w:t>全球主要市场</w:t>
      </w:r>
      <w:r>
        <w:rPr>
          <w:i w:val="0"/>
          <w:iCs w:val="0"/>
          <w:lang w:eastAsia="zh-CN"/>
        </w:rPr>
        <w:t>生物基橡胶轮胎</w:t>
      </w:r>
      <w:r>
        <w:rPr>
          <w:rFonts w:hint="eastAsia"/>
          <w:i w:val="0"/>
          <w:iCs w:val="0"/>
          <w:lang w:eastAsia="zh-CN"/>
        </w:rPr>
        <w:t>规模</w:t>
      </w:r>
    </w:p>
    <w:p w14:paraId="4B44D8E9">
      <w:pPr>
        <w:pStyle w:val="145"/>
        <w:rPr>
          <w:i w:val="0"/>
          <w:iCs w:val="0"/>
          <w:lang w:val="en-US" w:eastAsia="zh-CN"/>
        </w:rPr>
      </w:pPr>
      <w:r>
        <w:rPr>
          <w:i w:val="0"/>
          <w:iCs w:val="0"/>
        </w:rPr>
        <w:drawing>
          <wp:inline distT="0" distB="0" distL="0" distR="0">
            <wp:extent cx="6188710" cy="3439160"/>
            <wp:effectExtent l="0" t="0" r="2540" b="8890"/>
            <wp:docPr id="22998725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5550B6D">
      <w:pPr>
        <w:pStyle w:val="143"/>
        <w:rPr>
          <w:i w:val="0"/>
          <w:iCs w:val="0"/>
          <w:lang w:eastAsia="zh-CN"/>
        </w:rPr>
      </w:pPr>
      <w:r>
        <w:rPr>
          <w:rFonts w:hint="eastAsia"/>
          <w:i w:val="0"/>
          <w:iCs w:val="0"/>
          <w:lang w:eastAsia="zh-CN"/>
        </w:rPr>
        <w:t>来源：QYResearch南宁研究中心</w:t>
      </w:r>
    </w:p>
    <w:p w14:paraId="19EED656">
      <w:pPr>
        <w:pStyle w:val="145"/>
        <w:rPr>
          <w:i w:val="0"/>
          <w:iCs w:val="0"/>
          <w:lang w:eastAsia="zh-CN"/>
        </w:rPr>
      </w:pPr>
    </w:p>
    <w:p w14:paraId="4020B357">
      <w:pPr>
        <w:pStyle w:val="145"/>
        <w:rPr>
          <w:b/>
          <w:bCs/>
          <w:i w:val="0"/>
          <w:iCs w:val="0"/>
          <w:lang w:eastAsia="zh-CN"/>
        </w:rPr>
      </w:pPr>
      <w:r>
        <w:rPr>
          <w:rFonts w:hint="eastAsia"/>
          <w:b/>
          <w:bCs/>
          <w:i w:val="0"/>
          <w:iCs w:val="0"/>
          <w:lang w:eastAsia="zh-CN"/>
        </w:rPr>
        <w:t>生物基橡胶轮胎行业目前发展现状：</w:t>
      </w:r>
    </w:p>
    <w:p w14:paraId="333122F8">
      <w:pPr>
        <w:pStyle w:val="145"/>
        <w:rPr>
          <w:i w:val="0"/>
          <w:iCs w:val="0"/>
          <w:lang w:eastAsia="zh-CN"/>
        </w:rPr>
      </w:pPr>
      <w:r>
        <w:rPr>
          <w:rFonts w:hint="eastAsia"/>
          <w:i w:val="0"/>
          <w:iCs w:val="0"/>
          <w:lang w:eastAsia="zh-CN"/>
        </w:rPr>
        <w:t>目前，生物基橡胶轮胎行业正处于从技术突破迈向商业化应用的关键阶段，全球轮胎企业正积极推动产品绿色转型，以应对资源压力与碳中和目标。国际巨头如米其林、固特异和普利司通等已设定明确路线图，计划在2030至2050年间实现轮胎材料100%可持续化，其技术路径主要集中于以生物乙醇等为原料开发生物基烯烃单体，用以合成与传统性能一致的橡胶品种。与此同时，中国形成了独具特色的技术路线，以张立群院士团队为代表，利用玉米芯、秸秆等非粮生物质制备生物基衣康酸酯橡胶，该材料不仅成本较低，还具备可生物降解特性，每吨产品可减少约1.4吨二氧化碳排放，并由京博中聚等企业实现了万吨级产业化。</w:t>
      </w:r>
    </w:p>
    <w:p w14:paraId="1B234038">
      <w:pPr>
        <w:pStyle w:val="145"/>
        <w:rPr>
          <w:i w:val="0"/>
          <w:iCs w:val="0"/>
          <w:lang w:eastAsia="zh-CN"/>
        </w:rPr>
      </w:pPr>
      <w:r>
        <w:rPr>
          <w:rFonts w:hint="eastAsia"/>
          <w:i w:val="0"/>
          <w:iCs w:val="0"/>
          <w:lang w:eastAsia="zh-CN"/>
        </w:rPr>
        <w:t>行业创新已超越橡胶本身，扩展到全材料体系，例如采用生物基聚酰胺56作为骨架材料，以及利用稻壳、二氧化碳制备改性白炭黑作为补强填料，旨在系统降低轮胎的碳足迹。产业化方面，倍耐力推出的生物基与再生材料含量超70%的量产轮胎已配套高端车型，玲珑轮胎也联合科研机构成功试制了全球首批生物基可降解轮胎，标志着高比例可持续材料轮胎的工程可行性已得到验证。尽管在原料规模化供应、成本竞争力等方面仍面临挑战，但随着非粮生物质转化等技术的成熟，生物基轮胎产业正逐步构建以可再生碳为核心的新型材料生态，未来发展前景广阔。</w:t>
      </w:r>
    </w:p>
    <w:p w14:paraId="2C4BA5F8">
      <w:pPr>
        <w:pStyle w:val="145"/>
        <w:rPr>
          <w:b/>
          <w:bCs/>
          <w:i w:val="0"/>
          <w:iCs w:val="0"/>
          <w:lang w:eastAsia="zh-CN"/>
        </w:rPr>
      </w:pPr>
      <w:r>
        <w:rPr>
          <w:rFonts w:hint="eastAsia"/>
          <w:b/>
          <w:bCs/>
          <w:i w:val="0"/>
          <w:iCs w:val="0"/>
          <w:lang w:eastAsia="zh-CN"/>
        </w:rPr>
        <w:t>生物基橡胶轮胎行业发展面临的风险：</w:t>
      </w:r>
    </w:p>
    <w:p w14:paraId="36AF63EF">
      <w:pPr>
        <w:pStyle w:val="145"/>
        <w:rPr>
          <w:i w:val="0"/>
          <w:iCs w:val="0"/>
          <w:lang w:eastAsia="zh-CN"/>
        </w:rPr>
      </w:pPr>
      <w:r>
        <w:rPr>
          <w:rFonts w:hint="eastAsia"/>
          <w:i w:val="0"/>
          <w:iCs w:val="0"/>
          <w:lang w:eastAsia="zh-CN"/>
        </w:rPr>
        <w:t>生物基橡胶轮胎行业在快速发展的同时也面临多重风险，当前生物基橡胶的生产成本相对较高，这主要源于原料的获取和加工技术尚未完全成熟，例如生物基丁二烯的生产成本控制仍是规模化推广的挑战。在原料供应方面，非粮生物质如玉米芯、秸秆的规模化、稳定收集体系尚不完善，生物基烯烃原料成本过高的问题也限制了应用。技术性能上，部分生物基材料在耐高温、抗老化等关键指标上与传统石油基产品仍存在差距，例如银胶菊橡胶的低温性能有待提升。行业还面临政策与国际环境的不确定性，各国对生物基材料的法规认证标准不一可能形成贸易壁垒，欧盟严格的环保法规如EUDR也增加了供应链的合规成本与复杂性。市场端则需应对传统石油基橡胶凭借成熟产业链和成本优势的竞争，同时消费者对生物基轮胎的性能认可度和价格接受度也有待培养。此外，废旧生物基轮胎的回收处理体系尚未完全建立，相关回收技术路线仍需完善，以及行业快速发展可能带来的专业人才短缺等，都是需要应对的潜在风险。</w:t>
      </w:r>
    </w:p>
    <w:p w14:paraId="7B3E068F">
      <w:pPr>
        <w:pStyle w:val="145"/>
        <w:rPr>
          <w:b/>
          <w:bCs/>
          <w:i w:val="0"/>
          <w:iCs w:val="0"/>
          <w:lang w:eastAsia="zh-CN"/>
        </w:rPr>
      </w:pPr>
      <w:r>
        <w:rPr>
          <w:rFonts w:hint="eastAsia"/>
          <w:b/>
          <w:bCs/>
          <w:i w:val="0"/>
          <w:iCs w:val="0"/>
          <w:lang w:eastAsia="zh-CN"/>
        </w:rPr>
        <w:t>生物基橡胶轮胎行业政策分析：</w:t>
      </w:r>
    </w:p>
    <w:p w14:paraId="7AACAA09">
      <w:pPr>
        <w:pStyle w:val="145"/>
        <w:rPr>
          <w:i w:val="0"/>
          <w:iCs w:val="0"/>
          <w:lang w:eastAsia="zh-CN"/>
        </w:rPr>
      </w:pPr>
      <w:r>
        <w:rPr>
          <w:rFonts w:hint="eastAsia"/>
          <w:i w:val="0"/>
          <w:iCs w:val="0"/>
          <w:lang w:eastAsia="zh-CN"/>
        </w:rPr>
        <w:t>生物基橡胶轮胎行业的发展受到国内外多重政策的深刻影响，其核心驱动力在于全球范围内的绿色低碳转型目标。中国通过《加快非粮生物基材料创新发展三年行动方案》等政策，明确鼓励使用玉米芯、秸秆等非粮生物质原料技术路线的创新与产业化。同时，“双碳”目标被具体落实到行业层面，例如将轮胎行业纳入节能降碳改造重点领域，引导企业通过采用生物基材料等措施降低碳足迹。在循环经济方面，国家推动建立废旧轮胎综合利用体系，并完善相关行业规范，旨在促进全生命周期的资源循环。</w:t>
      </w:r>
    </w:p>
    <w:p w14:paraId="4D040212">
      <w:pPr>
        <w:pStyle w:val="145"/>
        <w:rPr>
          <w:i w:val="0"/>
          <w:iCs w:val="0"/>
          <w:lang w:eastAsia="zh-CN"/>
        </w:rPr>
      </w:pPr>
      <w:r>
        <w:rPr>
          <w:rFonts w:hint="eastAsia"/>
          <w:i w:val="0"/>
          <w:iCs w:val="0"/>
          <w:lang w:eastAsia="zh-CN"/>
        </w:rPr>
        <w:t>国际上，欧盟的政策法规构成了重要的外部驱动力和准入门槛。其“生物经济战略”设定了生物基产品的替代目标，碳边境调节机制（CBAM）则对高碳足迹产品形成贸易约束，而《欧盟毁林条例》（EUDR）等法规更要求供应链提供透明的产地信息和无毁林证明，这些都倒逼出口企业必须构建可追溯的绿色供应链体系。</w:t>
      </w:r>
    </w:p>
    <w:p w14:paraId="07A95001">
      <w:pPr>
        <w:pStyle w:val="145"/>
        <w:rPr>
          <w:i w:val="0"/>
          <w:iCs w:val="0"/>
          <w:lang w:eastAsia="zh-CN"/>
        </w:rPr>
      </w:pPr>
      <w:r>
        <w:rPr>
          <w:rFonts w:hint="eastAsia"/>
          <w:i w:val="0"/>
          <w:iCs w:val="0"/>
          <w:lang w:eastAsia="zh-CN"/>
        </w:rPr>
        <w:t>综合来看，这些政策共同引导行业聚焦于非粮原料替代、低碳工艺革新以及循环模式构建。其目标是通过构建从原料、制造到回收再生的新型产业生态，推动轮胎产业逐步摆脱对化石燃料的依赖。</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AD"/>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71F"/>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8B"/>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58D"/>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70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534"/>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4F24"/>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34"/>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CE6"/>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1A2"/>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87D"/>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56"/>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15"/>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E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37F3F"/>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716"/>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3DBF"/>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D54"/>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739"/>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8FE"/>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723"/>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C8C"/>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6E32"/>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5FAE"/>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608"/>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0EED"/>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A696AD9"/>
    <w:rsid w:val="664F1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5.xml"/><Relationship Id="rId17" Type="http://schemas.openxmlformats.org/officeDocument/2006/relationships/chart" Target="charts/chart4.xml"/><Relationship Id="rId16" Type="http://schemas.openxmlformats.org/officeDocument/2006/relationships/chart" Target="charts/chart3.xml"/><Relationship Id="rId15" Type="http://schemas.openxmlformats.org/officeDocument/2006/relationships/chart" Target="charts/chart2.xml"/><Relationship Id="rId14" Type="http://schemas.openxmlformats.org/officeDocument/2006/relationships/chart" Target="charts/chart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89542\Desktop\&#24037;&#20316;\&#39033;&#30446;&#25968;&#25454;\&#25968;&#25454;-&#29983;&#29289;&#22522;&#27233;&#33014;&#36718;&#32974;-2025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89542\Desktop\&#24037;&#20316;\&#39033;&#30446;&#25968;&#25454;\&#25968;&#25454;-&#29983;&#29289;&#22522;&#27233;&#33014;&#36718;&#32974;-2025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89542\Desktop\&#24037;&#20316;\&#39033;&#30446;&#25968;&#25454;\&#25968;&#25454;-&#29983;&#29289;&#22522;&#27233;&#33014;&#36718;&#32974;-202512.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89542\Desktop\&#24037;&#20316;\&#39033;&#30446;&#25968;&#25454;\&#25968;&#25454;-&#29983;&#29289;&#22522;&#27233;&#33014;&#36718;&#32974;-2025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89542\Desktop\&#24037;&#20316;\&#39033;&#30446;&#25968;&#25454;\&#25968;&#25454;-&#29983;&#29289;&#22522;&#27233;&#33014;&#36718;&#32974;-2025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2"/>
            </a:solidFill>
            <a:ln>
              <a:noFill/>
            </a:ln>
            <a:effectLst/>
          </c:spPr>
          <c:invertIfNegative val="0"/>
          <c:dLbls>
            <c:dLbl>
              <c:idx val="0"/>
              <c:delete val="1"/>
            </c:dLbl>
            <c:dLbl>
              <c:idx val="1"/>
              <c:delete val="1"/>
            </c:dLbl>
            <c:dLbl>
              <c:idx val="2"/>
              <c:delete val="1"/>
            </c:dLbl>
            <c:dLbl>
              <c:idx val="3"/>
              <c:delete val="1"/>
            </c:dLbl>
            <c:dLbl>
              <c:idx val="4"/>
              <c:delete val="1"/>
            </c:dLbl>
            <c:dLbl>
              <c:idx val="5"/>
              <c:delete val="1"/>
            </c:dLbl>
            <c:dLbl>
              <c:idx val="6"/>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企业!$T$252:$T$258</c:f>
              <c:strCache>
                <c:ptCount val="7"/>
                <c:pt idx="0">
                  <c:v>其他厂商</c:v>
                </c:pt>
                <c:pt idx="1">
                  <c:v>锦湖轮胎</c:v>
                </c:pt>
                <c:pt idx="2">
                  <c:v>大陆轮胎</c:v>
                </c:pt>
                <c:pt idx="3">
                  <c:v>倍耐力</c:v>
                </c:pt>
                <c:pt idx="4">
                  <c:v>优科豪马轮胎</c:v>
                </c:pt>
                <c:pt idx="5">
                  <c:v>韩泰轮胎</c:v>
                </c:pt>
                <c:pt idx="6">
                  <c:v>固特异</c:v>
                </c:pt>
              </c:strCache>
            </c:strRef>
          </c:cat>
          <c:val>
            <c:numRef>
              <c:f>企业!$U$252:$U$258</c:f>
              <c:numCache>
                <c:formatCode>0.00%</c:formatCode>
                <c:ptCount val="7"/>
                <c:pt idx="0">
                  <c:v>0.0680203473830462</c:v>
                </c:pt>
                <c:pt idx="1">
                  <c:v>0.105329144329551</c:v>
                </c:pt>
                <c:pt idx="2">
                  <c:v>0.108543914629588</c:v>
                </c:pt>
                <c:pt idx="3">
                  <c:v>0.117436065005857</c:v>
                </c:pt>
                <c:pt idx="4">
                  <c:v>0.122079507138584</c:v>
                </c:pt>
                <c:pt idx="5">
                  <c:v>0.194408392547433</c:v>
                </c:pt>
                <c:pt idx="6">
                  <c:v>0.284182628965941</c:v>
                </c:pt>
              </c:numCache>
            </c:numRef>
          </c:val>
        </c:ser>
        <c:dLbls>
          <c:showLegendKey val="0"/>
          <c:showVal val="1"/>
          <c:showCatName val="0"/>
          <c:showSerName val="0"/>
          <c:showPercent val="0"/>
          <c:showBubbleSize val="0"/>
        </c:dLbls>
        <c:gapWidth val="182"/>
        <c:axId val="183160255"/>
        <c:axId val="183161695"/>
      </c:barChart>
      <c:catAx>
        <c:axId val="1831602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3161695"/>
        <c:crosses val="autoZero"/>
        <c:auto val="1"/>
        <c:lblAlgn val="ctr"/>
        <c:lblOffset val="100"/>
        <c:noMultiLvlLbl val="0"/>
      </c:catAx>
      <c:valAx>
        <c:axId val="183161695"/>
        <c:scaling>
          <c:orientation val="minMax"/>
        </c:scaling>
        <c:delete val="0"/>
        <c:axPos val="b"/>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3160255"/>
        <c:crosses val="autoZero"/>
        <c:crossBetween val="between"/>
      </c:valAx>
      <c:spPr>
        <a:noFill/>
        <a:ln>
          <a:noFill/>
        </a:ln>
        <a:effectLst/>
      </c:spPr>
    </c:plotArea>
    <c:plotVisOnly val="1"/>
    <c:dispBlanksAs val="gap"/>
    <c:showDLblsOverMax val="0"/>
    <c:extLst>
      <c:ext uri="{0b15fc19-7d7d-44ad-8c2d-2c3a37ce22c3}">
        <chartProps xmlns="https://web.wps.cn/et/2018/main" chartId="{2531db7e-22c6-4de0-94a8-30d8c246e7fb}"/>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05958293157416"/>
          <c:y val="0.0285393835845815"/>
          <c:w val="0.89765842974254"/>
          <c:h val="0.861404883631252"/>
        </c:manualLayout>
      </c:layout>
      <c:barChart>
        <c:barDir val="col"/>
        <c:grouping val="stacked"/>
        <c:varyColors val="0"/>
        <c:ser>
          <c:idx val="0"/>
          <c:order val="0"/>
          <c:tx>
            <c:strRef>
              <c:f>分类!$B$73</c:f>
              <c:strCache>
                <c:ptCount val="1"/>
                <c:pt idx="0">
                  <c:v>17英寸</c:v>
                </c:pt>
              </c:strCache>
            </c:strRef>
          </c:tx>
          <c:spPr>
            <a:solidFill>
              <a:schemeClr val="accent2"/>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分类!$C$72:$N$72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分类!$C$73:$N$73</c:f>
              <c:numCache>
                <c:formatCode>#,##0.00_);[Red]\(#,##0.00\)</c:formatCode>
                <c:ptCount val="12"/>
                <c:pt idx="0">
                  <c:v>3.12111104</c:v>
                </c:pt>
                <c:pt idx="1">
                  <c:v>5.75451986608169</c:v>
                </c:pt>
                <c:pt idx="2">
                  <c:v>9.85304923050528</c:v>
                </c:pt>
                <c:pt idx="3">
                  <c:v>25.1793527437155</c:v>
                </c:pt>
                <c:pt idx="4">
                  <c:v>68.9025017280272</c:v>
                </c:pt>
                <c:pt idx="5">
                  <c:v>86.3789921561303</c:v>
                </c:pt>
                <c:pt idx="6">
                  <c:v>105.416282374304</c:v>
                </c:pt>
                <c:pt idx="7">
                  <c:v>123.374332592193</c:v>
                </c:pt>
                <c:pt idx="8">
                  <c:v>127.589971849702</c:v>
                </c:pt>
                <c:pt idx="9">
                  <c:v>146.190356920881</c:v>
                </c:pt>
                <c:pt idx="10">
                  <c:v>175.063464079005</c:v>
                </c:pt>
                <c:pt idx="11">
                  <c:v>204.554830301218</c:v>
                </c:pt>
              </c:numCache>
            </c:numRef>
          </c:val>
        </c:ser>
        <c:ser>
          <c:idx val="1"/>
          <c:order val="1"/>
          <c:tx>
            <c:strRef>
              <c:f>分类!$B$74</c:f>
              <c:strCache>
                <c:ptCount val="1"/>
                <c:pt idx="0">
                  <c:v>18英寸</c:v>
                </c:pt>
              </c:strCache>
            </c:strRef>
          </c:tx>
          <c:spPr>
            <a:solidFill>
              <a:schemeClr val="accent4"/>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分类!$C$72:$N$72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分类!$C$74:$N$74</c:f>
              <c:numCache>
                <c:formatCode>#,##0.00_);[Red]\(#,##0.00\)</c:formatCode>
                <c:ptCount val="12"/>
                <c:pt idx="0">
                  <c:v>3.89290752</c:v>
                </c:pt>
                <c:pt idx="1">
                  <c:v>7.88426923794699</c:v>
                </c:pt>
                <c:pt idx="2">
                  <c:v>14.7070176122765</c:v>
                </c:pt>
                <c:pt idx="3">
                  <c:v>42.6447669405128</c:v>
                </c:pt>
                <c:pt idx="4">
                  <c:v>133.167809750871</c:v>
                </c:pt>
                <c:pt idx="5">
                  <c:v>173.943809677878</c:v>
                </c:pt>
                <c:pt idx="6">
                  <c:v>219.997046726016</c:v>
                </c:pt>
                <c:pt idx="7">
                  <c:v>266.025897561316</c:v>
                </c:pt>
                <c:pt idx="8">
                  <c:v>271.822601869177</c:v>
                </c:pt>
                <c:pt idx="9">
                  <c:v>318.625017459012</c:v>
                </c:pt>
                <c:pt idx="10">
                  <c:v>403.325440520174</c:v>
                </c:pt>
                <c:pt idx="11">
                  <c:v>503.274180595478</c:v>
                </c:pt>
              </c:numCache>
            </c:numRef>
          </c:val>
        </c:ser>
        <c:ser>
          <c:idx val="2"/>
          <c:order val="2"/>
          <c:tx>
            <c:strRef>
              <c:f>分类!$B$75</c:f>
              <c:strCache>
                <c:ptCount val="1"/>
                <c:pt idx="0">
                  <c:v>19英寸</c:v>
                </c:pt>
              </c:strCache>
            </c:strRef>
          </c:tx>
          <c:spPr>
            <a:solidFill>
              <a:schemeClr val="accent6"/>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分类!$C$72:$N$72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分类!$C$75:$N$75</c:f>
              <c:numCache>
                <c:formatCode>#,##0.00_);[Red]\(#,##0.00\)</c:formatCode>
                <c:ptCount val="12"/>
                <c:pt idx="0">
                  <c:v>4.25866272</c:v>
                </c:pt>
                <c:pt idx="1">
                  <c:v>8.53668158264311</c:v>
                </c:pt>
                <c:pt idx="2">
                  <c:v>15.7952268272852</c:v>
                </c:pt>
                <c:pt idx="3">
                  <c:v>45.3764913287682</c:v>
                </c:pt>
                <c:pt idx="4">
                  <c:v>140.249214128038</c:v>
                </c:pt>
                <c:pt idx="5">
                  <c:v>182.520807666421</c:v>
                </c:pt>
                <c:pt idx="6">
                  <c:v>230.171313110577</c:v>
                </c:pt>
                <c:pt idx="7">
                  <c:v>277.213835633665</c:v>
                </c:pt>
                <c:pt idx="8">
                  <c:v>282.526250694215</c:v>
                </c:pt>
                <c:pt idx="9">
                  <c:v>325.493973004794</c:v>
                </c:pt>
                <c:pt idx="10">
                  <c:v>408.149652114453</c:v>
                </c:pt>
                <c:pt idx="11">
                  <c:v>507.148710577169</c:v>
                </c:pt>
              </c:numCache>
            </c:numRef>
          </c:val>
        </c:ser>
        <c:ser>
          <c:idx val="3"/>
          <c:order val="3"/>
          <c:tx>
            <c:strRef>
              <c:f>分类!$B$76</c:f>
              <c:strCache>
                <c:ptCount val="1"/>
                <c:pt idx="0">
                  <c:v>20英寸</c:v>
                </c:pt>
              </c:strCache>
            </c:strRef>
          </c:tx>
          <c:spPr>
            <a:solidFill>
              <a:schemeClr val="accent2">
                <a:lumMod val="60000"/>
              </a:schemeClr>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分类!$C$72:$N$72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分类!$C$76:$N$76</c:f>
              <c:numCache>
                <c:formatCode>#,##0.00_);[Red]\(#,##0.00\)</c:formatCode>
                <c:ptCount val="12"/>
                <c:pt idx="0">
                  <c:v>4.3148512</c:v>
                </c:pt>
                <c:pt idx="1">
                  <c:v>8.09022310868781</c:v>
                </c:pt>
                <c:pt idx="2">
                  <c:v>14.2130547677076</c:v>
                </c:pt>
                <c:pt idx="3">
                  <c:v>38.4325081812512</c:v>
                </c:pt>
                <c:pt idx="4">
                  <c:v>111.04091383086</c:v>
                </c:pt>
                <c:pt idx="5">
                  <c:v>141.425558388446</c:v>
                </c:pt>
                <c:pt idx="6">
                  <c:v>175.426818696212</c:v>
                </c:pt>
                <c:pt idx="7">
                  <c:v>206.307502571157</c:v>
                </c:pt>
                <c:pt idx="8">
                  <c:v>211.100025855884</c:v>
                </c:pt>
                <c:pt idx="9">
                  <c:v>235.460968839654</c:v>
                </c:pt>
                <c:pt idx="10">
                  <c:v>291.740601473704</c:v>
                </c:pt>
                <c:pt idx="11">
                  <c:v>354.261335876206</c:v>
                </c:pt>
              </c:numCache>
            </c:numRef>
          </c:val>
        </c:ser>
        <c:ser>
          <c:idx val="4"/>
          <c:order val="4"/>
          <c:tx>
            <c:strRef>
              <c:f>分类!$B$77</c:f>
              <c:strCache>
                <c:ptCount val="1"/>
                <c:pt idx="0">
                  <c:v>其他</c:v>
                </c:pt>
              </c:strCache>
            </c:strRef>
          </c:tx>
          <c:spPr>
            <a:solidFill>
              <a:schemeClr val="accent4">
                <a:lumMod val="60000"/>
              </a:schemeClr>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分类!$C$72:$N$72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分类!$C$77:$N$77</c:f>
              <c:numCache>
                <c:formatCode>#,##0.00_);[Red]\(#,##0.00\)</c:formatCode>
                <c:ptCount val="12"/>
                <c:pt idx="0">
                  <c:v>5.61566752</c:v>
                </c:pt>
                <c:pt idx="1">
                  <c:v>11.2145462046404</c:v>
                </c:pt>
                <c:pt idx="2">
                  <c:v>20.4641415622254</c:v>
                </c:pt>
                <c:pt idx="3">
                  <c:v>56.8437608057523</c:v>
                </c:pt>
                <c:pt idx="4">
                  <c:v>169.038616562204</c:v>
                </c:pt>
                <c:pt idx="5">
                  <c:v>216.589477991125</c:v>
                </c:pt>
                <c:pt idx="6">
                  <c:v>268.872506137257</c:v>
                </c:pt>
                <c:pt idx="7">
                  <c:v>320.592228311606</c:v>
                </c:pt>
                <c:pt idx="8">
                  <c:v>447.261116872549</c:v>
                </c:pt>
                <c:pt idx="9">
                  <c:v>558.279022571542</c:v>
                </c:pt>
                <c:pt idx="10">
                  <c:v>700.327188501072</c:v>
                </c:pt>
                <c:pt idx="11">
                  <c:v>864.714847839118</c:v>
                </c:pt>
              </c:numCache>
            </c:numRef>
          </c:val>
        </c:ser>
        <c:dLbls>
          <c:showLegendKey val="0"/>
          <c:showVal val="0"/>
          <c:showCatName val="0"/>
          <c:showSerName val="0"/>
          <c:showPercent val="0"/>
          <c:showBubbleSize val="0"/>
        </c:dLbls>
        <c:gapWidth val="30"/>
        <c:overlap val="100"/>
        <c:axId val="758594712"/>
        <c:axId val="758595072"/>
      </c:barChart>
      <c:lineChart>
        <c:grouping val="stacked"/>
        <c:varyColors val="0"/>
        <c:ser>
          <c:idx val="5"/>
          <c:order val="5"/>
          <c:tx>
            <c:strRef>
              <c:f>分类!$B$78</c:f>
              <c:strCache>
                <c:ptCount val="1"/>
                <c:pt idx="0">
                  <c:v>合计</c:v>
                </c:pt>
              </c:strCache>
            </c:strRef>
          </c:tx>
          <c:spPr>
            <a:ln w="28575" cap="rnd">
              <a:solidFill>
                <a:schemeClr val="accent6">
                  <a:lumMod val="60000"/>
                </a:schemeClr>
              </a:solidFill>
              <a:round/>
            </a:ln>
            <a:effectLst/>
          </c:spPr>
          <c:marker>
            <c:symbol val="diamond"/>
            <c:size val="5"/>
            <c:spPr>
              <a:solidFill>
                <a:schemeClr val="accent6">
                  <a:lumMod val="60000"/>
                </a:schemeClr>
              </a:solidFill>
              <a:ln w="9525">
                <a:solidFill>
                  <a:schemeClr val="accent6">
                    <a:lumMod val="60000"/>
                  </a:schemeClr>
                </a:solidFill>
              </a:ln>
              <a:effectLst/>
            </c:spPr>
          </c:marker>
          <c:dLbls>
            <c:dLbl>
              <c:idx val="0"/>
              <c:delete val="1"/>
            </c:dLbl>
            <c:dLbl>
              <c:idx val="1"/>
              <c:delete val="1"/>
            </c:dLbl>
            <c:dLbl>
              <c:idx val="2"/>
              <c:delete val="1"/>
            </c:dLbl>
            <c:dLbl>
              <c:idx val="3"/>
              <c:delete val="1"/>
            </c:dLbl>
            <c:dLbl>
              <c:idx val="4"/>
              <c:delete val="1"/>
            </c:dLbl>
            <c:dLbl>
              <c:idx val="5"/>
              <c:layout/>
              <c:dLblPos val="t"/>
              <c:showLegendKey val="0"/>
              <c:showVal val="1"/>
              <c:showCatName val="0"/>
              <c:showSerName val="0"/>
              <c:showPercent val="0"/>
              <c:showBubbleSize val="0"/>
              <c:extLst>
                <c:ext xmlns:c15="http://schemas.microsoft.com/office/drawing/2012/chart" uri="{CE6537A1-D6FC-4f65-9D91-7224C49458BB}"/>
              </c:extLst>
            </c:dLbl>
            <c:dLbl>
              <c:idx val="6"/>
              <c:layout/>
              <c:dLblPos val="t"/>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Times New Roman" panose="02020603050405020304" charset="0"/>
                    <a:ea typeface="+mn-ea"/>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分类!$C$72:$N$72</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分类!$C$78:$N$78</c:f>
              <c:numCache>
                <c:formatCode>#,##0.00_);[Red]\(#,##0.00\)</c:formatCode>
                <c:ptCount val="12"/>
                <c:pt idx="0">
                  <c:v>21.2032</c:v>
                </c:pt>
                <c:pt idx="1">
                  <c:v>41.48024</c:v>
                </c:pt>
                <c:pt idx="2">
                  <c:v>75.03249</c:v>
                </c:pt>
                <c:pt idx="3">
                  <c:v>208.47688</c:v>
                </c:pt>
                <c:pt idx="4">
                  <c:v>622.399056</c:v>
                </c:pt>
                <c:pt idx="5">
                  <c:v>800.85864588</c:v>
                </c:pt>
                <c:pt idx="6">
                  <c:v>999.883967044366</c:v>
                </c:pt>
                <c:pt idx="7">
                  <c:v>1193.51379666994</c:v>
                </c:pt>
                <c:pt idx="8">
                  <c:v>1340.29996714153</c:v>
                </c:pt>
                <c:pt idx="9">
                  <c:v>1584.04933879588</c:v>
                </c:pt>
                <c:pt idx="10">
                  <c:v>1978.60634668841</c:v>
                </c:pt>
                <c:pt idx="11">
                  <c:v>2433.95390518919</c:v>
                </c:pt>
              </c:numCache>
            </c:numRef>
          </c:val>
          <c:smooth val="0"/>
        </c:ser>
        <c:dLbls>
          <c:showLegendKey val="0"/>
          <c:showVal val="0"/>
          <c:showCatName val="0"/>
          <c:showSerName val="0"/>
          <c:showPercent val="0"/>
          <c:showBubbleSize val="0"/>
        </c:dLbls>
        <c:marker val="1"/>
        <c:smooth val="0"/>
        <c:axId val="758594712"/>
        <c:axId val="758595072"/>
      </c:lineChart>
      <c:catAx>
        <c:axId val="75859471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5072"/>
        <c:crosses val="autoZero"/>
        <c:auto val="1"/>
        <c:lblAlgn val="ctr"/>
        <c:lblOffset val="100"/>
        <c:noMultiLvlLbl val="0"/>
      </c:catAx>
      <c:valAx>
        <c:axId val="758595072"/>
        <c:scaling>
          <c:orientation val="minMax"/>
        </c:scaling>
        <c:delete val="0"/>
        <c:axPos val="l"/>
        <c:numFmt formatCode="#,##0_);[Red]\(#,##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4712"/>
        <c:crosses val="autoZero"/>
        <c:crossBetween val="between"/>
      </c:valAx>
      <c:spPr>
        <a:noFill/>
        <a:ln>
          <a:noFill/>
        </a:ln>
        <a:effectLst/>
      </c:spPr>
    </c:plotArea>
    <c:legend>
      <c:legendPos val="b"/>
      <c:layout>
        <c:manualLayout>
          <c:xMode val="edge"/>
          <c:yMode val="edge"/>
          <c:x val="0.147445105684383"/>
          <c:y val="0.944077002711637"/>
          <c:w val="0.709214036527806"/>
          <c:h val="0.0559229972883633"/>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legend>
    <c:plotVisOnly val="1"/>
    <c:dispBlanksAs val="gap"/>
    <c:showDLblsOverMax val="0"/>
    <c:extLst>
      <c:ext uri="{0b15fc19-7d7d-44ad-8c2d-2c3a37ce22c3}">
        <chartProps xmlns="https://web.wps.cn/et/2018/main" chartId="{7639e092-0e75-427c-a539-857678205df3}"/>
      </c:ext>
    </c:extLst>
  </c:chart>
  <c:spPr>
    <a:solidFill>
      <a:schemeClr val="bg1"/>
    </a:solidFill>
    <a:ln w="9525" cap="flat" cmpd="sng" algn="ctr">
      <a:noFill/>
      <a:round/>
    </a:ln>
    <a:effectLst/>
  </c:spPr>
  <c:txPr>
    <a:bodyPr/>
    <a:lstStyle/>
    <a:p>
      <a:pPr>
        <a:defRPr lang="zh-CN" baseline="0">
          <a:latin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05682084002473"/>
          <c:y val="0.0254461320297048"/>
          <c:w val="0.89765842974254"/>
          <c:h val="0.861404883631252"/>
        </c:manualLayout>
      </c:layout>
      <c:barChart>
        <c:barDir val="col"/>
        <c:grouping val="stacked"/>
        <c:varyColors val="0"/>
        <c:ser>
          <c:idx val="0"/>
          <c:order val="0"/>
          <c:tx>
            <c:strRef>
              <c:f>应用!$B$81</c:f>
              <c:strCache>
                <c:ptCount val="1"/>
                <c:pt idx="0">
                  <c:v>乘用车</c:v>
                </c:pt>
              </c:strCache>
            </c:strRef>
          </c:tx>
          <c:spPr>
            <a:solidFill>
              <a:schemeClr val="accent2"/>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应用!$C$80:$N$80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应用!$C$81:$N$81</c:f>
              <c:numCache>
                <c:formatCode>#,##0.00_);[Red]\(#,##0.00\)</c:formatCode>
                <c:ptCount val="12"/>
                <c:pt idx="0">
                  <c:v>17.63258112</c:v>
                </c:pt>
                <c:pt idx="1">
                  <c:v>35.2298348258108</c:v>
                </c:pt>
                <c:pt idx="2">
                  <c:v>64.8393094257008</c:v>
                </c:pt>
                <c:pt idx="3">
                  <c:v>184.008748913868</c:v>
                </c:pt>
                <c:pt idx="4">
                  <c:v>562.12054601025</c:v>
                </c:pt>
                <c:pt idx="5">
                  <c:v>729.309236029319</c:v>
                </c:pt>
                <c:pt idx="6">
                  <c:v>916.818065873679</c:v>
                </c:pt>
                <c:pt idx="7">
                  <c:v>1105.23505235385</c:v>
                </c:pt>
                <c:pt idx="8">
                  <c:v>1245.08814299583</c:v>
                </c:pt>
                <c:pt idx="9">
                  <c:v>1480.78548857998</c:v>
                </c:pt>
                <c:pt idx="10">
                  <c:v>1854.74069828488</c:v>
                </c:pt>
                <c:pt idx="11">
                  <c:v>2291.51455225224</c:v>
                </c:pt>
              </c:numCache>
            </c:numRef>
          </c:val>
        </c:ser>
        <c:ser>
          <c:idx val="1"/>
          <c:order val="1"/>
          <c:tx>
            <c:strRef>
              <c:f>应用!$B$82</c:f>
              <c:strCache>
                <c:ptCount val="1"/>
                <c:pt idx="0">
                  <c:v>商用车</c:v>
                </c:pt>
              </c:strCache>
            </c:strRef>
          </c:tx>
          <c:spPr>
            <a:solidFill>
              <a:schemeClr val="accent4"/>
            </a:solidFill>
            <a:ln>
              <a:noFill/>
            </a:ln>
            <a:effectLst/>
          </c:spPr>
          <c:invertIfNegative val="0"/>
          <c:dLbls>
            <c:dLbl>
              <c:idx val="0"/>
              <c:delete val="1"/>
            </c:dLbl>
            <c:dLbl>
              <c:idx val="1"/>
              <c:delete val="1"/>
            </c:dLbl>
            <c:dLbl>
              <c:idx val="2"/>
              <c:delete val="1"/>
            </c:dLbl>
            <c:dLbl>
              <c:idx val="3"/>
              <c:delete val="1"/>
            </c:dLbl>
            <c:dLbl>
              <c:idx val="4"/>
              <c:delete val="1"/>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应用!$C$80:$N$80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应用!$C$82:$N$82</c:f>
              <c:numCache>
                <c:formatCode>#,##0.00_);[Red]\(#,##0.00\)</c:formatCode>
                <c:ptCount val="12"/>
                <c:pt idx="0">
                  <c:v>3.57061888</c:v>
                </c:pt>
                <c:pt idx="1">
                  <c:v>6.25040517418923</c:v>
                </c:pt>
                <c:pt idx="2">
                  <c:v>10.1931805742992</c:v>
                </c:pt>
                <c:pt idx="3">
                  <c:v>24.4681310861317</c:v>
                </c:pt>
                <c:pt idx="4">
                  <c:v>60.2785099897499</c:v>
                </c:pt>
                <c:pt idx="5">
                  <c:v>71.5494098506807</c:v>
                </c:pt>
                <c:pt idx="6">
                  <c:v>83.0659011706877</c:v>
                </c:pt>
                <c:pt idx="7">
                  <c:v>88.2787443160873</c:v>
                </c:pt>
                <c:pt idx="8">
                  <c:v>95.2118241456944</c:v>
                </c:pt>
                <c:pt idx="9">
                  <c:v>103.263850215906</c:v>
                </c:pt>
                <c:pt idx="10">
                  <c:v>123.865648403529</c:v>
                </c:pt>
                <c:pt idx="11">
                  <c:v>142.439352936945</c:v>
                </c:pt>
              </c:numCache>
            </c:numRef>
          </c:val>
        </c:ser>
        <c:dLbls>
          <c:showLegendKey val="0"/>
          <c:showVal val="0"/>
          <c:showCatName val="0"/>
          <c:showSerName val="0"/>
          <c:showPercent val="0"/>
          <c:showBubbleSize val="0"/>
        </c:dLbls>
        <c:gapWidth val="30"/>
        <c:overlap val="100"/>
        <c:axId val="758594712"/>
        <c:axId val="758595072"/>
      </c:barChart>
      <c:lineChart>
        <c:grouping val="standard"/>
        <c:varyColors val="0"/>
        <c:ser>
          <c:idx val="2"/>
          <c:order val="2"/>
          <c:tx>
            <c:strRef>
              <c:f>应用!$B$83</c:f>
              <c:strCache>
                <c:ptCount val="1"/>
                <c:pt idx="0">
                  <c:v>合计</c:v>
                </c:pt>
              </c:strCache>
            </c:strRef>
          </c:tx>
          <c:spPr>
            <a:ln w="28575" cap="rnd">
              <a:solidFill>
                <a:schemeClr val="accent6"/>
              </a:solidFill>
              <a:round/>
            </a:ln>
            <a:effectLst/>
          </c:spPr>
          <c:marker>
            <c:symbol val="none"/>
          </c:marker>
          <c:dLbls>
            <c:dLbl>
              <c:idx val="0"/>
              <c:delete val="1"/>
            </c:dLbl>
            <c:dLbl>
              <c:idx val="1"/>
              <c:delete val="1"/>
            </c:dLbl>
            <c:dLbl>
              <c:idx val="2"/>
              <c:delete val="1"/>
            </c:dLbl>
            <c:dLbl>
              <c:idx val="3"/>
              <c:delete val="1"/>
            </c:dLbl>
            <c:dLbl>
              <c:idx val="4"/>
              <c:delete val="1"/>
            </c:dLbl>
            <c:dLbl>
              <c:idx val="5"/>
              <c:layout/>
              <c:dLblPos val="t"/>
              <c:showLegendKey val="0"/>
              <c:showVal val="1"/>
              <c:showCatName val="0"/>
              <c:showSerName val="0"/>
              <c:showPercent val="0"/>
              <c:showBubbleSize val="0"/>
              <c:extLst>
                <c:ext xmlns:c15="http://schemas.microsoft.com/office/drawing/2012/chart" uri="{CE6537A1-D6FC-4f65-9D91-7224C49458BB}"/>
              </c:extLst>
            </c:dLbl>
            <c:dLbl>
              <c:idx val="6"/>
              <c:layout/>
              <c:dLblPos val="t"/>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Times New Roman" panose="02020603050405020304" charset="0"/>
                    <a:ea typeface="+mn-ea"/>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应用!$C$80:$N$80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应用!$C$83:$N$83</c:f>
              <c:numCache>
                <c:formatCode>#,##0.00_);[Red]\(#,##0.00\)</c:formatCode>
                <c:ptCount val="12"/>
                <c:pt idx="0">
                  <c:v>21.2032</c:v>
                </c:pt>
                <c:pt idx="1">
                  <c:v>41.48024</c:v>
                </c:pt>
                <c:pt idx="2">
                  <c:v>75.03249</c:v>
                </c:pt>
                <c:pt idx="3">
                  <c:v>208.47688</c:v>
                </c:pt>
                <c:pt idx="4">
                  <c:v>622.399056</c:v>
                </c:pt>
                <c:pt idx="5">
                  <c:v>800.85864588</c:v>
                </c:pt>
                <c:pt idx="6">
                  <c:v>999.883967044366</c:v>
                </c:pt>
                <c:pt idx="7">
                  <c:v>1193.51379666994</c:v>
                </c:pt>
                <c:pt idx="8">
                  <c:v>1340.29996714153</c:v>
                </c:pt>
                <c:pt idx="9">
                  <c:v>1584.04933879588</c:v>
                </c:pt>
                <c:pt idx="10">
                  <c:v>1978.60634668841</c:v>
                </c:pt>
                <c:pt idx="11">
                  <c:v>2433.95390518919</c:v>
                </c:pt>
              </c:numCache>
            </c:numRef>
          </c:val>
          <c:smooth val="0"/>
        </c:ser>
        <c:dLbls>
          <c:showLegendKey val="0"/>
          <c:showVal val="0"/>
          <c:showCatName val="0"/>
          <c:showSerName val="0"/>
          <c:showPercent val="0"/>
          <c:showBubbleSize val="0"/>
        </c:dLbls>
        <c:marker val="0"/>
        <c:smooth val="0"/>
        <c:axId val="758594712"/>
        <c:axId val="758595072"/>
      </c:lineChart>
      <c:catAx>
        <c:axId val="75859471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5072"/>
        <c:crosses val="autoZero"/>
        <c:auto val="1"/>
        <c:lblAlgn val="ctr"/>
        <c:lblOffset val="100"/>
        <c:noMultiLvlLbl val="0"/>
      </c:catAx>
      <c:valAx>
        <c:axId val="758595072"/>
        <c:scaling>
          <c:orientation val="minMax"/>
        </c:scaling>
        <c:delete val="0"/>
        <c:axPos val="l"/>
        <c:numFmt formatCode="#,##0_);[Red]\(#,##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crossAx val="75859471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mn-cs"/>
            </a:defRPr>
          </a:pPr>
        </a:p>
      </c:txPr>
    </c:legend>
    <c:plotVisOnly val="1"/>
    <c:dispBlanksAs val="gap"/>
    <c:showDLblsOverMax val="0"/>
    <c:extLst>
      <c:ext uri="{0b15fc19-7d7d-44ad-8c2d-2c3a37ce22c3}">
        <chartProps xmlns="https://web.wps.cn/et/2018/main" chartId="{2b3e0b1e-0aa1-40c4-9a05-153ac691e84d}"/>
      </c:ext>
    </c:extLst>
  </c:chart>
  <c:spPr>
    <a:solidFill>
      <a:schemeClr val="bg1"/>
    </a:solidFill>
    <a:ln w="9525" cap="flat" cmpd="sng" algn="ctr">
      <a:noFill/>
      <a:round/>
    </a:ln>
    <a:effectLst/>
  </c:spPr>
  <c:txPr>
    <a:bodyPr/>
    <a:lstStyle/>
    <a:p>
      <a:pPr>
        <a:defRPr lang="zh-CN" baseline="0">
          <a:latin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percentStacked"/>
        <c:varyColors val="0"/>
        <c:ser>
          <c:idx val="0"/>
          <c:order val="0"/>
          <c:tx>
            <c:strRef>
              <c:f>产端!$S$17</c:f>
              <c:strCache>
                <c:ptCount val="1"/>
                <c:pt idx="0">
                  <c:v>北美</c:v>
                </c:pt>
              </c:strCache>
            </c:strRef>
          </c:tx>
          <c:spPr>
            <a:solidFill>
              <a:schemeClr val="accent2"/>
            </a:solidFill>
            <a:ln>
              <a:noFill/>
            </a:ln>
            <a:effectLst/>
          </c:spPr>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产端!$T$16:$AE$16</c:f>
              <c:strCache>
                <c:ptCount val="12"/>
                <c:pt idx="0">
                  <c:v>2020 </c:v>
                </c:pt>
                <c:pt idx="1">
                  <c:v>2021 </c:v>
                </c:pt>
                <c:pt idx="2">
                  <c:v>2022</c:v>
                </c:pt>
                <c:pt idx="3">
                  <c:v>2023</c:v>
                </c:pt>
                <c:pt idx="4">
                  <c:v>2024</c:v>
                </c:pt>
                <c:pt idx="5">
                  <c:v>2025E</c:v>
                </c:pt>
                <c:pt idx="6">
                  <c:v>2026F</c:v>
                </c:pt>
                <c:pt idx="7">
                  <c:v>2027F</c:v>
                </c:pt>
                <c:pt idx="8">
                  <c:v>2028F</c:v>
                </c:pt>
                <c:pt idx="9">
                  <c:v>2029F</c:v>
                </c:pt>
                <c:pt idx="10">
                  <c:v>2030F</c:v>
                </c:pt>
                <c:pt idx="11">
                  <c:v>2031F</c:v>
                </c:pt>
              </c:strCache>
            </c:strRef>
          </c:cat>
          <c:val>
            <c:numRef>
              <c:f>产端!$T$17:$AE$17</c:f>
              <c:numCache>
                <c:formatCode>0.00%</c:formatCode>
                <c:ptCount val="12"/>
                <c:pt idx="0">
                  <c:v>0.24</c:v>
                </c:pt>
                <c:pt idx="1">
                  <c:v>0.242479509202454</c:v>
                </c:pt>
                <c:pt idx="2">
                  <c:v>0.244611382276555</c:v>
                </c:pt>
                <c:pt idx="3">
                  <c:v>0.24741811313638</c:v>
                </c:pt>
                <c:pt idx="4">
                  <c:v>0.250455502002212</c:v>
                </c:pt>
                <c:pt idx="5">
                  <c:v>0.251519386667044</c:v>
                </c:pt>
                <c:pt idx="6">
                  <c:v>0.252422367416774</c:v>
                </c:pt>
                <c:pt idx="7">
                  <c:v>0.253429823079103</c:v>
                </c:pt>
                <c:pt idx="8">
                  <c:v>0.254363830664509</c:v>
                </c:pt>
                <c:pt idx="9">
                  <c:v>0.255168815459856</c:v>
                </c:pt>
                <c:pt idx="10">
                  <c:v>0.256127040774254</c:v>
                </c:pt>
                <c:pt idx="11">
                  <c:v>0.257229871034228</c:v>
                </c:pt>
              </c:numCache>
            </c:numRef>
          </c:val>
        </c:ser>
        <c:ser>
          <c:idx val="1"/>
          <c:order val="1"/>
          <c:tx>
            <c:strRef>
              <c:f>产端!$S$18</c:f>
              <c:strCache>
                <c:ptCount val="1"/>
                <c:pt idx="0">
                  <c:v>欧洲</c:v>
                </c:pt>
              </c:strCache>
            </c:strRef>
          </c:tx>
          <c:spPr>
            <a:solidFill>
              <a:schemeClr val="accent4"/>
            </a:solidFill>
            <a:ln>
              <a:noFill/>
            </a:ln>
            <a:effectLst/>
          </c:spPr>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产端!$T$16:$AE$16</c:f>
              <c:strCache>
                <c:ptCount val="12"/>
                <c:pt idx="0">
                  <c:v>2020 </c:v>
                </c:pt>
                <c:pt idx="1">
                  <c:v>2021 </c:v>
                </c:pt>
                <c:pt idx="2">
                  <c:v>2022</c:v>
                </c:pt>
                <c:pt idx="3">
                  <c:v>2023</c:v>
                </c:pt>
                <c:pt idx="4">
                  <c:v>2024</c:v>
                </c:pt>
                <c:pt idx="5">
                  <c:v>2025E</c:v>
                </c:pt>
                <c:pt idx="6">
                  <c:v>2026F</c:v>
                </c:pt>
                <c:pt idx="7">
                  <c:v>2027F</c:v>
                </c:pt>
                <c:pt idx="8">
                  <c:v>2028F</c:v>
                </c:pt>
                <c:pt idx="9">
                  <c:v>2029F</c:v>
                </c:pt>
                <c:pt idx="10">
                  <c:v>2030F</c:v>
                </c:pt>
                <c:pt idx="11">
                  <c:v>2031F</c:v>
                </c:pt>
              </c:strCache>
            </c:strRef>
          </c:cat>
          <c:val>
            <c:numRef>
              <c:f>产端!$T$18:$AE$18</c:f>
              <c:numCache>
                <c:formatCode>0.00%</c:formatCode>
                <c:ptCount val="12"/>
                <c:pt idx="0">
                  <c:v>0.28</c:v>
                </c:pt>
                <c:pt idx="1">
                  <c:v>0.29144736196319</c:v>
                </c:pt>
                <c:pt idx="2">
                  <c:v>0.301547716979582</c:v>
                </c:pt>
                <c:pt idx="3">
                  <c:v>0.315270392877379</c:v>
                </c:pt>
                <c:pt idx="4">
                  <c:v>0.330640613406319</c:v>
                </c:pt>
                <c:pt idx="5">
                  <c:v>0.336020649620658</c:v>
                </c:pt>
                <c:pt idx="6">
                  <c:v>0.340594134349722</c:v>
                </c:pt>
                <c:pt idx="7">
                  <c:v>0.345782484262855</c:v>
                </c:pt>
                <c:pt idx="8">
                  <c:v>0.350622242414883</c:v>
                </c:pt>
                <c:pt idx="9">
                  <c:v>0.354791024451748</c:v>
                </c:pt>
                <c:pt idx="10">
                  <c:v>0.359857048450808</c:v>
                </c:pt>
                <c:pt idx="11">
                  <c:v>0.365796914233057</c:v>
                </c:pt>
              </c:numCache>
            </c:numRef>
          </c:val>
        </c:ser>
        <c:ser>
          <c:idx val="2"/>
          <c:order val="2"/>
          <c:tx>
            <c:strRef>
              <c:f>产端!$S$19</c:f>
              <c:strCache>
                <c:ptCount val="1"/>
                <c:pt idx="0">
                  <c:v>日本</c:v>
                </c:pt>
              </c:strCache>
            </c:strRef>
          </c:tx>
          <c:spPr>
            <a:solidFill>
              <a:schemeClr val="accent6"/>
            </a:solidFill>
            <a:ln>
              <a:noFill/>
            </a:ln>
            <a:effectLst/>
          </c:spPr>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产端!$T$16:$AE$16</c:f>
              <c:strCache>
                <c:ptCount val="12"/>
                <c:pt idx="0">
                  <c:v>2020 </c:v>
                </c:pt>
                <c:pt idx="1">
                  <c:v>2021 </c:v>
                </c:pt>
                <c:pt idx="2">
                  <c:v>2022</c:v>
                </c:pt>
                <c:pt idx="3">
                  <c:v>2023</c:v>
                </c:pt>
                <c:pt idx="4">
                  <c:v>2024</c:v>
                </c:pt>
                <c:pt idx="5">
                  <c:v>2025E</c:v>
                </c:pt>
                <c:pt idx="6">
                  <c:v>2026F</c:v>
                </c:pt>
                <c:pt idx="7">
                  <c:v>2027F</c:v>
                </c:pt>
                <c:pt idx="8">
                  <c:v>2028F</c:v>
                </c:pt>
                <c:pt idx="9">
                  <c:v>2029F</c:v>
                </c:pt>
                <c:pt idx="10">
                  <c:v>2030F</c:v>
                </c:pt>
                <c:pt idx="11">
                  <c:v>2031F</c:v>
                </c:pt>
              </c:strCache>
            </c:strRef>
          </c:cat>
          <c:val>
            <c:numRef>
              <c:f>产端!$T$19:$AE$19</c:f>
              <c:numCache>
                <c:formatCode>0.00%</c:formatCode>
                <c:ptCount val="12"/>
                <c:pt idx="0">
                  <c:v>0.2</c:v>
                </c:pt>
                <c:pt idx="1">
                  <c:v>0.179661349693252</c:v>
                </c:pt>
                <c:pt idx="2">
                  <c:v>0.1642028858279</c:v>
                </c:pt>
                <c:pt idx="3">
                  <c:v>0.145596354879805</c:v>
                </c:pt>
                <c:pt idx="4">
                  <c:v>0.127910825581171</c:v>
                </c:pt>
                <c:pt idx="5">
                  <c:v>0.12281494810811</c:v>
                </c:pt>
                <c:pt idx="6">
                  <c:v>0.118743365589308</c:v>
                </c:pt>
                <c:pt idx="7">
                  <c:v>0.114322571494516</c:v>
                </c:pt>
                <c:pt idx="8">
                  <c:v>0.110421680471843</c:v>
                </c:pt>
                <c:pt idx="9">
                  <c:v>0.107238570497576</c:v>
                </c:pt>
                <c:pt idx="10">
                  <c:v>0.103503300671528</c:v>
                </c:pt>
                <c:pt idx="11">
                  <c:v>0.0993187697945524</c:v>
                </c:pt>
              </c:numCache>
            </c:numRef>
          </c:val>
        </c:ser>
        <c:ser>
          <c:idx val="3"/>
          <c:order val="3"/>
          <c:tx>
            <c:strRef>
              <c:f>产端!$S$20</c:f>
              <c:strCache>
                <c:ptCount val="1"/>
                <c:pt idx="0">
                  <c:v>韩国</c:v>
                </c:pt>
              </c:strCache>
            </c:strRef>
          </c:tx>
          <c:spPr>
            <a:solidFill>
              <a:schemeClr val="accent2">
                <a:lumMod val="60000"/>
              </a:schemeClr>
            </a:solidFill>
            <a:ln>
              <a:noFill/>
            </a:ln>
            <a:effectLst/>
          </c:spPr>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产端!$T$16:$AE$16</c:f>
              <c:strCache>
                <c:ptCount val="12"/>
                <c:pt idx="0">
                  <c:v>2020 </c:v>
                </c:pt>
                <c:pt idx="1">
                  <c:v>2021 </c:v>
                </c:pt>
                <c:pt idx="2">
                  <c:v>2022</c:v>
                </c:pt>
                <c:pt idx="3">
                  <c:v>2023</c:v>
                </c:pt>
                <c:pt idx="4">
                  <c:v>2024</c:v>
                </c:pt>
                <c:pt idx="5">
                  <c:v>2025E</c:v>
                </c:pt>
                <c:pt idx="6">
                  <c:v>2026F</c:v>
                </c:pt>
                <c:pt idx="7">
                  <c:v>2027F</c:v>
                </c:pt>
                <c:pt idx="8">
                  <c:v>2028F</c:v>
                </c:pt>
                <c:pt idx="9">
                  <c:v>2029F</c:v>
                </c:pt>
                <c:pt idx="10">
                  <c:v>2030F</c:v>
                </c:pt>
                <c:pt idx="11">
                  <c:v>2031F</c:v>
                </c:pt>
              </c:strCache>
            </c:strRef>
          </c:cat>
          <c:val>
            <c:numRef>
              <c:f>产端!$T$20:$AE$20</c:f>
              <c:numCache>
                <c:formatCode>0.00%</c:formatCode>
                <c:ptCount val="12"/>
                <c:pt idx="0">
                  <c:v>0.23</c:v>
                </c:pt>
                <c:pt idx="1">
                  <c:v>0.227691533742331</c:v>
                </c:pt>
                <c:pt idx="2">
                  <c:v>0.22576740120361</c:v>
                </c:pt>
                <c:pt idx="3">
                  <c:v>0.223235515289856</c:v>
                </c:pt>
                <c:pt idx="4">
                  <c:v>0.220547513776344</c:v>
                </c:pt>
                <c:pt idx="5">
                  <c:v>0.219716482656429</c:v>
                </c:pt>
                <c:pt idx="6">
                  <c:v>0.219037490571847</c:v>
                </c:pt>
                <c:pt idx="7">
                  <c:v>0.218270077096316</c:v>
                </c:pt>
                <c:pt idx="8">
                  <c:v>0.217574105704574</c:v>
                </c:pt>
                <c:pt idx="9">
                  <c:v>0.216997110479977</c:v>
                </c:pt>
                <c:pt idx="10">
                  <c:v>0.216289592134357</c:v>
                </c:pt>
                <c:pt idx="11">
                  <c:v>0.21546167930594</c:v>
                </c:pt>
              </c:numCache>
            </c:numRef>
          </c:val>
        </c:ser>
        <c:ser>
          <c:idx val="4"/>
          <c:order val="4"/>
          <c:tx>
            <c:strRef>
              <c:f>产端!$S$21</c:f>
              <c:strCache>
                <c:ptCount val="1"/>
                <c:pt idx="0">
                  <c:v>其他</c:v>
                </c:pt>
              </c:strCache>
            </c:strRef>
          </c:tx>
          <c:spPr>
            <a:solidFill>
              <a:schemeClr val="accent4">
                <a:lumMod val="60000"/>
              </a:schemeClr>
            </a:solidFill>
            <a:ln>
              <a:noFill/>
            </a:ln>
            <a:effectLst/>
          </c:spPr>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产端!$T$16:$AE$16</c:f>
              <c:strCache>
                <c:ptCount val="12"/>
                <c:pt idx="0">
                  <c:v>2020 </c:v>
                </c:pt>
                <c:pt idx="1">
                  <c:v>2021 </c:v>
                </c:pt>
                <c:pt idx="2">
                  <c:v>2022</c:v>
                </c:pt>
                <c:pt idx="3">
                  <c:v>2023</c:v>
                </c:pt>
                <c:pt idx="4">
                  <c:v>2024</c:v>
                </c:pt>
                <c:pt idx="5">
                  <c:v>2025E</c:v>
                </c:pt>
                <c:pt idx="6">
                  <c:v>2026F</c:v>
                </c:pt>
                <c:pt idx="7">
                  <c:v>2027F</c:v>
                </c:pt>
                <c:pt idx="8">
                  <c:v>2028F</c:v>
                </c:pt>
                <c:pt idx="9">
                  <c:v>2029F</c:v>
                </c:pt>
                <c:pt idx="10">
                  <c:v>2030F</c:v>
                </c:pt>
                <c:pt idx="11">
                  <c:v>2031F</c:v>
                </c:pt>
              </c:strCache>
            </c:strRef>
          </c:cat>
          <c:val>
            <c:numRef>
              <c:f>产端!$T$21:$AE$21</c:f>
              <c:numCache>
                <c:formatCode>0.00%</c:formatCode>
                <c:ptCount val="12"/>
                <c:pt idx="0">
                  <c:v>0.0499999999999999</c:v>
                </c:pt>
                <c:pt idx="1">
                  <c:v>0.058720245398773</c:v>
                </c:pt>
                <c:pt idx="2">
                  <c:v>0.0638706137123523</c:v>
                </c:pt>
                <c:pt idx="3">
                  <c:v>0.0684796238165809</c:v>
                </c:pt>
                <c:pt idx="4">
                  <c:v>0.070445545233954</c:v>
                </c:pt>
                <c:pt idx="5">
                  <c:v>0.0699285329477597</c:v>
                </c:pt>
                <c:pt idx="6">
                  <c:v>0.0692026420723481</c:v>
                </c:pt>
                <c:pt idx="7">
                  <c:v>0.0681950440672106</c:v>
                </c:pt>
                <c:pt idx="8">
                  <c:v>0.0670181407441908</c:v>
                </c:pt>
                <c:pt idx="9">
                  <c:v>0.0658044791108434</c:v>
                </c:pt>
                <c:pt idx="10">
                  <c:v>0.0642230179690533</c:v>
                </c:pt>
                <c:pt idx="11">
                  <c:v>0.0621927656322224</c:v>
                </c:pt>
              </c:numCache>
            </c:numRef>
          </c:val>
        </c:ser>
        <c:dLbls>
          <c:showLegendKey val="0"/>
          <c:showVal val="1"/>
          <c:showCatName val="0"/>
          <c:showSerName val="0"/>
          <c:showPercent val="0"/>
          <c:showBubbleSize val="0"/>
        </c:dLbls>
        <c:axId val="765413432"/>
        <c:axId val="765413792"/>
      </c:areaChart>
      <c:catAx>
        <c:axId val="76541343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65413792"/>
        <c:crosses val="autoZero"/>
        <c:auto val="1"/>
        <c:lblAlgn val="ctr"/>
        <c:lblOffset val="100"/>
        <c:noMultiLvlLbl val="0"/>
      </c:catAx>
      <c:valAx>
        <c:axId val="76541379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65413432"/>
        <c:crosses val="autoZero"/>
        <c:crossBetween val="midCat"/>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zero"/>
    <c:showDLblsOverMax val="0"/>
    <c:extLst>
      <c:ext uri="{0b15fc19-7d7d-44ad-8c2d-2c3a37ce22c3}">
        <chartProps xmlns="https://web.wps.cn/et/2018/main" chartId="{c32924e5-7cc1-43b8-9ce3-5bd3eb51bca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210363077565"/>
          <c:y val="0.0335066814719153"/>
          <c:w val="0.888789636922435"/>
          <c:h val="0.817742561670096"/>
        </c:manualLayout>
      </c:layout>
      <c:barChart>
        <c:barDir val="col"/>
        <c:grouping val="stacked"/>
        <c:varyColors val="0"/>
        <c:ser>
          <c:idx val="0"/>
          <c:order val="0"/>
          <c:tx>
            <c:strRef>
              <c:f>分地区消费!$B$91</c:f>
              <c:strCache>
                <c:ptCount val="1"/>
                <c:pt idx="0">
                  <c:v>北美</c:v>
                </c:pt>
              </c:strCache>
            </c:strRef>
          </c:tx>
          <c:spPr>
            <a:solidFill>
              <a:schemeClr val="accent2"/>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分地区消费!$C$90:$N$90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分地区消费!$C$91:$N$91</c:f>
              <c:numCache>
                <c:formatCode>#,##0.00_);[Red]\(#,##0.00\)</c:formatCode>
                <c:ptCount val="12"/>
                <c:pt idx="0">
                  <c:v>5.78211264</c:v>
                </c:pt>
                <c:pt idx="1">
                  <c:v>10.9095047845018</c:v>
                </c:pt>
                <c:pt idx="2">
                  <c:v>19.153635714648</c:v>
                </c:pt>
                <c:pt idx="3">
                  <c:v>51.2127351552439</c:v>
                </c:pt>
                <c:pt idx="4">
                  <c:v>146.661547347744</c:v>
                </c:pt>
                <c:pt idx="5">
                  <c:v>186.226658956103</c:v>
                </c:pt>
                <c:pt idx="6">
                  <c:v>230.012012157404</c:v>
                </c:pt>
                <c:pt idx="7">
                  <c:v>264.393158183868</c:v>
                </c:pt>
                <c:pt idx="8">
                  <c:v>299.36707051484</c:v>
                </c:pt>
                <c:pt idx="9">
                  <c:v>347.55797079828</c:v>
                </c:pt>
                <c:pt idx="10">
                  <c:v>429.175352730315</c:v>
                </c:pt>
                <c:pt idx="11">
                  <c:v>532.226792551155</c:v>
                </c:pt>
              </c:numCache>
            </c:numRef>
          </c:val>
        </c:ser>
        <c:ser>
          <c:idx val="1"/>
          <c:order val="1"/>
          <c:tx>
            <c:strRef>
              <c:f>分地区消费!$B$92</c:f>
              <c:strCache>
                <c:ptCount val="1"/>
                <c:pt idx="0">
                  <c:v>欧洲</c:v>
                </c:pt>
              </c:strCache>
            </c:strRef>
          </c:tx>
          <c:spPr>
            <a:solidFill>
              <a:schemeClr val="accent4"/>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分地区消费!$C$90:$N$90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分地区消费!$C$92:$N$92</c:f>
              <c:numCache>
                <c:formatCode>#,##0.00_);[Red]\(#,##0.00\)</c:formatCode>
                <c:ptCount val="12"/>
                <c:pt idx="0">
                  <c:v>6.679008</c:v>
                </c:pt>
                <c:pt idx="1">
                  <c:v>13.7092537178747</c:v>
                </c:pt>
                <c:pt idx="2">
                  <c:v>25.9155382331482</c:v>
                </c:pt>
                <c:pt idx="3">
                  <c:v>76.7591063366554</c:v>
                </c:pt>
                <c:pt idx="4">
                  <c:v>244.951875050858</c:v>
                </c:pt>
                <c:pt idx="5">
                  <c:v>322.122671219659</c:v>
                </c:pt>
                <c:pt idx="6">
                  <c:v>409.89612825942</c:v>
                </c:pt>
                <c:pt idx="7">
                  <c:v>499.568351137112</c:v>
                </c:pt>
                <c:pt idx="8">
                  <c:v>560.238936425835</c:v>
                </c:pt>
                <c:pt idx="9">
                  <c:v>672.465725523233</c:v>
                </c:pt>
                <c:pt idx="10">
                  <c:v>856.397387456667</c:v>
                </c:pt>
                <c:pt idx="11">
                  <c:v>1073.48641760044</c:v>
                </c:pt>
              </c:numCache>
            </c:numRef>
          </c:val>
        </c:ser>
        <c:ser>
          <c:idx val="2"/>
          <c:order val="2"/>
          <c:tx>
            <c:strRef>
              <c:f>分地区消费!$B$93</c:f>
              <c:strCache>
                <c:ptCount val="1"/>
                <c:pt idx="0">
                  <c:v>中国</c:v>
                </c:pt>
              </c:strCache>
            </c:strRef>
          </c:tx>
          <c:spPr>
            <a:solidFill>
              <a:schemeClr val="accent6"/>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分地区消费!$C$90:$N$90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分地区消费!$C$93:$N$93</c:f>
              <c:numCache>
                <c:formatCode>#,##0.00_);[Red]\(#,##0.00\)</c:formatCode>
                <c:ptCount val="12"/>
                <c:pt idx="0">
                  <c:v>0.848128</c:v>
                </c:pt>
                <c:pt idx="1">
                  <c:v>1.63964920074141</c:v>
                </c:pt>
                <c:pt idx="2">
                  <c:v>2.89961490322631</c:v>
                </c:pt>
                <c:pt idx="3">
                  <c:v>7.61154414706698</c:v>
                </c:pt>
                <c:pt idx="4">
                  <c:v>21.5336944803523</c:v>
                </c:pt>
                <c:pt idx="5">
                  <c:v>27.3462132764686</c:v>
                </c:pt>
                <c:pt idx="6">
                  <c:v>33.6713981039092</c:v>
                </c:pt>
                <c:pt idx="7">
                  <c:v>39.8431200193011</c:v>
                </c:pt>
                <c:pt idx="8">
                  <c:v>47.505748861413</c:v>
                </c:pt>
                <c:pt idx="9">
                  <c:v>55.2775098140249</c:v>
                </c:pt>
                <c:pt idx="10">
                  <c:v>68.1991608669526</c:v>
                </c:pt>
                <c:pt idx="11">
                  <c:v>84.8334817956892</c:v>
                </c:pt>
              </c:numCache>
            </c:numRef>
          </c:val>
        </c:ser>
        <c:ser>
          <c:idx val="3"/>
          <c:order val="3"/>
          <c:tx>
            <c:strRef>
              <c:f>分地区消费!$B$94</c:f>
              <c:strCache>
                <c:ptCount val="1"/>
                <c:pt idx="0">
                  <c:v>日本</c:v>
                </c:pt>
              </c:strCache>
            </c:strRef>
          </c:tx>
          <c:spPr>
            <a:solidFill>
              <a:schemeClr val="accent2">
                <a:lumMod val="60000"/>
              </a:schemeClr>
            </a:solidFill>
            <a:ln>
              <a:noFill/>
            </a:ln>
            <a:effectLst/>
          </c:spPr>
          <c:invertIfNegative val="0"/>
          <c:dLbls>
            <c:delete val="1"/>
          </c:dLbls>
          <c:cat>
            <c:strRef>
              <c:f>分地区消费!$C$90:$N$90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分地区消费!$C$94:$N$94</c:f>
              <c:numCache>
                <c:formatCode>#,##0.00_);[Red]\(#,##0.00\)</c:formatCode>
                <c:ptCount val="12"/>
                <c:pt idx="0">
                  <c:v>3.6257472</c:v>
                </c:pt>
                <c:pt idx="1">
                  <c:v>7.18369560380396</c:v>
                </c:pt>
                <c:pt idx="2">
                  <c:v>13.0942240987743</c:v>
                </c:pt>
                <c:pt idx="3">
                  <c:v>36.4997281690995</c:v>
                </c:pt>
                <c:pt idx="4">
                  <c:v>109.533420695929</c:v>
                </c:pt>
                <c:pt idx="5">
                  <c:v>141.384550921149</c:v>
                </c:pt>
                <c:pt idx="6">
                  <c:v>176.869099814658</c:v>
                </c:pt>
                <c:pt idx="7">
                  <c:v>213.997800716968</c:v>
                </c:pt>
                <c:pt idx="8">
                  <c:v>240.203426004022</c:v>
                </c:pt>
                <c:pt idx="9">
                  <c:v>282.586343504774</c:v>
                </c:pt>
                <c:pt idx="10">
                  <c:v>353.894580459695</c:v>
                </c:pt>
                <c:pt idx="11">
                  <c:v>439.316208992878</c:v>
                </c:pt>
              </c:numCache>
            </c:numRef>
          </c:val>
        </c:ser>
        <c:ser>
          <c:idx val="4"/>
          <c:order val="4"/>
          <c:tx>
            <c:strRef>
              <c:f>分地区消费!$B$95</c:f>
              <c:strCache>
                <c:ptCount val="1"/>
                <c:pt idx="0">
                  <c:v>韩国</c:v>
                </c:pt>
              </c:strCache>
            </c:strRef>
          </c:tx>
          <c:spPr>
            <a:solidFill>
              <a:schemeClr val="accent4">
                <a:lumMod val="60000"/>
              </a:schemeClr>
            </a:solidFill>
            <a:ln>
              <a:noFill/>
            </a:ln>
            <a:effectLst/>
          </c:spPr>
          <c:invertIfNegative val="0"/>
          <c:dLbls>
            <c:dLbl>
              <c:idx val="0"/>
              <c:delete val="1"/>
            </c:dLbl>
            <c:dLbl>
              <c:idx val="1"/>
              <c:delete val="1"/>
            </c:dLbl>
            <c:dLbl>
              <c:idx val="2"/>
              <c:delete val="1"/>
            </c:dLbl>
            <c:dLbl>
              <c:idx val="3"/>
              <c:delete val="1"/>
            </c:dLbl>
            <c:dLbl>
              <c:idx val="4"/>
              <c:delete val="1"/>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分地区消费!$C$90:$N$90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分地区消费!$C$95:$N$95</c:f>
              <c:numCache>
                <c:formatCode>#,##0.00_);[Red]\(#,##0.00\)</c:formatCode>
                <c:ptCount val="12"/>
                <c:pt idx="0">
                  <c:v>2.8836352</c:v>
                </c:pt>
                <c:pt idx="1">
                  <c:v>5.38985938552973</c:v>
                </c:pt>
                <c:pt idx="2">
                  <c:v>9.29402244662518</c:v>
                </c:pt>
                <c:pt idx="3">
                  <c:v>23.752617138023</c:v>
                </c:pt>
                <c:pt idx="4">
                  <c:v>65.1713310373207</c:v>
                </c:pt>
                <c:pt idx="5">
                  <c:v>81.8752301805589</c:v>
                </c:pt>
                <c:pt idx="6">
                  <c:v>99.9895886352632</c:v>
                </c:pt>
                <c:pt idx="7">
                  <c:v>118.719998131915</c:v>
                </c:pt>
                <c:pt idx="8">
                  <c:v>129.363245964441</c:v>
                </c:pt>
                <c:pt idx="9">
                  <c:v>155.168854823757</c:v>
                </c:pt>
                <c:pt idx="10">
                  <c:v>189.690065423975</c:v>
                </c:pt>
                <c:pt idx="11">
                  <c:v>218.603741852424</c:v>
                </c:pt>
              </c:numCache>
            </c:numRef>
          </c:val>
        </c:ser>
        <c:ser>
          <c:idx val="5"/>
          <c:order val="5"/>
          <c:tx>
            <c:strRef>
              <c:f>分地区消费!$B$96</c:f>
              <c:strCache>
                <c:ptCount val="1"/>
                <c:pt idx="0">
                  <c:v>其他</c:v>
                </c:pt>
              </c:strCache>
            </c:strRef>
          </c:tx>
          <c:spPr>
            <a:solidFill>
              <a:schemeClr val="accent6">
                <a:lumMod val="60000"/>
              </a:schemeClr>
            </a:solidFill>
            <a:ln>
              <a:noFill/>
            </a:ln>
            <a:effectLst/>
          </c:spPr>
          <c:invertIfNegative val="0"/>
          <c:dLbls>
            <c:delete val="1"/>
          </c:dLbls>
          <c:cat>
            <c:strRef>
              <c:f>分地区消费!$C$90:$N$90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分地区消费!$C$96:$N$96</c:f>
              <c:numCache>
                <c:formatCode>#,##0.00_);[Red]\(#,##0.00\)</c:formatCode>
                <c:ptCount val="12"/>
                <c:pt idx="0">
                  <c:v>1.38456896</c:v>
                </c:pt>
                <c:pt idx="1">
                  <c:v>2.64827730754844</c:v>
                </c:pt>
                <c:pt idx="2">
                  <c:v>4.67545460357798</c:v>
                </c:pt>
                <c:pt idx="3">
                  <c:v>12.6411490539113</c:v>
                </c:pt>
                <c:pt idx="4">
                  <c:v>34.5471873877951</c:v>
                </c:pt>
                <c:pt idx="5">
                  <c:v>41.9033213260618</c:v>
                </c:pt>
                <c:pt idx="6">
                  <c:v>49.4457400737114</c:v>
                </c:pt>
                <c:pt idx="7">
                  <c:v>56.991368480773</c:v>
                </c:pt>
                <c:pt idx="8">
                  <c:v>63.6215393709767</c:v>
                </c:pt>
                <c:pt idx="9">
                  <c:v>70.9929343318133</c:v>
                </c:pt>
                <c:pt idx="10">
                  <c:v>81.2497997508026</c:v>
                </c:pt>
                <c:pt idx="11">
                  <c:v>85.4872623965971</c:v>
                </c:pt>
              </c:numCache>
            </c:numRef>
          </c:val>
        </c:ser>
        <c:dLbls>
          <c:showLegendKey val="0"/>
          <c:showVal val="0"/>
          <c:showCatName val="0"/>
          <c:showSerName val="0"/>
          <c:showPercent val="0"/>
          <c:showBubbleSize val="0"/>
        </c:dLbls>
        <c:gapWidth val="60"/>
        <c:overlap val="100"/>
        <c:axId val="2024063264"/>
        <c:axId val="2024052224"/>
      </c:barChart>
      <c:lineChart>
        <c:grouping val="standard"/>
        <c:varyColors val="0"/>
        <c:ser>
          <c:idx val="6"/>
          <c:order val="6"/>
          <c:tx>
            <c:strRef>
              <c:f>分地区消费!$B$97</c:f>
              <c:strCache>
                <c:ptCount val="1"/>
                <c:pt idx="0">
                  <c:v>合计</c:v>
                </c:pt>
              </c:strCache>
            </c:strRef>
          </c:tx>
          <c:spPr>
            <a:ln w="28575" cap="rnd">
              <a:solidFill>
                <a:schemeClr val="accent2">
                  <a:lumMod val="80000"/>
                  <a:lumOff val="20000"/>
                </a:schemeClr>
              </a:solidFill>
              <a:round/>
            </a:ln>
            <a:effectLst/>
          </c:spPr>
          <c:marker>
            <c:symbol val="none"/>
          </c:marker>
          <c:dLbls>
            <c:dLbl>
              <c:idx val="0"/>
              <c:delete val="1"/>
            </c:dLbl>
            <c:dLbl>
              <c:idx val="1"/>
              <c:delete val="1"/>
            </c:dLbl>
            <c:dLbl>
              <c:idx val="2"/>
              <c:delete val="1"/>
            </c:dLbl>
            <c:dLbl>
              <c:idx val="3"/>
              <c:delete val="1"/>
            </c:dLbl>
            <c:dLbl>
              <c:idx val="4"/>
              <c:delete val="1"/>
            </c:dLbl>
            <c:dLbl>
              <c:idx val="5"/>
              <c:layout/>
              <c:dLblPos val="t"/>
              <c:showLegendKey val="0"/>
              <c:showVal val="1"/>
              <c:showCatName val="0"/>
              <c:showSerName val="0"/>
              <c:showPercent val="0"/>
              <c:showBubbleSize val="0"/>
              <c:extLst>
                <c:ext xmlns:c15="http://schemas.microsoft.com/office/drawing/2012/chart" uri="{CE6537A1-D6FC-4f65-9D91-7224C49458BB}"/>
              </c:extLst>
            </c:dLbl>
            <c:dLbl>
              <c:idx val="6"/>
              <c:layout/>
              <c:dLblPos val="t"/>
              <c:showLegendKey val="0"/>
              <c:showVal val="1"/>
              <c:showCatName val="0"/>
              <c:showSerName val="0"/>
              <c:showPercent val="0"/>
              <c:showBubbleSize val="0"/>
              <c:extLst>
                <c:ext xmlns:c15="http://schemas.microsoft.com/office/drawing/2012/chart" uri="{CE6537A1-D6FC-4f65-9D91-7224C49458BB}"/>
              </c:extLst>
            </c:dLbl>
            <c:dLbl>
              <c:idx val="7"/>
              <c:delete val="1"/>
            </c:dLbl>
            <c:dLbl>
              <c:idx val="8"/>
              <c:delete val="1"/>
            </c:dLbl>
            <c:dLbl>
              <c:idx val="9"/>
              <c:delete val="1"/>
            </c:dLbl>
            <c:dLbl>
              <c:idx val="10"/>
              <c:delete val="1"/>
            </c:dLbl>
            <c:dLbl>
              <c:idx val="11"/>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分地区消费!$C$90:$N$90</c:f>
              <c:strCache>
                <c:ptCount val="12"/>
                <c:pt idx="0">
                  <c:v>2020 </c:v>
                </c:pt>
                <c:pt idx="1">
                  <c:v>2021 </c:v>
                </c:pt>
                <c:pt idx="2">
                  <c:v>2022 </c:v>
                </c:pt>
                <c:pt idx="3">
                  <c:v>2023 </c:v>
                </c:pt>
                <c:pt idx="4">
                  <c:v>2024 </c:v>
                </c:pt>
                <c:pt idx="5">
                  <c:v>2025E</c:v>
                </c:pt>
                <c:pt idx="6">
                  <c:v>2026F</c:v>
                </c:pt>
                <c:pt idx="7">
                  <c:v>2027F</c:v>
                </c:pt>
                <c:pt idx="8">
                  <c:v>2028F</c:v>
                </c:pt>
                <c:pt idx="9">
                  <c:v>2029F</c:v>
                </c:pt>
                <c:pt idx="10">
                  <c:v>2030F</c:v>
                </c:pt>
                <c:pt idx="11">
                  <c:v>2031F</c:v>
                </c:pt>
              </c:strCache>
            </c:strRef>
          </c:cat>
          <c:val>
            <c:numRef>
              <c:f>分地区消费!$C$97:$N$97</c:f>
              <c:numCache>
                <c:formatCode>#,##0.00_);[Red]\(#,##0.00\)</c:formatCode>
                <c:ptCount val="12"/>
                <c:pt idx="0">
                  <c:v>21.2032</c:v>
                </c:pt>
                <c:pt idx="1">
                  <c:v>41.48024</c:v>
                </c:pt>
                <c:pt idx="2">
                  <c:v>75.03249</c:v>
                </c:pt>
                <c:pt idx="3">
                  <c:v>208.47688</c:v>
                </c:pt>
                <c:pt idx="4">
                  <c:v>622.399056</c:v>
                </c:pt>
                <c:pt idx="5">
                  <c:v>800.85864588</c:v>
                </c:pt>
                <c:pt idx="6">
                  <c:v>999.883967044366</c:v>
                </c:pt>
                <c:pt idx="7">
                  <c:v>1193.51379666994</c:v>
                </c:pt>
                <c:pt idx="8">
                  <c:v>1340.29996714153</c:v>
                </c:pt>
                <c:pt idx="9">
                  <c:v>1584.04933879588</c:v>
                </c:pt>
                <c:pt idx="10">
                  <c:v>1978.60634668841</c:v>
                </c:pt>
                <c:pt idx="11">
                  <c:v>2433.95390518919</c:v>
                </c:pt>
              </c:numCache>
            </c:numRef>
          </c:val>
          <c:smooth val="0"/>
        </c:ser>
        <c:dLbls>
          <c:showLegendKey val="0"/>
          <c:showVal val="0"/>
          <c:showCatName val="0"/>
          <c:showSerName val="0"/>
          <c:showPercent val="0"/>
          <c:showBubbleSize val="0"/>
        </c:dLbls>
        <c:marker val="0"/>
        <c:smooth val="0"/>
        <c:axId val="2024063264"/>
        <c:axId val="2024052224"/>
      </c:lineChart>
      <c:catAx>
        <c:axId val="2024063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24052224"/>
        <c:crosses val="autoZero"/>
        <c:auto val="1"/>
        <c:lblAlgn val="ctr"/>
        <c:lblOffset val="100"/>
        <c:noMultiLvlLbl val="0"/>
      </c:catAx>
      <c:valAx>
        <c:axId val="2024052224"/>
        <c:scaling>
          <c:orientation val="minMax"/>
        </c:scaling>
        <c:delete val="0"/>
        <c:axPos val="l"/>
        <c:numFmt formatCode="#,##0.00_);[Red]\(#,##0.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240632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b35455c-f11b-4ef4-80c3-41082ea740f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2656</Words>
  <Characters>2908</Characters>
  <Lines>51</Lines>
  <Paragraphs>36</Paragraphs>
  <TotalTime>26</TotalTime>
  <ScaleCrop>false</ScaleCrop>
  <LinksUpToDate>false</LinksUpToDate>
  <CharactersWithSpaces>2914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2025-12-26T07:28:00Z</dcterms:created>
  <dc:creator>yangj</dc:creator>
  <cp:lastModifiedBy>鼕鼕</cp:lastModifiedBy>
  <dcterms:modified xsi:type="dcterms:W3CDTF">2026-01-08T09:21:40Z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8258D82B6D5043A5A09CCFA0AC7382E0_12</vt:lpwstr>
  </property>
</Properties>
</file>