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_Toc481801204"/>
      <w:bookmarkStart w:id="1" w:name="_Toc415143481"/>
      <w:bookmarkStart w:id="2" w:name="_Toc415142861"/>
      <w:bookmarkStart w:id="3" w:name="OLE_LINK40"/>
      <w:bookmarkStart w:id="4" w:name="OLE_LINK13"/>
      <w:bookmarkStart w:id="5" w:name="_Toc517262917"/>
      <w:bookmarkStart w:id="6" w:name="OLE_LINK39"/>
      <w:bookmarkStart w:id="7" w:name="_Hlk23501351"/>
      <w:bookmarkStart w:id="8" w:name="_Toc438987549"/>
      <w:bookmarkStart w:id="9" w:name="_Toc415818939"/>
      <w:bookmarkStart w:id="10" w:name="OLE_LINK15"/>
      <w:bookmarkStart w:id="11" w:name="_Toc453597319"/>
      <w:bookmarkStart w:id="12" w:name="OLE_LINK24"/>
      <w:bookmarkStart w:id="13" w:name="_Toc418070112"/>
      <w:r>
        <w:rPr>
          <w:sz w:val="24"/>
        </w:rPr>
        <mc:AlternateContent>
          <mc:Choice Requires="wps">
            <w:drawing>
              <wp:anchor distT="0" distB="0" distL="114300" distR="114300" simplePos="0" relativeHeight="251661312" behindDoc="0" locked="0" layoutInCell="1" allowOverlap="1">
                <wp:simplePos x="0" y="0"/>
                <wp:positionH relativeFrom="column">
                  <wp:posOffset>-172720</wp:posOffset>
                </wp:positionH>
                <wp:positionV relativeFrom="paragraph">
                  <wp:posOffset>1339850</wp:posOffset>
                </wp:positionV>
                <wp:extent cx="6352540" cy="2647315"/>
                <wp:effectExtent l="0" t="0" r="10160" b="635"/>
                <wp:wrapNone/>
                <wp:docPr id="56" name="文本框 56"/>
                <wp:cNvGraphicFramePr/>
                <a:graphic xmlns:a="http://schemas.openxmlformats.org/drawingml/2006/main">
                  <a:graphicData uri="http://schemas.microsoft.com/office/word/2010/wordprocessingShape">
                    <wps:wsp>
                      <wps:cNvSpPr txBox="1"/>
                      <wps:spPr>
                        <a:xfrm>
                          <a:off x="1651635" y="2068195"/>
                          <a:ext cx="6352540" cy="26473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eastAsia="宋体" w:cs="宋体"/>
                                <w:sz w:val="72"/>
                                <w:szCs w:val="72"/>
                              </w:rPr>
                            </w:pPr>
                            <w:r>
                              <w:rPr>
                                <w:rFonts w:hint="eastAsia" w:ascii="宋体" w:hAnsi="宋体" w:cs="宋体"/>
                                <w:sz w:val="72"/>
                                <w:szCs w:val="72"/>
                                <w:lang w:val="en-US" w:eastAsia="zh-CN"/>
                              </w:rPr>
                              <w:t>全球及中国软件开发安全咨询服务</w:t>
                            </w:r>
                            <w:r>
                              <w:rPr>
                                <w:rFonts w:hint="eastAsia" w:ascii="宋体" w:hAnsi="宋体" w:cs="宋体"/>
                                <w:sz w:val="72"/>
                                <w:szCs w:val="72"/>
                                <w:lang w:val="en-US" w:eastAsia="zh-CN"/>
                              </w:rPr>
                              <w:t>行</w:t>
                            </w:r>
                            <w:r>
                              <w:rPr>
                                <w:rFonts w:hint="eastAsia" w:ascii="宋体" w:hAnsi="宋体" w:eastAsia="宋体" w:cs="宋体"/>
                                <w:sz w:val="72"/>
                                <w:szCs w:val="72"/>
                                <w:lang w:val="en-US" w:eastAsia="zh-CN"/>
                              </w:rPr>
                              <w:t>业市场份额调研报告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6pt;margin-top:105.5pt;height:208.45pt;width:500.2pt;z-index:251661312;mso-width-relative:page;mso-height-relative:page;" fillcolor="#FFFFFF [3201]" filled="t" stroked="f" coordsize="21600,21600" o:gfxdata="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jQ5lc&#10;1gAAAAsBAAAPAAAAAAAAAAEAIAAAACIAAABkcnMvZG93bnJldi54bWxQSwECFAAUAAAACACHTuJA&#10;F6EMYFwCAACeBAAADgAAAAAAAAABACAAAAAlAQAAZHJzL2Uyb0RvYy54bWxQSwUGAAAAAAYABgBZ&#10;AQAA8wUAAAAA&#10;">
                <v:fill on="t" focussize="0,0"/>
                <v:stroke on="f" weight="0.5pt"/>
                <v:imagedata o:title=""/>
                <o:lock v:ext="edit" aspectratio="f"/>
                <v:textbox>
                  <w:txbxContent>
                    <w:p>
                      <w:pPr>
                        <w:rPr>
                          <w:rFonts w:hint="eastAsia" w:ascii="宋体" w:hAnsi="宋体" w:eastAsia="宋体" w:cs="宋体"/>
                          <w:sz w:val="72"/>
                          <w:szCs w:val="72"/>
                        </w:rPr>
                      </w:pPr>
                      <w:r>
                        <w:rPr>
                          <w:rFonts w:hint="eastAsia" w:ascii="宋体" w:hAnsi="宋体" w:cs="宋体"/>
                          <w:sz w:val="72"/>
                          <w:szCs w:val="72"/>
                          <w:lang w:val="en-US" w:eastAsia="zh-CN"/>
                        </w:rPr>
                        <w:t>全球及中国软件开发安全咨询服务</w:t>
                      </w:r>
                      <w:r>
                        <w:rPr>
                          <w:rFonts w:hint="eastAsia" w:ascii="宋体" w:hAnsi="宋体" w:cs="宋体"/>
                          <w:sz w:val="72"/>
                          <w:szCs w:val="72"/>
                          <w:lang w:val="en-US" w:eastAsia="zh-CN"/>
                        </w:rPr>
                        <w:t>行</w:t>
                      </w:r>
                      <w:r>
                        <w:rPr>
                          <w:rFonts w:hint="eastAsia" w:ascii="宋体" w:hAnsi="宋体" w:eastAsia="宋体" w:cs="宋体"/>
                          <w:sz w:val="72"/>
                          <w:szCs w:val="72"/>
                          <w:lang w:val="en-US" w:eastAsia="zh-CN"/>
                        </w:rPr>
                        <w:t>业市场份额调研报告</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7"/>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spacing w:before="120" w:after="120"/>
        <w:rPr>
          <w:lang w:eastAsia="zh-CN"/>
        </w:rPr>
      </w:pPr>
      <w:r>
        <w:rPr>
          <w:rFonts w:hint="eastAsia"/>
          <w:lang w:eastAsia="zh-CN"/>
        </w:rPr>
        <w:t>本文分别从</w:t>
      </w:r>
      <w:r>
        <w:rPr>
          <w:lang w:eastAsia="zh-CN"/>
        </w:rPr>
        <w:t>软件开发安全咨询服务</w:t>
      </w:r>
      <w:r>
        <w:rPr>
          <w:rFonts w:hint="eastAsia"/>
          <w:lang w:eastAsia="zh-CN"/>
        </w:rPr>
        <w:t>主要企业、主要地区、不同产品类型及不同应用等角度，来分析全球</w:t>
      </w:r>
      <w:r>
        <w:rPr>
          <w:lang w:eastAsia="zh-CN"/>
        </w:rPr>
        <w:t>软件开发安全咨询服务</w:t>
      </w:r>
      <w:r>
        <w:rPr>
          <w:rFonts w:hint="eastAsia"/>
          <w:lang w:eastAsia="zh-CN"/>
        </w:rPr>
        <w:t>的市场现状及未来趋势。</w:t>
      </w:r>
    </w:p>
    <w:p>
      <w:pPr>
        <w:pStyle w:val="145"/>
        <w:spacing w:before="120" w:after="120"/>
        <w:rPr>
          <w:lang w:eastAsia="zh-CN"/>
        </w:rPr>
      </w:pPr>
      <w:r>
        <w:rPr>
          <w:rFonts w:hint="eastAsia"/>
          <w:lang w:eastAsia="zh-CN"/>
        </w:rPr>
        <w:t>软件安全开发生命周期咨询服务是帮助开发人员构建更安全的软件和解决安全合规要求的同时降低开发成本的软件开发过程。咨询服务将安全考虑集成在软件开发的每一个阶段:需求分析、设计、编码、测试和维护。安恒信息将提供从需求、设计到发布产品的每一个阶段每都增加了相应的安全活动，以减少软件中漏洞的数量并将安全缺陷降低到最小程度。</w:t>
      </w:r>
    </w:p>
    <w:p>
      <w:pPr>
        <w:pStyle w:val="145"/>
        <w:rPr>
          <w:lang w:eastAsia="zh-CN"/>
        </w:rPr>
      </w:pPr>
    </w:p>
    <w:p>
      <w:pPr>
        <w:widowControl/>
        <w:topLinePunct w:val="0"/>
        <w:spacing w:after="0"/>
        <w:rPr>
          <w:rFonts w:ascii="Book Antiqua" w:hAnsi="Book Antiqua" w:cs="宋体"/>
          <w:kern w:val="0"/>
          <w:sz w:val="24"/>
          <w:szCs w:val="24"/>
        </w:rPr>
      </w:pPr>
      <w:r>
        <w:rPr>
          <w:rFonts w:ascii="Book Antiqua" w:hAnsi="Book Antiqua" w:cs="宋体"/>
          <w:kern w:val="0"/>
          <w:sz w:val="24"/>
          <w:szCs w:val="24"/>
        </w:rPr>
        <w:t>据调研团队最新报告“全球软件开发安全咨询服务市场报告2023-2029”显示，预计2029年全球软件开发安全咨询服务市场规模将达到67.9亿美元，未来几年年复合增长率CAGR为23.3%。</w:t>
      </w:r>
    </w:p>
    <w:p>
      <w:pPr>
        <w:pStyle w:val="145"/>
        <w:rPr>
          <w:lang w:val="en-US" w:eastAsia="zh-CN"/>
        </w:rPr>
      </w:pPr>
    </w:p>
    <w:p>
      <w:pPr>
        <w:pStyle w:val="148"/>
        <w:rPr>
          <w:lang w:eastAsia="zh-CN"/>
        </w:rPr>
      </w:pPr>
      <w:r>
        <w:rPr>
          <w:lang w:eastAsia="zh-CN"/>
        </w:rPr>
        <w:t>软件开发安全咨询服务</w:t>
      </w:r>
      <w:r>
        <w:rPr>
          <w:rFonts w:hint="eastAsia"/>
          <w:lang w:eastAsia="zh-CN"/>
        </w:rPr>
        <w:t>，全球市场总体规模</w:t>
      </w:r>
    </w:p>
    <w:p>
      <w:pPr>
        <w:pStyle w:val="145"/>
      </w:pPr>
      <w:r>
        <w:drawing>
          <wp:inline distT="0" distB="0" distL="0" distR="0">
            <wp:extent cx="6188710" cy="2886710"/>
            <wp:effectExtent l="0" t="0" r="2540" b="4699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143"/>
        <w:rPr>
          <w:lang w:eastAsia="zh-CN"/>
        </w:rPr>
      </w:pPr>
      <w:r>
        <w:rPr>
          <w:rFonts w:hint="eastAsia"/>
          <w:lang w:eastAsia="zh-CN"/>
        </w:rPr>
        <w:t>如上图表/数据，摘自QYResearch最新报告“全球</w:t>
      </w:r>
      <w:r>
        <w:rPr>
          <w:lang w:eastAsia="zh-CN"/>
        </w:rPr>
        <w:t>软件开发安全咨询服务</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软件开发安全咨询服务</w:t>
      </w:r>
      <w:r>
        <w:rPr>
          <w:rFonts w:hint="eastAsia"/>
          <w:lang w:eastAsia="zh-CN"/>
        </w:rPr>
        <w:t>市场前</w:t>
      </w:r>
      <w:r>
        <w:rPr>
          <w:lang w:eastAsia="zh-CN"/>
        </w:rPr>
        <w:t>24</w:t>
      </w:r>
      <w:r>
        <w:rPr>
          <w:rFonts w:hint="eastAsia"/>
          <w:lang w:eastAsia="zh-CN"/>
        </w:rPr>
        <w:t>强生产商排名及市场占有率（2</w:t>
      </w:r>
      <w:r>
        <w:rPr>
          <w:lang w:eastAsia="zh-CN"/>
        </w:rPr>
        <w:t>021</w:t>
      </w:r>
      <w:r>
        <w:rPr>
          <w:rFonts w:hint="eastAsia"/>
          <w:lang w:eastAsia="zh-CN"/>
        </w:rPr>
        <w:t>数据，持续更新）</w:t>
      </w:r>
    </w:p>
    <w:p>
      <w:pPr>
        <w:pStyle w:val="145"/>
        <w:jc w:val="center"/>
        <w:rPr>
          <w:lang w:eastAsia="zh-CN"/>
        </w:rPr>
      </w:pPr>
      <w:r>
        <w:drawing>
          <wp:inline distT="0" distB="0" distL="0" distR="0">
            <wp:extent cx="4572000" cy="4876800"/>
            <wp:effectExtent l="0" t="0" r="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rPr>
          <w:lang w:eastAsia="zh-CN"/>
        </w:rPr>
      </w:pPr>
      <w:r>
        <w:rPr>
          <w:rFonts w:hint="eastAsia"/>
          <w:lang w:eastAsia="zh-CN"/>
        </w:rPr>
        <w:t>如上图表/数据，摘自QYResearch最新报告“全球</w:t>
      </w:r>
      <w:r>
        <w:rPr>
          <w:lang w:eastAsia="zh-CN"/>
        </w:rPr>
        <w:t>软件开发安全咨询服务</w:t>
      </w:r>
      <w:r>
        <w:rPr>
          <w:rFonts w:hint="eastAsia"/>
          <w:lang w:eastAsia="zh-CN"/>
        </w:rPr>
        <w:t>市场研究报告2023-2029中的2</w:t>
      </w:r>
      <w:r>
        <w:rPr>
          <w:lang w:eastAsia="zh-CN"/>
        </w:rPr>
        <w:t>021</w:t>
      </w:r>
      <w:r>
        <w:rPr>
          <w:rFonts w:hint="eastAsia"/>
          <w:lang w:eastAsia="zh-CN"/>
        </w:rPr>
        <w:t>年数据</w:t>
      </w:r>
      <w:r>
        <w:rPr>
          <w:lang w:eastAsia="zh-CN"/>
        </w:rPr>
        <w:t>.</w:t>
      </w:r>
    </w:p>
    <w:p>
      <w:pPr>
        <w:widowControl/>
        <w:topLinePunct w:val="0"/>
        <w:spacing w:after="0"/>
        <w:rPr>
          <w:rFonts w:ascii="Times New Roman" w:hAnsi="Times New Roman" w:cs="Times New Roman"/>
          <w:kern w:val="0"/>
          <w:sz w:val="22"/>
          <w:szCs w:val="22"/>
        </w:rPr>
      </w:pPr>
      <w:r>
        <w:rPr>
          <w:rFonts w:ascii="Times New Roman" w:hAnsi="Times New Roman" w:cs="Times New Roman"/>
          <w:kern w:val="0"/>
          <w:sz w:val="22"/>
          <w:szCs w:val="22"/>
        </w:rPr>
        <w:t>全球范围内软件开发安全咨询服务生产商主要包括IBM、Microsoft、Synopsys、NCC、Optiv、Veracode、Kanda、Datacom、Positive Technologies、Infopulse等。2021年，全球前五大厂商占有大约35.0%的市场份额。</w:t>
      </w:r>
    </w:p>
    <w:p>
      <w:pPr>
        <w:pStyle w:val="145"/>
      </w:pPr>
    </w:p>
    <w:p>
      <w:pPr>
        <w:pStyle w:val="145"/>
      </w:pPr>
    </w:p>
    <w:p>
      <w:pPr>
        <w:pStyle w:val="145"/>
        <w:rPr>
          <w:lang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inherit">
    <w:altName w:val="Cambria"/>
    <w:panose1 w:val="00000000000000000000"/>
    <w:charset w:val="00"/>
    <w:family w:val="roman"/>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2E76B51"/>
    <w:rsid w:val="03447D4D"/>
    <w:rsid w:val="039F62FF"/>
    <w:rsid w:val="042F016D"/>
    <w:rsid w:val="070A2A99"/>
    <w:rsid w:val="07CE3ADB"/>
    <w:rsid w:val="07E72487"/>
    <w:rsid w:val="09B40479"/>
    <w:rsid w:val="0A413560"/>
    <w:rsid w:val="0A9D03F6"/>
    <w:rsid w:val="0AFE7196"/>
    <w:rsid w:val="0B676BC5"/>
    <w:rsid w:val="0CE12BAF"/>
    <w:rsid w:val="0D126C01"/>
    <w:rsid w:val="0D223618"/>
    <w:rsid w:val="0F5116AE"/>
    <w:rsid w:val="105A40DF"/>
    <w:rsid w:val="1087172B"/>
    <w:rsid w:val="10A04854"/>
    <w:rsid w:val="113605CA"/>
    <w:rsid w:val="118A2253"/>
    <w:rsid w:val="12B442BF"/>
    <w:rsid w:val="132135EE"/>
    <w:rsid w:val="14DF00CB"/>
    <w:rsid w:val="161D5555"/>
    <w:rsid w:val="166C0B57"/>
    <w:rsid w:val="16722A60"/>
    <w:rsid w:val="170809D5"/>
    <w:rsid w:val="171325EA"/>
    <w:rsid w:val="17263809"/>
    <w:rsid w:val="18147C0E"/>
    <w:rsid w:val="182A5635"/>
    <w:rsid w:val="184461DF"/>
    <w:rsid w:val="191861B7"/>
    <w:rsid w:val="19D133E7"/>
    <w:rsid w:val="1A3A7593"/>
    <w:rsid w:val="1A6900E2"/>
    <w:rsid w:val="1B2C5C22"/>
    <w:rsid w:val="1B415BC7"/>
    <w:rsid w:val="1B6E410D"/>
    <w:rsid w:val="1C8D7DE8"/>
    <w:rsid w:val="1D517B25"/>
    <w:rsid w:val="1DB37BCA"/>
    <w:rsid w:val="1DD1717A"/>
    <w:rsid w:val="1E264686"/>
    <w:rsid w:val="20404975"/>
    <w:rsid w:val="20664BB5"/>
    <w:rsid w:val="20D506EC"/>
    <w:rsid w:val="20ED3B94"/>
    <w:rsid w:val="214210A0"/>
    <w:rsid w:val="218E591C"/>
    <w:rsid w:val="21C42573"/>
    <w:rsid w:val="229F5759"/>
    <w:rsid w:val="22D20532"/>
    <w:rsid w:val="24356AF4"/>
    <w:rsid w:val="243B67FF"/>
    <w:rsid w:val="250F7ADC"/>
    <w:rsid w:val="25B22B68"/>
    <w:rsid w:val="27054714"/>
    <w:rsid w:val="27372964"/>
    <w:rsid w:val="28696559"/>
    <w:rsid w:val="28E41726"/>
    <w:rsid w:val="299E43D8"/>
    <w:rsid w:val="29DC643B"/>
    <w:rsid w:val="29FD43F1"/>
    <w:rsid w:val="2A5218FD"/>
    <w:rsid w:val="2C06004A"/>
    <w:rsid w:val="2C856399"/>
    <w:rsid w:val="2D090B71"/>
    <w:rsid w:val="2D9A265E"/>
    <w:rsid w:val="2EF9001C"/>
    <w:rsid w:val="2F107C41"/>
    <w:rsid w:val="2FBF4562"/>
    <w:rsid w:val="30711E07"/>
    <w:rsid w:val="30A844DF"/>
    <w:rsid w:val="31BC43A8"/>
    <w:rsid w:val="31C02DAE"/>
    <w:rsid w:val="31CE7B45"/>
    <w:rsid w:val="31EF007A"/>
    <w:rsid w:val="32915685"/>
    <w:rsid w:val="32925305"/>
    <w:rsid w:val="33301D0B"/>
    <w:rsid w:val="333A261A"/>
    <w:rsid w:val="33995EB7"/>
    <w:rsid w:val="33CF4D0C"/>
    <w:rsid w:val="34945D4F"/>
    <w:rsid w:val="34ED1C61"/>
    <w:rsid w:val="354E0A01"/>
    <w:rsid w:val="35650626"/>
    <w:rsid w:val="35684E2E"/>
    <w:rsid w:val="36840A7D"/>
    <w:rsid w:val="38232AA8"/>
    <w:rsid w:val="38356245"/>
    <w:rsid w:val="389030DC"/>
    <w:rsid w:val="38F85F83"/>
    <w:rsid w:val="38FB278B"/>
    <w:rsid w:val="398D7AFC"/>
    <w:rsid w:val="399248BD"/>
    <w:rsid w:val="39984266"/>
    <w:rsid w:val="39CE0565"/>
    <w:rsid w:val="39F13F9D"/>
    <w:rsid w:val="3A522D3D"/>
    <w:rsid w:val="3AC37B79"/>
    <w:rsid w:val="3BAF51F7"/>
    <w:rsid w:val="3CF93F15"/>
    <w:rsid w:val="3D6F51D8"/>
    <w:rsid w:val="3E2171FA"/>
    <w:rsid w:val="3E9704BE"/>
    <w:rsid w:val="3F2D1CB6"/>
    <w:rsid w:val="3F721126"/>
    <w:rsid w:val="3F9F0CF0"/>
    <w:rsid w:val="425311DE"/>
    <w:rsid w:val="42677E7F"/>
    <w:rsid w:val="43212B30"/>
    <w:rsid w:val="44E0180C"/>
    <w:rsid w:val="45433AAF"/>
    <w:rsid w:val="45921630"/>
    <w:rsid w:val="45AA4758"/>
    <w:rsid w:val="45D27E9B"/>
    <w:rsid w:val="46136706"/>
    <w:rsid w:val="4622569C"/>
    <w:rsid w:val="462369A1"/>
    <w:rsid w:val="46845740"/>
    <w:rsid w:val="46F91E7C"/>
    <w:rsid w:val="477F6C5D"/>
    <w:rsid w:val="48847404"/>
    <w:rsid w:val="494574C2"/>
    <w:rsid w:val="4A4A12EF"/>
    <w:rsid w:val="4A4D7CF5"/>
    <w:rsid w:val="4AE56F6F"/>
    <w:rsid w:val="4B427308"/>
    <w:rsid w:val="4C537145"/>
    <w:rsid w:val="508942AC"/>
    <w:rsid w:val="508A77AF"/>
    <w:rsid w:val="508F1A38"/>
    <w:rsid w:val="50F25EDA"/>
    <w:rsid w:val="511C03A3"/>
    <w:rsid w:val="51656219"/>
    <w:rsid w:val="51804844"/>
    <w:rsid w:val="51ED73F6"/>
    <w:rsid w:val="52817C6A"/>
    <w:rsid w:val="52D41C73"/>
    <w:rsid w:val="53121757"/>
    <w:rsid w:val="53362C11"/>
    <w:rsid w:val="53AB3ED4"/>
    <w:rsid w:val="546A778A"/>
    <w:rsid w:val="5510379B"/>
    <w:rsid w:val="551769A9"/>
    <w:rsid w:val="55671C2C"/>
    <w:rsid w:val="56B70654"/>
    <w:rsid w:val="56F10111"/>
    <w:rsid w:val="57391B27"/>
    <w:rsid w:val="57805B1E"/>
    <w:rsid w:val="57AD4064"/>
    <w:rsid w:val="585F1909"/>
    <w:rsid w:val="58C93537"/>
    <w:rsid w:val="591D6844"/>
    <w:rsid w:val="59227449"/>
    <w:rsid w:val="5AE738B1"/>
    <w:rsid w:val="5C140AA0"/>
    <w:rsid w:val="5C2A2C44"/>
    <w:rsid w:val="5CF4010E"/>
    <w:rsid w:val="5CF94596"/>
    <w:rsid w:val="5D0C1038"/>
    <w:rsid w:val="5D514C25"/>
    <w:rsid w:val="5E074753"/>
    <w:rsid w:val="5EE42E3D"/>
    <w:rsid w:val="5EEC0249"/>
    <w:rsid w:val="5F6B1E1C"/>
    <w:rsid w:val="5FDF73FB"/>
    <w:rsid w:val="608060E1"/>
    <w:rsid w:val="60B146B2"/>
    <w:rsid w:val="60C36BF4"/>
    <w:rsid w:val="615E224C"/>
    <w:rsid w:val="62C01E93"/>
    <w:rsid w:val="62C06610"/>
    <w:rsid w:val="633F4960"/>
    <w:rsid w:val="640843A9"/>
    <w:rsid w:val="648B4982"/>
    <w:rsid w:val="64AF38BD"/>
    <w:rsid w:val="650D74DA"/>
    <w:rsid w:val="65811A17"/>
    <w:rsid w:val="66BC5F1C"/>
    <w:rsid w:val="66D222BD"/>
    <w:rsid w:val="69880C71"/>
    <w:rsid w:val="69AB2D6B"/>
    <w:rsid w:val="6B026BA0"/>
    <w:rsid w:val="6CE1026C"/>
    <w:rsid w:val="6D0475EA"/>
    <w:rsid w:val="6D891A42"/>
    <w:rsid w:val="6EB3022A"/>
    <w:rsid w:val="6F21085E"/>
    <w:rsid w:val="6F32657A"/>
    <w:rsid w:val="6F9D14AD"/>
    <w:rsid w:val="700468D2"/>
    <w:rsid w:val="70EA114F"/>
    <w:rsid w:val="71062FFD"/>
    <w:rsid w:val="71791CB7"/>
    <w:rsid w:val="72414F83"/>
    <w:rsid w:val="72492390"/>
    <w:rsid w:val="726A4AC3"/>
    <w:rsid w:val="7271444E"/>
    <w:rsid w:val="73357A0F"/>
    <w:rsid w:val="73376795"/>
    <w:rsid w:val="73651863"/>
    <w:rsid w:val="739E3BBB"/>
    <w:rsid w:val="73D44095"/>
    <w:rsid w:val="74BF2D99"/>
    <w:rsid w:val="74C64922"/>
    <w:rsid w:val="75286F45"/>
    <w:rsid w:val="78574EC9"/>
    <w:rsid w:val="787466AD"/>
    <w:rsid w:val="78967EE6"/>
    <w:rsid w:val="7A4024A0"/>
    <w:rsid w:val="7B540CE3"/>
    <w:rsid w:val="7B7C4426"/>
    <w:rsid w:val="7BA41D67"/>
    <w:rsid w:val="7C1977A8"/>
    <w:rsid w:val="7C99137B"/>
    <w:rsid w:val="7D2953E6"/>
    <w:rsid w:val="7D817FF3"/>
    <w:rsid w:val="7DFC793D"/>
    <w:rsid w:val="7E261E06"/>
    <w:rsid w:val="7F0439F3"/>
    <w:rsid w:val="7F0B7AFA"/>
    <w:rsid w:val="7F1C10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4" Type="http://schemas.microsoft.com/office/2011/relationships/chartColorStyle" Target="colors2.xml"/><Relationship Id="rId3" Type="http://schemas.microsoft.com/office/2011/relationships/chartStyle" Target="style2.xml"/><Relationship Id="rId2" Type="http://schemas.openxmlformats.org/officeDocument/2006/relationships/chartUserShapes" Target="../drawings/drawing1.xml"/><Relationship Id="rId1" Type="http://schemas.openxmlformats.org/officeDocument/2006/relationships/oleObject" Target="file:///C:\Users\hengzhoubz\Desktop\&#38472;&#22025;&#26753;2\&#35266;&#28857;&#25968;&#25454;&#22270;&#34920;&#27169;&#26495;-&#20840;&#29699;20231017%20&#23454;&#20064;&#21516;&#23398;.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hengzhoubz\Desktop\&#38472;&#22025;&#26753;2\&#35266;&#28857;&#25968;&#25454;&#22270;&#34920;&#27169;&#26495;-&#20840;&#29699;20231017%20&#23454;&#20064;&#21516;&#2339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en-US" altLang="zh-CN" sz="1100">
                <a:latin typeface="Book Antiqua" panose="02040602050305030304" pitchFamily="1" charset="0"/>
              </a:rPr>
              <a:t>Global Market Size ($ Mn)</a:t>
            </a:r>
            <a:endParaRPr lang="en-US" altLang="zh-CN" sz="11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254884259259259"/>
          <c:y val="0.131440849673203"/>
          <c:w val="0.937283950617284"/>
          <c:h val="0.793030392156863"/>
        </c:manualLayout>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全球总体!$B$21:$D$21</c:f>
              <c:numCache>
                <c:formatCode>General</c:formatCode>
                <c:ptCount val="3"/>
                <c:pt idx="0">
                  <c:v>2018</c:v>
                </c:pt>
                <c:pt idx="1">
                  <c:v>2022</c:v>
                </c:pt>
                <c:pt idx="2">
                  <c:v>2029</c:v>
                </c:pt>
              </c:numCache>
            </c:numRef>
          </c:cat>
          <c:val>
            <c:numRef>
              <c:f>全球总体!$B$22:$D$22</c:f>
              <c:numCache>
                <c:formatCode>#,##0_ </c:formatCode>
                <c:ptCount val="3"/>
                <c:pt idx="0">
                  <c:v>792.46</c:v>
                </c:pt>
                <c:pt idx="1">
                  <c:v>1560</c:v>
                </c:pt>
                <c:pt idx="2">
                  <c:v>6786.04411664238</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manualLayout>
          <c:layoutTarget val="inner"/>
          <c:xMode val="edge"/>
          <c:yMode val="edge"/>
          <c:x val="0.168386920384952"/>
          <c:y val="0.102998174771119"/>
          <c:w val="0.787168635170604"/>
          <c:h val="0.871139795443472"/>
        </c:manualLayout>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Pt>
            <c:idx val="14"/>
            <c:invertIfNegative val="0"/>
            <c:bubble3D val="0"/>
            <c:spPr>
              <a:solidFill>
                <a:schemeClr val="accent3">
                  <a:lumMod val="80000"/>
                  <a:lumOff val="20000"/>
                </a:schemeClr>
              </a:solidFill>
              <a:ln>
                <a:noFill/>
              </a:ln>
              <a:effectLst/>
            </c:spPr>
          </c:dPt>
          <c:dPt>
            <c:idx val="15"/>
            <c:invertIfNegative val="0"/>
            <c:bubble3D val="0"/>
            <c:spPr>
              <a:solidFill>
                <a:schemeClr val="accent4">
                  <a:lumMod val="80000"/>
                  <a:lumOff val="20000"/>
                </a:schemeClr>
              </a:solidFill>
              <a:ln>
                <a:noFill/>
              </a:ln>
              <a:effectLst/>
            </c:spPr>
          </c:dPt>
          <c:dPt>
            <c:idx val="16"/>
            <c:invertIfNegative val="0"/>
            <c:bubble3D val="0"/>
            <c:spPr>
              <a:solidFill>
                <a:schemeClr val="accent5">
                  <a:lumMod val="80000"/>
                  <a:lumOff val="20000"/>
                </a:schemeClr>
              </a:solidFill>
              <a:ln>
                <a:noFill/>
              </a:ln>
              <a:effectLst/>
            </c:spPr>
          </c:dPt>
          <c:dPt>
            <c:idx val="17"/>
            <c:invertIfNegative val="0"/>
            <c:bubble3D val="0"/>
            <c:spPr>
              <a:solidFill>
                <a:schemeClr val="accent6">
                  <a:lumMod val="80000"/>
                  <a:lumOff val="20000"/>
                </a:schemeClr>
              </a:solidFill>
              <a:ln>
                <a:noFill/>
              </a:ln>
              <a:effectLst/>
            </c:spPr>
          </c:dPt>
          <c:dPt>
            <c:idx val="18"/>
            <c:invertIfNegative val="0"/>
            <c:bubble3D val="0"/>
            <c:spPr>
              <a:solidFill>
                <a:schemeClr val="accent1">
                  <a:lumMod val="80000"/>
                </a:schemeClr>
              </a:solidFill>
              <a:ln>
                <a:noFill/>
              </a:ln>
              <a:effectLst/>
            </c:spPr>
          </c:dPt>
          <c:dPt>
            <c:idx val="19"/>
            <c:invertIfNegative val="0"/>
            <c:bubble3D val="0"/>
            <c:spPr>
              <a:solidFill>
                <a:schemeClr val="accent2">
                  <a:lumMod val="80000"/>
                </a:schemeClr>
              </a:solidFill>
              <a:ln>
                <a:noFill/>
              </a:ln>
              <a:effectLst/>
            </c:spPr>
          </c:dPt>
          <c:dPt>
            <c:idx val="20"/>
            <c:invertIfNegative val="0"/>
            <c:bubble3D val="0"/>
            <c:spPr>
              <a:solidFill>
                <a:schemeClr val="accent3">
                  <a:lumMod val="80000"/>
                </a:schemeClr>
              </a:solidFill>
              <a:ln>
                <a:noFill/>
              </a:ln>
              <a:effectLst/>
            </c:spPr>
          </c:dPt>
          <c:dPt>
            <c:idx val="21"/>
            <c:invertIfNegative val="0"/>
            <c:bubble3D val="0"/>
            <c:spPr>
              <a:solidFill>
                <a:schemeClr val="accent4">
                  <a:lumMod val="80000"/>
                </a:schemeClr>
              </a:solidFill>
              <a:ln>
                <a:noFill/>
              </a:ln>
              <a:effectLst/>
            </c:spPr>
          </c:dPt>
          <c:dPt>
            <c:idx val="22"/>
            <c:invertIfNegative val="0"/>
            <c:bubble3D val="0"/>
            <c:spPr>
              <a:solidFill>
                <a:schemeClr val="accent5">
                  <a:lumMod val="80000"/>
                </a:schemeClr>
              </a:solidFill>
              <a:ln>
                <a:noFill/>
              </a:ln>
              <a:effectLst/>
            </c:spPr>
          </c:dPt>
          <c:dPt>
            <c:idx val="23"/>
            <c:invertIfNegative val="0"/>
            <c:bubble3D val="0"/>
            <c:spPr>
              <a:solidFill>
                <a:schemeClr val="accent6">
                  <a:lumMod val="80000"/>
                </a:schemeClr>
              </a:solidFill>
              <a:ln>
                <a:noFill/>
              </a:ln>
              <a:effectLst/>
            </c:spPr>
          </c:dPt>
          <c:dLbls>
            <c:delete val="1"/>
          </c:dLbls>
          <c:cat>
            <c:strRef>
              <c:f>企业排序!$F$2:$F$25</c:f>
              <c:strCache>
                <c:ptCount val="24"/>
                <c:pt idx="0">
                  <c:v>默安科技</c:v>
                </c:pt>
                <c:pt idx="1">
                  <c:v>百达智慧网络</c:v>
                </c:pt>
                <c:pt idx="2">
                  <c:v>思客云</c:v>
                </c:pt>
                <c:pt idx="3">
                  <c:v>北京端玛科技有限公司</c:v>
                </c:pt>
                <c:pt idx="4">
                  <c:v>江苏金盾检测技术有限公司</c:v>
                </c:pt>
                <c:pt idx="5">
                  <c:v>安言咨询</c:v>
                </c:pt>
                <c:pt idx="6">
                  <c:v>开源网安</c:v>
                </c:pt>
                <c:pt idx="7">
                  <c:v>Security Innovation</c:v>
                </c:pt>
                <c:pt idx="8">
                  <c:v>爱加密</c:v>
                </c:pt>
                <c:pt idx="9">
                  <c:v>谷安天下</c:v>
                </c:pt>
                <c:pt idx="10">
                  <c:v>MSys Technologies</c:v>
                </c:pt>
                <c:pt idx="11">
                  <c:v>RSM</c:v>
                </c:pt>
                <c:pt idx="12">
                  <c:v>Trianz</c:v>
                </c:pt>
                <c:pt idx="13">
                  <c:v>Denim Group</c:v>
                </c:pt>
                <c:pt idx="14">
                  <c:v>Infopulse</c:v>
                </c:pt>
                <c:pt idx="15">
                  <c:v>Positive Technologies</c:v>
                </c:pt>
                <c:pt idx="16">
                  <c:v>Datacom</c:v>
                </c:pt>
                <c:pt idx="17">
                  <c:v>Kanda</c:v>
                </c:pt>
                <c:pt idx="18">
                  <c:v>Veracode</c:v>
                </c:pt>
                <c:pt idx="19">
                  <c:v>Optiv</c:v>
                </c:pt>
                <c:pt idx="20">
                  <c:v>NCC</c:v>
                </c:pt>
                <c:pt idx="21">
                  <c:v>Synopsys</c:v>
                </c:pt>
                <c:pt idx="22">
                  <c:v>Microsoft</c:v>
                </c:pt>
                <c:pt idx="23">
                  <c:v>IBM</c:v>
                </c:pt>
              </c:strCache>
            </c:strRef>
          </c:cat>
          <c:val>
            <c:numRef>
              <c:f>企业排序!$G$2:$G$25</c:f>
              <c:numCache>
                <c:formatCode>#,##0.00_ </c:formatCode>
                <c:ptCount val="24"/>
                <c:pt idx="0">
                  <c:v>0.2</c:v>
                </c:pt>
                <c:pt idx="1">
                  <c:v>0.21</c:v>
                </c:pt>
                <c:pt idx="2">
                  <c:v>0.24</c:v>
                </c:pt>
                <c:pt idx="3">
                  <c:v>1.02</c:v>
                </c:pt>
                <c:pt idx="4">
                  <c:v>1.28</c:v>
                </c:pt>
                <c:pt idx="5">
                  <c:v>1.64</c:v>
                </c:pt>
                <c:pt idx="6">
                  <c:v>5.11</c:v>
                </c:pt>
                <c:pt idx="7">
                  <c:v>5.44</c:v>
                </c:pt>
                <c:pt idx="8">
                  <c:v>5.55</c:v>
                </c:pt>
                <c:pt idx="9">
                  <c:v>5.85</c:v>
                </c:pt>
                <c:pt idx="10">
                  <c:v>7.1</c:v>
                </c:pt>
                <c:pt idx="11">
                  <c:v>8.53</c:v>
                </c:pt>
                <c:pt idx="12">
                  <c:v>9.23</c:v>
                </c:pt>
                <c:pt idx="13">
                  <c:v>9.54</c:v>
                </c:pt>
                <c:pt idx="14">
                  <c:v>9.71</c:v>
                </c:pt>
                <c:pt idx="15">
                  <c:v>10.15</c:v>
                </c:pt>
                <c:pt idx="16">
                  <c:v>10.16</c:v>
                </c:pt>
                <c:pt idx="17">
                  <c:v>15.6</c:v>
                </c:pt>
                <c:pt idx="18">
                  <c:v>25.7</c:v>
                </c:pt>
                <c:pt idx="19">
                  <c:v>45.24</c:v>
                </c:pt>
                <c:pt idx="20">
                  <c:v>72.62</c:v>
                </c:pt>
                <c:pt idx="21">
                  <c:v>107.11</c:v>
                </c:pt>
                <c:pt idx="22">
                  <c:v>108.32</c:v>
                </c:pt>
                <c:pt idx="23">
                  <c:v>114.6</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0.50465</cdr:x>
      <cdr:y>0.17908</cdr:y>
    </cdr:from>
    <cdr:to>
      <cdr:x>0.7424</cdr:x>
      <cdr:y>0.66247</cdr:y>
    </cdr:to>
    <cdr:cxnSp>
      <cdr:nvCxnSpPr>
        <cdr:cNvPr id="2" name="直接箭头连接符 1"/>
        <cdr:cNvCxnSpPr/>
      </cdr:nvCxnSpPr>
      <cdr:spPr xmlns:a="http://schemas.openxmlformats.org/drawingml/2006/main">
        <a:xfrm xmlns:a="http://schemas.openxmlformats.org/drawingml/2006/main" flipV="1">
          <a:off x="3309701" y="547970"/>
          <a:ext cx="1559256" cy="1479182"/>
        </a:xfrm>
        <a:prstGeom xmlns:a="http://schemas.openxmlformats.org/drawingml/2006/main" prst="straightConnector1">
          <a:avLst/>
        </a:prstGeom>
        <a:solidFill>
          <a:srgbClr val="FFC000"/>
        </a:solid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0.56666</cdr:x>
      <cdr:y>0.34802</cdr:y>
    </cdr:from>
    <cdr:to>
      <cdr:x>0.70217</cdr:x>
      <cdr:y>0.44119</cdr:y>
    </cdr:to>
    <cdr:sp>
      <cdr:nvSpPr>
        <cdr:cNvPr id="3" name="椭圆 2"/>
        <cdr:cNvSpPr/>
      </cdr:nvSpPr>
      <cdr:spPr xmlns:a="http://schemas.openxmlformats.org/drawingml/2006/main">
        <a:xfrm xmlns:a="http://schemas.openxmlformats.org/drawingml/2006/main" rot="19165250">
          <a:off x="3716405" y="1064932"/>
          <a:ext cx="888734" cy="285101"/>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baseline="0">
              <a:solidFill>
                <a:sysClr val="windowText" lastClr="000000"/>
              </a:solidFill>
              <a:latin typeface="Book Antiqua" panose="02040602050305030304" pitchFamily="1" charset="0"/>
              <a:ea typeface="宋体" panose="02010600030101010101" charset="-122"/>
            </a:rPr>
            <a:t>23.3%</a:t>
          </a:r>
          <a:endParaRPr lang="zh-CN" sz="800" baseline="0">
            <a:solidFill>
              <a:sysClr val="windowText" lastClr="000000"/>
            </a:solidFill>
            <a:latin typeface="Book Antiqua" panose="02040602050305030304" pitchFamily="1" charset="0"/>
            <a:ea typeface="宋体" panose="02010600030101010101" charset="-122"/>
          </a:endParaRPr>
        </a:p>
      </cdr:txBody>
    </cdr:sp>
  </cdr:relSizeAnchor>
  <cdr:relSizeAnchor xmlns:cdr="http://schemas.openxmlformats.org/drawingml/2006/chartDrawing">
    <cdr:from>
      <cdr:x>0.21179</cdr:x>
      <cdr:y>0.66154</cdr:y>
    </cdr:from>
    <cdr:to>
      <cdr:x>0.4691</cdr:x>
      <cdr:y>0.78179</cdr:y>
    </cdr:to>
    <cdr:grpSp>
      <cdr:nvGrpSpPr>
        <cdr:cNvPr id="4" name="组合 3"/>
        <cdr:cNvGrpSpPr/>
      </cdr:nvGrpSpPr>
      <cdr:grpSpPr xmlns:a="http://schemas.openxmlformats.org/drawingml/2006/main">
        <a:xfrm rot="1783323">
          <a:off x="1310707" y="1909674"/>
          <a:ext cx="1592417" cy="347127"/>
          <a:chOff x="3073853" y="2109728"/>
          <a:chExt cx="1319453" cy="372230"/>
        </a:xfrm>
      </cdr:grpSpPr>
      <cdr:cxnSp>
        <cdr:nvCxnSpPr>
          <cdr:cNvPr id="5" name="直接箭头连接符 4"/>
          <cdr:cNvCxnSpPr/>
        </cdr:nvCxnSpPr>
        <cdr:spPr xmlns:a="http://schemas.openxmlformats.org/drawingml/2006/main">
          <a:xfrm xmlns:a="http://schemas.openxmlformats.org/drawingml/2006/main" rot="19816677" flipV="1">
            <a:off x="3073853" y="2109728"/>
            <a:ext cx="1319453" cy="328748"/>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6" name="椭圆 5"/>
          <cdr:cNvSpPr/>
        </cdr:nvSpPr>
        <cdr:spPr xmlns:a="http://schemas.openxmlformats.org/drawingml/2006/main">
          <a:xfrm xmlns:a="http://schemas.openxmlformats.org/drawingml/2006/main" rot="19192664">
            <a:off x="3360669" y="2255281"/>
            <a:ext cx="629845" cy="226677"/>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a:solidFill>
                  <a:sysClr val="windowText" lastClr="000000"/>
                </a:solidFill>
                <a:latin typeface="Book Antiqua" panose="02040602050305030304" pitchFamily="1" charset="0"/>
              </a:rPr>
              <a:t>18.5%</a:t>
            </a:r>
            <a:endParaRPr lang="zh-CN" sz="800">
              <a:solidFill>
                <a:sysClr val="windowText" lastClr="000000"/>
              </a:solidFill>
              <a:latin typeface="Book Antiqua" panose="02040602050305030304" pitchFamily="1" charset="0"/>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577</Words>
  <Characters>3294</Characters>
  <Lines>27</Lines>
  <Paragraphs>7</Paragraphs>
  <TotalTime>0</TotalTime>
  <ScaleCrop>false</ScaleCrop>
  <LinksUpToDate>false</LinksUpToDate>
  <CharactersWithSpaces>3864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2023-11-29T09:22:34Z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79264CB781F24C4EAE4991200A4CC0A6_13</vt:lpwstr>
  </property>
</Properties>
</file>