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9" w:name="_GoBack"/>
      <w:bookmarkEnd w:id="19"/>
      <w:bookmarkStart w:id="0" w:name="_Toc453597319"/>
      <w:bookmarkStart w:id="1" w:name="_Toc438987549"/>
      <w:bookmarkStart w:id="2" w:name="_Toc415818939"/>
      <w:bookmarkStart w:id="3" w:name="_Toc415143481"/>
      <w:bookmarkStart w:id="4" w:name="OLE_LINK13"/>
      <w:bookmarkStart w:id="5" w:name="OLE_LINK15"/>
      <w:bookmarkStart w:id="6" w:name="_Toc415142861"/>
      <w:bookmarkStart w:id="7" w:name="OLE_LINK39"/>
      <w:bookmarkStart w:id="8" w:name="OLE_LINK24"/>
      <w:bookmarkStart w:id="9" w:name="OLE_LINK40"/>
      <w:bookmarkStart w:id="10" w:name="_Toc418070112"/>
      <w:bookmarkStart w:id="11" w:name="_Toc481801204"/>
      <w:bookmarkStart w:id="12" w:name="_Toc517262917"/>
      <w:r>
        <w:rPr>
          <w:lang w:eastAsia="zh-CN"/>
        </w:rPr>
        <w:t>晶圆再生服务</w:t>
      </w:r>
      <w:r>
        <w:rPr>
          <w:rFonts w:hint="eastAsia"/>
          <w:lang w:eastAsia="zh-CN"/>
        </w:rPr>
        <w:t>全球市场总体规模</w:t>
      </w:r>
    </w:p>
    <w:p>
      <w:pPr>
        <w:widowControl/>
        <w:topLinePunct w:val="0"/>
        <w:spacing w:before="240" w:after="0" w:line="259" w:lineRule="auto"/>
        <w:rPr>
          <w:color w:val="0D0D0D" w:themeColor="text1" w:themeTint="F2"/>
          <w:kern w:val="0"/>
          <w:szCs w:val="22"/>
          <w:lang w:val="en-IN"/>
          <w14:textFill>
            <w14:solidFill>
              <w14:schemeClr w14:val="tx1">
                <w14:lumMod w14:val="95000"/>
                <w14:lumOff w14:val="5000"/>
              </w14:schemeClr>
            </w14:solidFill>
          </w14:textFill>
        </w:rPr>
      </w:pPr>
      <w:r>
        <w:rPr>
          <w:rFonts w:hint="eastAsia"/>
          <w:color w:val="0D0D0D" w:themeColor="text1" w:themeTint="F2"/>
          <w:kern w:val="0"/>
          <w:szCs w:val="22"/>
          <w:lang w:val="en-IN"/>
          <w14:textFill>
            <w14:solidFill>
              <w14:schemeClr w14:val="tx1">
                <w14:lumMod w14:val="95000"/>
                <w14:lumOff w14:val="5000"/>
              </w14:schemeClr>
            </w14:solidFill>
          </w14:textFill>
        </w:rPr>
        <w:t>根据本公司“半导体研究中心”调研统计，2022年全球半导体材料市场规模大约为700亿美元，为半导体材料历史最高值。目前半导体材料的生产及技术，主要控制在美国、日本和少数欧洲厂商手中，中国本土厂商整体比较薄弱，在个别环节有所突破，但在技术、产品质量和应用等方面，跟全球领先厂商还有较大差距。目前，中国台湾、中国大陆和韩国是最大的三大市场，三者共占有大约60%的市场份额。美国、欧洲、日本和东南亚也是重要的市场，这四大地区占有大约35%的市场份额。</w:t>
      </w:r>
    </w:p>
    <w:p>
      <w:pPr>
        <w:widowControl/>
        <w:topLinePunct w:val="0"/>
        <w:spacing w:before="240" w:after="0" w:line="259" w:lineRule="auto"/>
        <w:rPr>
          <w:color w:val="0D0D0D" w:themeColor="text1" w:themeTint="F2"/>
          <w:kern w:val="0"/>
          <w:szCs w:val="22"/>
          <w:lang w:val="en-IN"/>
          <w14:textFill>
            <w14:solidFill>
              <w14:schemeClr w14:val="tx1">
                <w14:lumMod w14:val="95000"/>
                <w14:lumOff w14:val="5000"/>
              </w14:schemeClr>
            </w14:solidFill>
          </w14:textFill>
        </w:rPr>
      </w:pPr>
      <w:r>
        <w:rPr>
          <w:rFonts w:hint="eastAsia"/>
          <w:color w:val="0D0D0D" w:themeColor="text1" w:themeTint="F2"/>
          <w:kern w:val="0"/>
          <w:szCs w:val="22"/>
          <w:lang w:val="en-IN"/>
          <w14:textFill>
            <w14:solidFill>
              <w14:schemeClr w14:val="tx1">
                <w14:lumMod w14:val="95000"/>
                <w14:lumOff w14:val="5000"/>
              </w14:schemeClr>
            </w14:solidFill>
          </w14:textFill>
        </w:rPr>
        <w:t>晶圆再生服务市场正逐步崭露头角。随着半导体行业的不断扩张和绿色环保趋势的崛起，晶圆再生服务的市场规模逐渐增长。主要用途包括降低制造成本，减少资源浪费以及降低环境影响。这些晶圆经过一系列的处理和测试，可以重新投入生产流程中，为半导体制造商提供了一种可持续发展的解决方案。未来，预计晶圆再生服务市场将继续扩大，特别是在全球推动绿色生产和资源可持续利用的背景下。</w:t>
      </w:r>
    </w:p>
    <w:p>
      <w:pPr>
        <w:pStyle w:val="145"/>
        <w:rPr>
          <w:lang w:eastAsia="zh-CN"/>
        </w:rPr>
      </w:pPr>
      <w:r>
        <w:rPr>
          <w:rFonts w:hint="eastAsia"/>
          <w:color w:val="auto"/>
          <w:kern w:val="2"/>
          <w:szCs w:val="21"/>
          <w:lang w:val="en-US" w:eastAsia="zh-CN"/>
        </w:rPr>
        <w:t>据QYResearch调研团队最新报告“全球晶圆再生服务市场报告2023-2029”显示，预计2029年全球晶圆再生服务市场规模将达到19.79亿美元，未来几年年复合增长率CAGR为11.5%</w:t>
      </w:r>
      <w:r>
        <w:rPr>
          <w:rFonts w:hint="eastAsia"/>
          <w:lang w:eastAsia="zh-CN"/>
        </w:rPr>
        <w:t>。</w:t>
      </w:r>
    </w:p>
    <w:p>
      <w:pPr>
        <w:pStyle w:val="148"/>
      </w:pPr>
      <w:r>
        <w:t>晶圆再生服务</w:t>
      </w:r>
      <w:r>
        <w:rPr>
          <w:rFonts w:hint="eastAsia"/>
          <w:lang w:eastAsia="zh-CN"/>
        </w:rPr>
        <w:t>产品</w:t>
      </w:r>
    </w:p>
    <w:p>
      <w:pPr>
        <w:pStyle w:val="145"/>
        <w:rPr>
          <w:lang w:eastAsia="zh-CN"/>
        </w:rPr>
      </w:pPr>
      <w:r>
        <w:rPr>
          <w:lang w:val="en-US" w:eastAsia="zh-CN"/>
        </w:rPr>
        <w:drawing>
          <wp:inline distT="0" distB="0" distL="0" distR="0">
            <wp:extent cx="4319905" cy="2813685"/>
            <wp:effectExtent l="0" t="0" r="4445" b="5715"/>
            <wp:docPr id="2" name="图片 2" descr="半导体-可再生晶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半导体-可再生晶圆"/>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320000" cy="2813945"/>
                    </a:xfrm>
                    <a:prstGeom prst="rect">
                      <a:avLst/>
                    </a:prstGeom>
                    <a:noFill/>
                    <a:ln>
                      <a:noFill/>
                    </a:ln>
                  </pic:spPr>
                </pic:pic>
              </a:graphicData>
            </a:graphic>
          </wp:inline>
        </w:drawing>
      </w:r>
    </w:p>
    <w:p>
      <w:pPr>
        <w:pStyle w:val="148"/>
        <w:rPr>
          <w:lang w:eastAsia="zh-CN"/>
        </w:rPr>
      </w:pPr>
      <w:r>
        <w:rPr>
          <w:lang w:eastAsia="zh-CN"/>
        </w:rPr>
        <w:t>晶圆再生服务</w:t>
      </w:r>
      <w:r>
        <w:rPr>
          <w:rFonts w:hint="eastAsia"/>
          <w:lang w:eastAsia="zh-CN"/>
        </w:rPr>
        <w:t>，全球市场总体规模</w:t>
      </w:r>
    </w:p>
    <w:p>
      <w:pPr>
        <w:pStyle w:val="145"/>
      </w:pPr>
      <w:r>
        <w:rPr>
          <w:lang w:val="en-US" w:eastAsia="zh-CN"/>
        </w:rPr>
        <w:drawing>
          <wp:inline distT="0" distB="0" distL="0" distR="0">
            <wp:extent cx="6188710" cy="2922270"/>
            <wp:effectExtent l="0" t="0" r="2540" b="0"/>
            <wp:docPr id="70551932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晶圆再生服务</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晶圆再生服务</w:t>
      </w:r>
      <w:r>
        <w:rPr>
          <w:rFonts w:hint="eastAsia"/>
          <w:lang w:eastAsia="zh-CN"/>
        </w:rPr>
        <w:t>市场前</w:t>
      </w:r>
      <w:r>
        <w:rPr>
          <w:lang w:eastAsia="zh-CN"/>
        </w:rPr>
        <w:t>11</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4572635" cy="40481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72635" cy="4048125"/>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晶圆再生服务</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w:t>
      </w:r>
      <w:r>
        <w:rPr>
          <w:lang w:eastAsia="zh-CN"/>
        </w:rPr>
        <w:t>晶圆再生服务</w:t>
      </w:r>
      <w:r>
        <w:rPr>
          <w:rFonts w:hint="eastAsia"/>
          <w:lang w:eastAsia="zh-CN"/>
        </w:rPr>
        <w:t>主要生产商包括</w:t>
      </w:r>
      <w:r>
        <w:rPr>
          <w:lang w:eastAsia="zh-CN"/>
        </w:rPr>
        <w:t>RS Technologies</w:t>
      </w:r>
      <w:r>
        <w:rPr>
          <w:rFonts w:hint="eastAsia"/>
          <w:lang w:eastAsia="zh-CN"/>
        </w:rPr>
        <w:t>、中砂、辛耘、升阳国际半导体、滨田重工业等，其中前五大厂商占有大约</w:t>
      </w:r>
      <w:r>
        <w:rPr>
          <w:lang w:eastAsia="zh-CN"/>
        </w:rPr>
        <w:t>74</w:t>
      </w:r>
      <w:r>
        <w:rPr>
          <w:rFonts w:hint="eastAsia"/>
          <w:lang w:eastAsia="zh-CN"/>
        </w:rPr>
        <w:t>%的市场份额。目前，全球核心厂商主要分布在日本和台湾地区。</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8"/>
        <w:rPr>
          <w:lang w:eastAsia="zh-CN"/>
        </w:rPr>
      </w:pPr>
      <w:r>
        <w:rPr>
          <w:lang w:eastAsia="zh-CN"/>
        </w:rPr>
        <w:t>晶圆再生服务</w:t>
      </w:r>
      <w:r>
        <w:rPr>
          <w:rFonts w:hint="eastAsia"/>
          <w:lang w:eastAsia="zh-CN"/>
        </w:rPr>
        <w:t>，全球市场规模，按产品类型细分，</w:t>
      </w:r>
      <w:r>
        <w:rPr>
          <w:lang w:eastAsia="zh-CN"/>
        </w:rPr>
        <w:t>12</w:t>
      </w:r>
      <w:r>
        <w:rPr>
          <w:rFonts w:hint="eastAsia"/>
          <w:lang w:eastAsia="zh-CN"/>
        </w:rPr>
        <w:t>英寸处于主导地位</w:t>
      </w:r>
    </w:p>
    <w:p>
      <w:pPr>
        <w:pStyle w:val="145"/>
        <w:rPr>
          <w:lang w:eastAsia="zh-CN"/>
        </w:rPr>
      </w:pPr>
      <w:r>
        <w:rPr>
          <w:lang w:val="en-US" w:eastAsia="zh-CN"/>
        </w:rPr>
        <w:drawing>
          <wp:inline distT="0" distB="0" distL="0" distR="0">
            <wp:extent cx="6195060" cy="2811145"/>
            <wp:effectExtent l="0" t="0" r="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07602" cy="2816905"/>
                    </a:xfrm>
                    <a:prstGeom prst="rect">
                      <a:avLst/>
                    </a:prstGeom>
                    <a:noFill/>
                  </pic:spPr>
                </pic:pic>
              </a:graphicData>
            </a:graphic>
          </wp:inline>
        </w:drawing>
      </w:r>
    </w:p>
    <w:p>
      <w:pPr>
        <w:pStyle w:val="145"/>
        <w:rPr>
          <w:lang w:eastAsia="zh-CN"/>
        </w:rPr>
      </w:pPr>
    </w:p>
    <w:p>
      <w:pPr>
        <w:pStyle w:val="143"/>
        <w:rPr>
          <w:lang w:eastAsia="zh-CN"/>
        </w:rPr>
      </w:pPr>
      <w:r>
        <w:rPr>
          <w:rFonts w:hint="eastAsia"/>
          <w:lang w:eastAsia="zh-CN"/>
        </w:rPr>
        <w:t>如上图表/数据，摘自QYResearch最新报告“全球</w:t>
      </w:r>
      <w:r>
        <w:rPr>
          <w:lang w:eastAsia="zh-CN"/>
        </w:rPr>
        <w:t>晶圆再生服务</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就产品类型而言，目前12英寸是最主要的细分产品，占据大约73%的份额。</w:t>
      </w:r>
    </w:p>
    <w:p>
      <w:pPr>
        <w:pStyle w:val="145"/>
        <w:rPr>
          <w:lang w:eastAsia="zh-CN"/>
        </w:rPr>
      </w:pPr>
    </w:p>
    <w:p>
      <w:pPr>
        <w:pStyle w:val="148"/>
        <w:rPr>
          <w:lang w:eastAsia="zh-CN"/>
        </w:rPr>
      </w:pPr>
      <w:r>
        <w:rPr>
          <w:lang w:eastAsia="zh-CN"/>
        </w:rPr>
        <w:t>晶圆再生服务</w:t>
      </w:r>
      <w:r>
        <w:rPr>
          <w:rFonts w:hint="eastAsia"/>
          <w:lang w:eastAsia="zh-CN"/>
        </w:rPr>
        <w:t>，全球市场规模，按应用细分，虚拟晶圆是最大的下游市场，占有</w:t>
      </w:r>
      <w:r>
        <w:rPr>
          <w:lang w:eastAsia="zh-CN"/>
        </w:rPr>
        <w:t>81</w:t>
      </w:r>
      <w:r>
        <w:rPr>
          <w:rFonts w:hint="eastAsia"/>
          <w:lang w:eastAsia="zh-CN"/>
        </w:rPr>
        <w:t>%份额。</w:t>
      </w:r>
    </w:p>
    <w:p>
      <w:pPr>
        <w:pStyle w:val="145"/>
        <w:rPr>
          <w:lang w:eastAsia="zh-CN"/>
        </w:rPr>
      </w:pPr>
      <w:r>
        <w:rPr>
          <w:lang w:val="en-US" w:eastAsia="zh-CN"/>
        </w:rPr>
        <w:drawing>
          <wp:inline distT="0" distB="0" distL="0" distR="0">
            <wp:extent cx="6195060" cy="280860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207249" cy="2814331"/>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晶圆再生服务</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就产品应用而言，目前虚拟晶圆是最主要的需求来源，占据大约</w:t>
      </w:r>
      <w:r>
        <w:rPr>
          <w:lang w:eastAsia="zh-CN"/>
        </w:rPr>
        <w:t>81</w:t>
      </w:r>
      <w:r>
        <w:rPr>
          <w:rFonts w:hint="eastAsia"/>
          <w:lang w:eastAsia="zh-CN"/>
        </w:rPr>
        <w:t>%的份额。</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45"/>
        <w:rPr>
          <w:lang w:eastAsia="zh-CN"/>
        </w:rPr>
      </w:pPr>
      <w:r>
        <w:rPr>
          <w:rFonts w:hint="eastAsia"/>
          <w:lang w:eastAsia="zh-CN"/>
        </w:rPr>
        <w:t>主要驱动因素</w:t>
      </w:r>
      <w:r>
        <w:rPr>
          <w:lang w:eastAsia="zh-CN"/>
        </w:rPr>
        <w:t>:</w:t>
      </w:r>
    </w:p>
    <w:p>
      <w:pPr>
        <w:pStyle w:val="145"/>
        <w:numPr>
          <w:ilvl w:val="0"/>
          <w:numId w:val="4"/>
        </w:numPr>
        <w:rPr>
          <w:lang w:val="en-US" w:eastAsia="zh-CN"/>
        </w:rPr>
      </w:pPr>
      <w:r>
        <w:rPr>
          <w:rFonts w:hint="eastAsia"/>
          <w:lang w:val="en-US" w:eastAsia="zh-CN"/>
        </w:rPr>
        <w:t>资源节约与环保： 晶圆再生服务推动硅晶圆的有效回收和再利用，有助于减少对有限硅资源的需求，同时降低电子制造业的环境影响，符合可持续发展理念。</w:t>
      </w:r>
    </w:p>
    <w:p>
      <w:pPr>
        <w:pStyle w:val="145"/>
        <w:numPr>
          <w:ilvl w:val="0"/>
          <w:numId w:val="4"/>
        </w:numPr>
        <w:rPr>
          <w:lang w:val="en-US" w:eastAsia="zh-CN"/>
        </w:rPr>
      </w:pPr>
      <w:r>
        <w:rPr>
          <w:rFonts w:hint="eastAsia"/>
          <w:lang w:val="en-US" w:eastAsia="zh-CN"/>
        </w:rPr>
        <w:t>成本效益： 晶圆再生服务提供了经济上更具吸引力的选择，相对于全新晶圆，再生晶圆的采购和加工成本更为低廉，对电子制造企业而言具有显著的成本效益。</w:t>
      </w:r>
    </w:p>
    <w:p>
      <w:pPr>
        <w:pStyle w:val="145"/>
        <w:numPr>
          <w:ilvl w:val="0"/>
          <w:numId w:val="4"/>
        </w:numPr>
        <w:rPr>
          <w:lang w:val="en-US" w:eastAsia="zh-CN"/>
        </w:rPr>
      </w:pPr>
      <w:r>
        <w:rPr>
          <w:rFonts w:hint="eastAsia"/>
          <w:lang w:val="en-US" w:eastAsia="zh-CN"/>
        </w:rPr>
        <w:t>技术创新与品质提升： 不断发展的晶圆再生技术提供了更先进的加工和清洁技术，提升了再生晶圆的质量，使其在性能和可靠性方面能够与新晶圆媲美。</w:t>
      </w:r>
    </w:p>
    <w:p>
      <w:pPr>
        <w:pStyle w:val="145"/>
        <w:rPr>
          <w:lang w:eastAsia="zh-CN"/>
        </w:rPr>
      </w:pPr>
      <w:r>
        <w:rPr>
          <w:rFonts w:hint="eastAsia"/>
          <w:lang w:eastAsia="zh-CN"/>
        </w:rPr>
        <w:t>主要阻碍因素</w:t>
      </w:r>
      <w:r>
        <w:rPr>
          <w:lang w:eastAsia="zh-CN"/>
        </w:rPr>
        <w:t>:</w:t>
      </w:r>
    </w:p>
    <w:p>
      <w:pPr>
        <w:pStyle w:val="145"/>
        <w:numPr>
          <w:ilvl w:val="0"/>
          <w:numId w:val="5"/>
        </w:numPr>
        <w:rPr>
          <w:lang w:val="en-US" w:eastAsia="zh-CN"/>
        </w:rPr>
      </w:pPr>
      <w:r>
        <w:rPr>
          <w:rFonts w:hint="eastAsia"/>
          <w:lang w:val="en-US" w:eastAsia="zh-CN"/>
        </w:rPr>
        <w:t>技术难题： 晶圆再生过程中面临的技术难题可能是一个阻碍因素，包括确保再生晶圆的质量、性能和可靠性等方面的挑战。</w:t>
      </w:r>
    </w:p>
    <w:p>
      <w:pPr>
        <w:pStyle w:val="145"/>
        <w:numPr>
          <w:ilvl w:val="0"/>
          <w:numId w:val="5"/>
        </w:numPr>
        <w:rPr>
          <w:lang w:val="en-US" w:eastAsia="zh-CN"/>
        </w:rPr>
      </w:pPr>
      <w:r>
        <w:rPr>
          <w:rFonts w:hint="eastAsia"/>
          <w:lang w:val="en-US" w:eastAsia="zh-CN"/>
        </w:rPr>
        <w:t>市场认知不足： 部分电子制造企业可能对晶圆再生服务的优势缺乏充分认知，因此在市场推广和接受方面存在一定的困难。</w:t>
      </w:r>
    </w:p>
    <w:p>
      <w:pPr>
        <w:pStyle w:val="145"/>
        <w:numPr>
          <w:ilvl w:val="0"/>
          <w:numId w:val="5"/>
        </w:numPr>
        <w:rPr>
          <w:lang w:val="en-US" w:eastAsia="zh-CN"/>
        </w:rPr>
      </w:pPr>
      <w:r>
        <w:rPr>
          <w:rFonts w:hint="eastAsia"/>
          <w:lang w:val="en-US" w:eastAsia="zh-CN"/>
        </w:rPr>
        <w:t>法规与标准： 行业需要遵守严格的法规和标准，晶圆再生服务在处理废弃硅晶圆时需要满足环保和安全的法规要求，这可能增加服务提供商的操作成本。</w:t>
      </w:r>
    </w:p>
    <w:p>
      <w:pPr>
        <w:pStyle w:val="145"/>
        <w:rPr>
          <w:lang w:eastAsia="zh-CN"/>
        </w:rPr>
      </w:pPr>
      <w:r>
        <w:rPr>
          <w:rFonts w:hint="eastAsia"/>
          <w:lang w:eastAsia="zh-CN"/>
        </w:rPr>
        <w:t>行业发展机遇</w:t>
      </w:r>
      <w:r>
        <w:rPr>
          <w:lang w:eastAsia="zh-CN"/>
        </w:rPr>
        <w:t>:</w:t>
      </w:r>
    </w:p>
    <w:bookmarkEnd w:id="0"/>
    <w:bookmarkEnd w:id="1"/>
    <w:bookmarkEnd w:id="2"/>
    <w:bookmarkEnd w:id="3"/>
    <w:bookmarkEnd w:id="4"/>
    <w:bookmarkEnd w:id="5"/>
    <w:bookmarkEnd w:id="6"/>
    <w:bookmarkEnd w:id="7"/>
    <w:bookmarkEnd w:id="8"/>
    <w:bookmarkEnd w:id="9"/>
    <w:bookmarkEnd w:id="10"/>
    <w:bookmarkEnd w:id="11"/>
    <w:bookmarkEnd w:id="12"/>
    <w:p>
      <w:pPr>
        <w:pStyle w:val="145"/>
        <w:numPr>
          <w:ilvl w:val="0"/>
          <w:numId w:val="6"/>
        </w:numPr>
        <w:rPr>
          <w:lang w:val="en-US" w:eastAsia="zh-CN"/>
        </w:rPr>
      </w:pPr>
      <w:r>
        <w:rPr>
          <w:rFonts w:hint="eastAsia"/>
          <w:lang w:val="en-US" w:eastAsia="zh-CN"/>
        </w:rPr>
        <w:t>绿色技术推动： 随着绿色技术和可持续发展理念的推动，晶圆再生服务有望迎来更多的市场机遇，成为电子制造业可持续经营的一部分。</w:t>
      </w:r>
    </w:p>
    <w:p>
      <w:pPr>
        <w:pStyle w:val="145"/>
        <w:numPr>
          <w:ilvl w:val="0"/>
          <w:numId w:val="6"/>
        </w:numPr>
        <w:rPr>
          <w:lang w:val="en-US" w:eastAsia="zh-CN"/>
        </w:rPr>
      </w:pPr>
      <w:r>
        <w:rPr>
          <w:rFonts w:hint="eastAsia"/>
          <w:lang w:val="en-US" w:eastAsia="zh-CN"/>
        </w:rPr>
        <w:t>供应链安全： 晶圆再生服务有机会成为电子制造企业建立更稳健供应链的一部分，降低对新硅晶圆的过度依赖，提高供应链的韧性。</w:t>
      </w:r>
    </w:p>
    <w:p>
      <w:pPr>
        <w:pStyle w:val="145"/>
        <w:numPr>
          <w:ilvl w:val="0"/>
          <w:numId w:val="6"/>
        </w:numPr>
        <w:rPr>
          <w:lang w:eastAsia="zh-CN"/>
        </w:rPr>
      </w:pPr>
      <w:r>
        <w:rPr>
          <w:rFonts w:hint="eastAsia"/>
          <w:lang w:val="en-US" w:eastAsia="zh-CN"/>
        </w:rPr>
        <w:t>技术创新： 行业内不断推动晶圆再生技术的创新将为服务提供商带来更广阔的市场空间，能够满足日益复杂电子产品的生产需求。</w:t>
      </w:r>
      <w:r>
        <w:rPr>
          <w:lang w:eastAsia="zh-CN"/>
        </w:rP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Franklin Gothic Demi">
    <w:altName w:val="Trebuchet MS"/>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91"/>
    <w:bookmarkStart w:id="14" w:name="_Hlk149300690"/>
    <w:bookmarkStart w:id="15" w:name="_Hlk149300692"/>
    <w:bookmarkStart w:id="16" w:name="_Hlk149300687"/>
    <w:bookmarkStart w:id="17" w:name="_Hlk149300688"/>
    <w:bookmarkStart w:id="18" w:name="_Hlk149300689"/>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E6A6C"/>
    <w:multiLevelType w:val="multilevel"/>
    <w:tmpl w:val="02BE6A6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1CB5E7A"/>
    <w:multiLevelType w:val="multilevel"/>
    <w:tmpl w:val="11CB5E7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394416D8"/>
    <w:multiLevelType w:val="multilevel"/>
    <w:tmpl w:val="394416D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5"/>
  </w:num>
  <w:num w:numId="2">
    <w:abstractNumId w:val="2"/>
  </w:num>
  <w:num w:numId="3">
    <w:abstractNumId w:val="3"/>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2D73"/>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0A5"/>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599"/>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2EB"/>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9DD"/>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5B"/>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504"/>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5DC1"/>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E43"/>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71"/>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E7"/>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89F"/>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4E"/>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6F92"/>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0B51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I:\&#25490;&#21517;%20&#35266;&#28857;&#20889;&#20316;\&#35266;&#28857;&#25968;&#25454;&#22270;&#34920;&#27169;&#26495;-&#20840;&#29699;2023092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254884259259259"/>
          <c:y val="0.131440849673203"/>
          <c:w val="0.937283950617284"/>
          <c:h val="0.793030392156863"/>
        </c:manualLayout>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45</c:v>
                </c:pt>
                <c:pt idx="1">
                  <c:v>88</c:v>
                </c:pt>
                <c:pt idx="2">
                  <c:v>166</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0.54734</cdr:x>
      <cdr:y>0.17465</cdr:y>
    </cdr:from>
    <cdr:to>
      <cdr:x>0.73876</cdr:x>
      <cdr:y>0.50504</cdr:y>
    </cdr:to>
    <cdr:grpSp>
      <cdr:nvGrpSpPr>
        <cdr:cNvPr id="2" name="组合 1"/>
        <cdr:cNvGrpSpPr/>
      </cdr:nvGrpSpPr>
      <cdr:grpSpPr xmlns:a="http://schemas.openxmlformats.org/drawingml/2006/main">
        <a:xfrm rot="439955">
          <a:off x="3387329" y="510374"/>
          <a:ext cx="1184643" cy="965489"/>
          <a:chOff x="2860153" y="1082070"/>
          <a:chExt cx="808296" cy="797129"/>
        </a:xfrm>
        <a:solidFill>
          <a:srgbClr val="FFC000"/>
        </a:solidFill>
      </cdr:grpSpPr>
      <cdr:cxnSp>
        <cdr:nvCxnSpPr>
          <cdr:cNvPr id="3" name="直接箭头连接符 2"/>
          <cdr:cNvCxnSpPr/>
        </cdr:nvCxnSpPr>
        <cdr:spPr xmlns:a="http://schemas.openxmlformats.org/drawingml/2006/main">
          <a:xfrm xmlns:a="http://schemas.openxmlformats.org/drawingml/2006/main" rot="21160045" flipV="1">
            <a:off x="2860153" y="1082070"/>
            <a:ext cx="808296" cy="797129"/>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8797512">
            <a:off x="2927679" y="1405657"/>
            <a:ext cx="661239" cy="185799"/>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solidFill>
                  <a:sysClr val="windowText" lastClr="000000"/>
                </a:solidFill>
                <a:latin typeface="Times New Roman" panose="02020603050405020304" charset="0"/>
                <a:ea typeface="宋体" panose="02010600030101010101" charset="-122"/>
                <a:cs typeface="Times New Roman" panose="02020603050405020304" charset="0"/>
              </a:rPr>
              <a:t>11.5%</a:t>
            </a:r>
            <a:endParaRPr lang="zh-CN" baseline="0">
              <a:solidFill>
                <a:sysClr val="windowText" lastClr="000000"/>
              </a:solidFill>
              <a:latin typeface="Times New Roman" panose="02020603050405020304" charset="0"/>
              <a:ea typeface="宋体" panose="02010600030101010101" charset="-122"/>
              <a:cs typeface="Times New Roman" panose="02020603050405020304" charset="0"/>
            </a:endParaRPr>
          </a:p>
        </cdr:txBody>
      </cdr:sp>
    </cdr:grpSp>
  </cdr:relSizeAnchor>
  <cdr:relSizeAnchor xmlns:cdr="http://schemas.openxmlformats.org/drawingml/2006/chartDrawing">
    <cdr:from>
      <cdr:x>0.23892</cdr:x>
      <cdr:y>0.50594</cdr:y>
    </cdr:from>
    <cdr:to>
      <cdr:x>0.41468</cdr:x>
      <cdr:y>0.78159</cdr:y>
    </cdr:to>
    <cdr:grpSp>
      <cdr:nvGrpSpPr>
        <cdr:cNvPr id="5" name="组合 4"/>
        <cdr:cNvGrpSpPr/>
      </cdr:nvGrpSpPr>
      <cdr:grpSpPr xmlns:a="http://schemas.openxmlformats.org/drawingml/2006/main">
        <a:xfrm rot="1783323">
          <a:off x="1478607" y="1478493"/>
          <a:ext cx="1087728" cy="805524"/>
          <a:chOff x="3056630" y="1688526"/>
          <a:chExt cx="860779" cy="814928"/>
        </a:xfrm>
      </cdr:grpSpPr>
      <cdr:cxnSp>
        <cdr:nvCxnSpPr>
          <cdr:cNvPr id="6" name="直接箭头连接符 5"/>
          <cdr:cNvCxnSpPr/>
        </cdr:nvCxnSpPr>
        <cdr:spPr xmlns:a="http://schemas.openxmlformats.org/drawingml/2006/main">
          <a:xfrm xmlns:a="http://schemas.openxmlformats.org/drawingml/2006/main" rot="19816677" flipV="1">
            <a:off x="3056630" y="1780104"/>
            <a:ext cx="860779" cy="560852"/>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8230322">
            <a:off x="3051620" y="2008392"/>
            <a:ext cx="814928" cy="175195"/>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solidFill>
                  <a:sysClr val="windowText" lastClr="000000"/>
                </a:solidFill>
                <a:latin typeface="Times New Roman" panose="02020603050405020304" charset="0"/>
                <a:cs typeface="Times New Roman" panose="02020603050405020304" charset="0"/>
              </a:rPr>
              <a:t>7.9%</a:t>
            </a:r>
            <a:endParaRPr lang="zh-CN">
              <a:solidFill>
                <a:sysClr val="windowText" lastClr="000000"/>
              </a:solidFill>
              <a:latin typeface="Times New Roman" panose="02020603050405020304" charset="0"/>
              <a:cs typeface="Times New Roman" panose="02020603050405020304" charset="0"/>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3C1D2F-00D0-418A-B1C7-FD19B4427FEA}">
  <ds:schemaRefs/>
</ds:datastoreItem>
</file>

<file path=docProps/app.xml><?xml version="1.0" encoding="utf-8"?>
<Properties xmlns="http://schemas.openxmlformats.org/officeDocument/2006/extended-properties" xmlns:vt="http://schemas.openxmlformats.org/officeDocument/2006/docPropsVTypes">
  <Template>Normal</Template>
  <Pages>7</Pages>
  <Words>334</Words>
  <Characters>1910</Characters>
  <Lines>15</Lines>
  <Paragraphs>4</Paragraphs>
  <TotalTime>44</TotalTime>
  <ScaleCrop>false</ScaleCrop>
  <LinksUpToDate>false</LinksUpToDate>
  <CharactersWithSpaces>2240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2024-01-23T06:16:00Z</dcterms:created>
  <dc:creator>yangj</dc:creator>
  <cp:lastModifiedBy>Administrator</cp:lastModifiedBy>
  <dcterms:modified xsi:type="dcterms:W3CDTF">2024-04-22T07:19:49Z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109A387F085B488985A19F4A6F105A3F_13</vt:lpwstr>
  </property>
</Properties>
</file>