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5D5715" w14:textId="5E0EB639" w:rsidR="00347A61" w:rsidRPr="001763C6" w:rsidRDefault="003B44CB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农业用二氧化碳发生器</w:t>
      </w:r>
      <w:r w:rsidR="00CA0DA4">
        <w:rPr>
          <w:rFonts w:hint="eastAsia"/>
          <w:lang w:eastAsia="zh-CN"/>
        </w:rPr>
        <w:t>全球市场总体规模</w:t>
      </w:r>
    </w:p>
    <w:p w14:paraId="7A6570BD" w14:textId="43E92773" w:rsidR="00971529" w:rsidRDefault="00BA55AC" w:rsidP="00DF134C">
      <w:pPr>
        <w:pStyle w:val="-"/>
        <w:rPr>
          <w:lang w:eastAsia="zh-CN"/>
        </w:rPr>
      </w:pPr>
      <w:r w:rsidRPr="00BA55AC">
        <w:rPr>
          <w:rFonts w:hint="eastAsia"/>
          <w:lang w:eastAsia="zh-CN"/>
        </w:rPr>
        <w:t>二氧化碳</w:t>
      </w:r>
      <w:r w:rsidRPr="00BA55AC">
        <w:rPr>
          <w:rFonts w:hint="eastAsia"/>
          <w:lang w:eastAsia="zh-CN"/>
        </w:rPr>
        <w:t xml:space="preserve"> (CO2) </w:t>
      </w:r>
      <w:r w:rsidRPr="00BA55AC">
        <w:rPr>
          <w:rFonts w:hint="eastAsia"/>
          <w:lang w:eastAsia="zh-CN"/>
        </w:rPr>
        <w:t>发生器系统燃烧天然气</w:t>
      </w:r>
      <w:r w:rsidRPr="00BA55AC">
        <w:rPr>
          <w:rFonts w:hint="eastAsia"/>
          <w:lang w:eastAsia="zh-CN"/>
        </w:rPr>
        <w:t xml:space="preserve"> (NG) </w:t>
      </w:r>
      <w:r w:rsidRPr="00BA55AC">
        <w:rPr>
          <w:rFonts w:hint="eastAsia"/>
          <w:lang w:eastAsia="zh-CN"/>
        </w:rPr>
        <w:t>或丙烷</w:t>
      </w:r>
      <w:r w:rsidRPr="00BA55AC">
        <w:rPr>
          <w:rFonts w:hint="eastAsia"/>
          <w:lang w:eastAsia="zh-CN"/>
        </w:rPr>
        <w:t xml:space="preserve"> (LP) </w:t>
      </w:r>
      <w:r w:rsidRPr="00BA55AC">
        <w:rPr>
          <w:rFonts w:hint="eastAsia"/>
          <w:lang w:eastAsia="zh-CN"/>
        </w:rPr>
        <w:t>来产生二氧化碳。</w:t>
      </w:r>
      <w:r w:rsidRPr="00BA55AC">
        <w:rPr>
          <w:rFonts w:hint="eastAsia"/>
          <w:lang w:eastAsia="zh-CN"/>
        </w:rPr>
        <w:t xml:space="preserve"> </w:t>
      </w:r>
      <w:r w:rsidRPr="00BA55AC">
        <w:rPr>
          <w:rFonts w:hint="eastAsia"/>
          <w:lang w:eastAsia="zh-CN"/>
        </w:rPr>
        <w:t>燃烧这些燃料在燃烧过程中会产生二氧化碳、热量和水分。</w:t>
      </w:r>
    </w:p>
    <w:p w14:paraId="43E4AD38" w14:textId="297A84E6" w:rsidR="005E7C7B" w:rsidRDefault="00DB0C14" w:rsidP="00DF134C">
      <w:pPr>
        <w:pStyle w:val="-"/>
        <w:rPr>
          <w:lang w:eastAsia="zh-CN"/>
        </w:rPr>
      </w:pPr>
      <w:r>
        <w:rPr>
          <w:rFonts w:hint="eastAsia"/>
          <w:lang w:eastAsia="zh-CN"/>
        </w:rPr>
        <w:t>根据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最新调研报告显示，</w:t>
      </w:r>
      <w:r w:rsidR="00971529">
        <w:rPr>
          <w:rFonts w:hint="eastAsia"/>
          <w:lang w:eastAsia="zh-CN"/>
        </w:rPr>
        <w:t>预计</w:t>
      </w:r>
      <w:r w:rsidR="00971529">
        <w:rPr>
          <w:rFonts w:hint="eastAsia"/>
          <w:lang w:eastAsia="zh-CN"/>
        </w:rPr>
        <w:t>2</w:t>
      </w:r>
      <w:r w:rsidR="00971529">
        <w:rPr>
          <w:lang w:eastAsia="zh-CN"/>
        </w:rPr>
        <w:t>029</w:t>
      </w:r>
      <w:r w:rsidR="00971529">
        <w:rPr>
          <w:rFonts w:hint="eastAsia"/>
          <w:lang w:eastAsia="zh-CN"/>
        </w:rPr>
        <w:t>年全球</w:t>
      </w:r>
      <w:r w:rsidR="003B44CB">
        <w:rPr>
          <w:lang w:eastAsia="zh-CN"/>
        </w:rPr>
        <w:t>农业用二氧化碳发生器</w:t>
      </w:r>
      <w:r w:rsidR="00971529">
        <w:rPr>
          <w:rFonts w:hint="eastAsia"/>
          <w:lang w:eastAsia="zh-CN"/>
        </w:rPr>
        <w:t>市场规模将达到</w:t>
      </w:r>
      <w:r w:rsidR="003B44CB">
        <w:rPr>
          <w:lang w:eastAsia="zh-CN"/>
        </w:rPr>
        <w:t>1.47</w:t>
      </w:r>
      <w:r w:rsidR="00A8250D">
        <w:rPr>
          <w:rFonts w:hint="eastAsia"/>
          <w:lang w:eastAsia="zh-CN"/>
        </w:rPr>
        <w:t>亿</w:t>
      </w:r>
      <w:r w:rsidR="00971529">
        <w:rPr>
          <w:rFonts w:hint="eastAsia"/>
          <w:lang w:eastAsia="zh-CN"/>
        </w:rPr>
        <w:t>美元，未来几年年复合增长率</w:t>
      </w:r>
      <w:r w:rsidR="00971529">
        <w:rPr>
          <w:rFonts w:hint="eastAsia"/>
          <w:lang w:eastAsia="zh-CN"/>
        </w:rPr>
        <w:t>CAGR</w:t>
      </w:r>
      <w:r w:rsidR="00971529">
        <w:rPr>
          <w:rFonts w:hint="eastAsia"/>
          <w:lang w:eastAsia="zh-CN"/>
        </w:rPr>
        <w:t>为</w:t>
      </w:r>
      <w:r w:rsidR="003B44CB">
        <w:rPr>
          <w:lang w:eastAsia="zh-CN"/>
        </w:rPr>
        <w:t>3.9</w:t>
      </w:r>
      <w:r w:rsidR="00971529">
        <w:rPr>
          <w:rFonts w:hint="eastAsia"/>
          <w:lang w:eastAsia="zh-CN"/>
        </w:rPr>
        <w:t>%</w:t>
      </w:r>
      <w:r w:rsidR="00971529">
        <w:rPr>
          <w:rFonts w:hint="eastAsia"/>
          <w:lang w:eastAsia="zh-CN"/>
        </w:rPr>
        <w:t>。</w:t>
      </w:r>
    </w:p>
    <w:p w14:paraId="4D38E3C6" w14:textId="757CB800" w:rsidR="005E7C7B" w:rsidRDefault="003B44CB" w:rsidP="00631307">
      <w:pPr>
        <w:pStyle w:val="FigureStyle"/>
        <w:rPr>
          <w:lang w:eastAsia="zh-CN"/>
        </w:rPr>
      </w:pPr>
      <w:r>
        <w:rPr>
          <w:rFonts w:hint="eastAsia"/>
          <w:lang w:eastAsia="zh-CN"/>
        </w:rPr>
        <w:t>农业用二氧化碳发生器</w:t>
      </w:r>
      <w:r w:rsidR="00631307" w:rsidRPr="00631307">
        <w:rPr>
          <w:rFonts w:hint="eastAsia"/>
          <w:lang w:eastAsia="zh-CN"/>
        </w:rPr>
        <w:t>产品</w:t>
      </w:r>
    </w:p>
    <w:p w14:paraId="5C7338B2" w14:textId="767649D0" w:rsidR="00631307" w:rsidRDefault="003B44CB" w:rsidP="00DF134C">
      <w:pPr>
        <w:pStyle w:val="-"/>
        <w:rPr>
          <w:lang w:eastAsia="zh-CN"/>
        </w:rPr>
      </w:pPr>
      <w:r>
        <w:rPr>
          <w:noProof/>
        </w:rPr>
        <w:drawing>
          <wp:inline distT="0" distB="0" distL="0" distR="0" wp14:anchorId="32FAB1AA" wp14:editId="3233F5C0">
            <wp:extent cx="1440000" cy="2206800"/>
            <wp:effectExtent l="0" t="0" r="8255" b="3175"/>
            <wp:docPr id="3622889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28898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220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C2722" w14:textId="755EADFB" w:rsidR="00347A61" w:rsidRDefault="003B44CB" w:rsidP="000A1AB9">
      <w:pPr>
        <w:pStyle w:val="FigureStyle"/>
        <w:rPr>
          <w:lang w:eastAsia="zh-CN"/>
        </w:rPr>
      </w:pPr>
      <w:r>
        <w:rPr>
          <w:lang w:eastAsia="zh-CN"/>
        </w:rPr>
        <w:t>农业用二氧化碳发生器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1395A0AB" w:rsidR="00347A61" w:rsidRDefault="000E7E33" w:rsidP="00347A61">
      <w:pPr>
        <w:pStyle w:val="-"/>
      </w:pPr>
      <w:r>
        <w:rPr>
          <w:noProof/>
        </w:rPr>
        <w:drawing>
          <wp:inline distT="0" distB="0" distL="0" distR="0" wp14:anchorId="6E41832E" wp14:editId="5B2C9001">
            <wp:extent cx="6188710" cy="2922270"/>
            <wp:effectExtent l="0" t="0" r="2540" b="0"/>
            <wp:docPr id="70551932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1BB02D86-AFE2-B421-A436-D0973B38020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48964BA" w14:textId="212616EB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3B44CB">
        <w:rPr>
          <w:lang w:eastAsia="zh-CN"/>
        </w:rPr>
        <w:t>农业用二氧化碳发生器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12FD9BEF" w14:textId="77777777" w:rsidR="00527DEE" w:rsidRPr="00BF5880" w:rsidRDefault="00527DEE" w:rsidP="00BF5880">
      <w:pPr>
        <w:pStyle w:val="-"/>
        <w:rPr>
          <w:lang w:eastAsia="zh-CN"/>
        </w:rPr>
      </w:pPr>
    </w:p>
    <w:p w14:paraId="720E31E2" w14:textId="62291CF2" w:rsidR="004721C4" w:rsidRPr="001763C6" w:rsidRDefault="00A023BF" w:rsidP="00B44D1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t>全球</w:t>
      </w:r>
      <w:r w:rsidR="003B44CB">
        <w:rPr>
          <w:lang w:eastAsia="zh-CN"/>
        </w:rPr>
        <w:t>农业用二氧化碳发生器</w:t>
      </w:r>
      <w:r w:rsidR="007237AB">
        <w:rPr>
          <w:rFonts w:hint="eastAsia"/>
          <w:lang w:eastAsia="zh-CN"/>
        </w:rPr>
        <w:t>市场</w:t>
      </w:r>
      <w:r w:rsidR="00AF272F">
        <w:rPr>
          <w:rFonts w:hint="eastAsia"/>
          <w:lang w:eastAsia="zh-CN"/>
        </w:rPr>
        <w:t>前</w:t>
      </w:r>
      <w:r w:rsidR="0061456E">
        <w:rPr>
          <w:rFonts w:hint="eastAsia"/>
          <w:lang w:eastAsia="zh-CN"/>
        </w:rPr>
        <w:t>十</w:t>
      </w:r>
      <w:r w:rsidR="001052F0">
        <w:rPr>
          <w:rFonts w:hint="eastAsia"/>
          <w:lang w:eastAsia="zh-CN"/>
        </w:rPr>
        <w:t>强生产商排名及市场占有率</w:t>
      </w:r>
      <w:r w:rsidR="00FA2DF1" w:rsidRPr="00FA2DF1">
        <w:rPr>
          <w:rFonts w:hint="eastAsia"/>
          <w:lang w:eastAsia="zh-CN"/>
        </w:rPr>
        <w:t>（</w:t>
      </w:r>
      <w:r w:rsidR="00497B39">
        <w:rPr>
          <w:rFonts w:hint="eastAsia"/>
          <w:lang w:eastAsia="zh-CN"/>
        </w:rPr>
        <w:t>基于</w:t>
      </w:r>
      <w:r w:rsidR="00497B39">
        <w:rPr>
          <w:rFonts w:hint="eastAsia"/>
          <w:lang w:eastAsia="zh-CN"/>
        </w:rPr>
        <w:t>2</w:t>
      </w:r>
      <w:r w:rsidR="00497B39">
        <w:rPr>
          <w:lang w:eastAsia="zh-CN"/>
        </w:rPr>
        <w:t>022</w:t>
      </w:r>
      <w:r w:rsidR="00497B39">
        <w:rPr>
          <w:rFonts w:hint="eastAsia"/>
          <w:lang w:eastAsia="zh-CN"/>
        </w:rPr>
        <w:t>年调研数据；目前最新数据以本公司最新调研数据为准</w:t>
      </w:r>
      <w:r w:rsidR="00FA2DF1" w:rsidRPr="00FA2DF1">
        <w:rPr>
          <w:rFonts w:hint="eastAsia"/>
          <w:lang w:eastAsia="zh-CN"/>
        </w:rPr>
        <w:t>）</w:t>
      </w:r>
    </w:p>
    <w:p w14:paraId="73D0272A" w14:textId="4CE9661B" w:rsidR="008D51C6" w:rsidRPr="008D51C6" w:rsidRDefault="001B1A4C" w:rsidP="008D51C6"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75A741A1" wp14:editId="77E2A539">
            <wp:extent cx="4572635" cy="4109085"/>
            <wp:effectExtent l="0" t="0" r="0" b="5715"/>
            <wp:docPr id="66633235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4109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 w14:textId="2A16FFA3" w:rsidR="004721C4" w:rsidRDefault="003174BC" w:rsidP="004721C4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报告“</w:t>
      </w:r>
      <w:r w:rsidRPr="00775B01">
        <w:rPr>
          <w:rFonts w:hint="eastAsia"/>
          <w:lang w:eastAsia="zh-CN"/>
        </w:rPr>
        <w:t>全球</w:t>
      </w:r>
      <w:r w:rsidR="003B44CB">
        <w:rPr>
          <w:lang w:eastAsia="zh-CN"/>
        </w:rPr>
        <w:t>农业用二氧化碳发生器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 w:rsidR="009D6BBB">
        <w:rPr>
          <w:rFonts w:hint="eastAsia"/>
          <w:lang w:eastAsia="zh-CN"/>
        </w:rPr>
        <w:t>，排名基于</w:t>
      </w:r>
      <w:r w:rsidR="009D6BBB">
        <w:rPr>
          <w:rFonts w:hint="eastAsia"/>
          <w:lang w:eastAsia="zh-CN"/>
        </w:rPr>
        <w:t>2</w:t>
      </w:r>
      <w:r w:rsidR="009D6BBB">
        <w:rPr>
          <w:lang w:eastAsia="zh-CN"/>
        </w:rPr>
        <w:t>022</w:t>
      </w:r>
      <w:r w:rsidR="009D6BBB">
        <w:rPr>
          <w:rFonts w:hint="eastAsia"/>
          <w:lang w:eastAsia="zh-CN"/>
        </w:rPr>
        <w:t>数据。</w:t>
      </w:r>
      <w:r w:rsidR="007120A6">
        <w:rPr>
          <w:rFonts w:hint="eastAsia"/>
          <w:lang w:eastAsia="zh-CN"/>
        </w:rPr>
        <w:t>目前最新数据，以本公司最新调研数据为准。</w:t>
      </w:r>
    </w:p>
    <w:p w14:paraId="4E9E8282" w14:textId="0BCCF2FE" w:rsidR="007F61D5" w:rsidRPr="00D209D7" w:rsidRDefault="00F574B3" w:rsidP="00D209D7"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 w:eastAsia="en-US"/>
        </w:rPr>
      </w:pP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根据</w:t>
      </w:r>
      <w:proofErr w:type="spellStart"/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QYResearch</w:t>
      </w:r>
      <w:proofErr w:type="spellEnd"/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头部企业研究中心调研，全球范围内农业用二氧化碳发生器生产商主要包括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Titan Controls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、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Johnson Gas Appliance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、</w:t>
      </w:r>
      <w:proofErr w:type="spellStart"/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Hydrofarm</w:t>
      </w:r>
      <w:proofErr w:type="spellEnd"/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、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GGS Structures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、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HORCONEX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、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Van Dijk Heating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、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Hotbox International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、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Green Air Products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、山东杰诺温控设备、山东环擎信息科技等。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2022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年，全球前五大厂商占有大约</w:t>
      </w:r>
      <w:r>
        <w:rPr>
          <w:color w:val="0D0D0D" w:themeColor="text1" w:themeTint="F2"/>
          <w:kern w:val="0"/>
          <w:szCs w:val="22"/>
          <w:lang w:val="en-IN"/>
        </w:rPr>
        <w:t>53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%</w:t>
      </w:r>
      <w:r w:rsidRPr="00F574B3">
        <w:rPr>
          <w:rFonts w:hint="eastAsia"/>
          <w:color w:val="0D0D0D" w:themeColor="text1" w:themeTint="F2"/>
          <w:kern w:val="0"/>
          <w:szCs w:val="22"/>
          <w:lang w:val="en-IN"/>
        </w:rPr>
        <w:t>的市场份额。</w:t>
      </w:r>
      <w:r w:rsidR="00D209D7">
        <w:br w:type="page"/>
      </w:r>
    </w:p>
    <w:p w14:paraId="4DF67D46" w14:textId="774BE585" w:rsidR="00F83715" w:rsidRPr="001763C6" w:rsidRDefault="003B44CB" w:rsidP="00A543AC">
      <w:pPr>
        <w:pStyle w:val="FigureStyle"/>
        <w:rPr>
          <w:lang w:eastAsia="zh-CN"/>
        </w:rPr>
      </w:pPr>
      <w:r>
        <w:rPr>
          <w:lang w:eastAsia="zh-CN"/>
        </w:rPr>
        <w:lastRenderedPageBreak/>
        <w:t>农业用二氧化碳发生器</w:t>
      </w:r>
      <w:r w:rsidR="007E38D9">
        <w:rPr>
          <w:rFonts w:hint="eastAsia"/>
          <w:lang w:eastAsia="zh-CN"/>
        </w:rPr>
        <w:t>，</w:t>
      </w:r>
      <w:r w:rsidR="00AC678F">
        <w:rPr>
          <w:rFonts w:hint="eastAsia"/>
          <w:lang w:eastAsia="zh-CN"/>
        </w:rPr>
        <w:t>全球市场规模，</w:t>
      </w:r>
      <w:r w:rsidR="007E38D9">
        <w:rPr>
          <w:rFonts w:hint="eastAsia"/>
          <w:lang w:eastAsia="zh-CN"/>
        </w:rPr>
        <w:t>按产品类型细分，</w:t>
      </w:r>
      <w:r w:rsidR="004506E6" w:rsidRPr="004506E6">
        <w:rPr>
          <w:rFonts w:hint="eastAsia"/>
          <w:lang w:eastAsia="zh-CN"/>
        </w:rPr>
        <w:t>天燃气二氧化碳发生器</w:t>
      </w:r>
      <w:r w:rsidR="007E38D9">
        <w:rPr>
          <w:rFonts w:hint="eastAsia"/>
          <w:lang w:eastAsia="zh-CN"/>
        </w:rPr>
        <w:t>处于主导地位</w:t>
      </w:r>
    </w:p>
    <w:p w14:paraId="465A9E3A" w14:textId="2F9935F6" w:rsidR="00B04671" w:rsidRDefault="004506E6" w:rsidP="00423201">
      <w:pPr>
        <w:pStyle w:val="-"/>
        <w:rPr>
          <w:rFonts w:hint="eastAsia"/>
          <w:lang w:eastAsia="zh-CN"/>
        </w:rPr>
      </w:pPr>
      <w:r>
        <w:rPr>
          <w:noProof/>
          <w:lang w:eastAsia="zh-CN"/>
        </w:rPr>
        <w:drawing>
          <wp:inline distT="0" distB="0" distL="0" distR="0" wp14:anchorId="3DB737CB" wp14:editId="1B337D94">
            <wp:extent cx="6120000" cy="2793600"/>
            <wp:effectExtent l="0" t="0" r="0" b="6985"/>
            <wp:docPr id="3617450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79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6CB2D3" w14:textId="1EAD1229" w:rsidR="00F83715" w:rsidRDefault="0039526A" w:rsidP="00F837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>
        <w:rPr>
          <w:rFonts w:hint="eastAsia"/>
          <w:lang w:eastAsia="zh-CN"/>
        </w:rPr>
        <w:t>全球</w:t>
      </w:r>
      <w:r w:rsidR="003B44CB">
        <w:rPr>
          <w:lang w:eastAsia="zh-CN"/>
        </w:rPr>
        <w:t>农业用二氧化碳发生器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>
        <w:rPr>
          <w:lang w:eastAsia="zh-CN"/>
        </w:rPr>
        <w:t>.</w:t>
      </w:r>
    </w:p>
    <w:p w14:paraId="41C3E308" w14:textId="44CDF525" w:rsidR="005D0A90" w:rsidRDefault="00AC52F2" w:rsidP="00423201">
      <w:pPr>
        <w:pStyle w:val="-"/>
        <w:rPr>
          <w:lang w:eastAsia="zh-CN"/>
        </w:rPr>
      </w:pPr>
      <w:r>
        <w:rPr>
          <w:rFonts w:hint="eastAsia"/>
          <w:lang w:eastAsia="zh-CN"/>
        </w:rPr>
        <w:t>就产品类型而言，目前</w:t>
      </w:r>
      <w:r w:rsidR="004506E6">
        <w:rPr>
          <w:rFonts w:hint="eastAsia"/>
          <w:lang w:eastAsia="zh-CN"/>
        </w:rPr>
        <w:t>天燃气二氧化碳发生器</w:t>
      </w:r>
      <w:r>
        <w:rPr>
          <w:rFonts w:hint="eastAsia"/>
          <w:lang w:eastAsia="zh-CN"/>
        </w:rPr>
        <w:t>是最主要的细分产品，占据大约</w:t>
      </w:r>
      <w:r w:rsidR="004506E6">
        <w:rPr>
          <w:lang w:eastAsia="zh-CN"/>
        </w:rPr>
        <w:t>41.5%</w:t>
      </w:r>
      <w:r>
        <w:rPr>
          <w:rFonts w:hint="eastAsia"/>
          <w:lang w:eastAsia="zh-CN"/>
        </w:rPr>
        <w:t>的份额。</w:t>
      </w:r>
    </w:p>
    <w:p w14:paraId="50B8F42B" w14:textId="627C0171" w:rsidR="00BF5880" w:rsidRPr="00FE2F30" w:rsidRDefault="00FE2F30" w:rsidP="00FE2F30"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</w:rPr>
      </w:pPr>
      <w:r>
        <w:br w:type="page"/>
      </w:r>
    </w:p>
    <w:p w14:paraId="6EBB6304" w14:textId="3BA759DA" w:rsidR="00CB436B" w:rsidRPr="001763C6" w:rsidRDefault="003B44CB" w:rsidP="00092B02">
      <w:pPr>
        <w:pStyle w:val="FigureStyle"/>
        <w:rPr>
          <w:lang w:eastAsia="zh-CN"/>
        </w:rPr>
      </w:pPr>
      <w:r>
        <w:rPr>
          <w:lang w:eastAsia="zh-CN"/>
        </w:rPr>
        <w:lastRenderedPageBreak/>
        <w:t>农业用二氧化碳发生器</w:t>
      </w:r>
      <w:r w:rsidR="002823E8">
        <w:rPr>
          <w:rFonts w:hint="eastAsia"/>
          <w:lang w:eastAsia="zh-CN"/>
        </w:rPr>
        <w:t>，</w:t>
      </w:r>
      <w:r w:rsidR="00C46167">
        <w:rPr>
          <w:rFonts w:hint="eastAsia"/>
          <w:lang w:eastAsia="zh-CN"/>
        </w:rPr>
        <w:t>全球市场规模</w:t>
      </w:r>
      <w:r w:rsidR="00413456">
        <w:rPr>
          <w:rFonts w:hint="eastAsia"/>
          <w:lang w:eastAsia="zh-CN"/>
        </w:rPr>
        <w:t>，</w:t>
      </w:r>
      <w:r w:rsidR="002823E8">
        <w:rPr>
          <w:rFonts w:hint="eastAsia"/>
          <w:lang w:eastAsia="zh-CN"/>
        </w:rPr>
        <w:t>按应用细分，</w:t>
      </w:r>
      <w:r w:rsidR="00E46EAE">
        <w:rPr>
          <w:rFonts w:hint="eastAsia"/>
          <w:lang w:eastAsia="zh-CN"/>
        </w:rPr>
        <w:t>蔬菜</w:t>
      </w:r>
      <w:r w:rsidR="002823E8">
        <w:rPr>
          <w:rFonts w:hint="eastAsia"/>
          <w:lang w:eastAsia="zh-CN"/>
        </w:rPr>
        <w:t>是最大的下游市场，占有</w:t>
      </w:r>
      <w:r w:rsidR="00E46EAE">
        <w:rPr>
          <w:lang w:eastAsia="zh-CN"/>
        </w:rPr>
        <w:t>49.1%</w:t>
      </w:r>
      <w:r w:rsidR="002823E8">
        <w:rPr>
          <w:rFonts w:hint="eastAsia"/>
          <w:lang w:eastAsia="zh-CN"/>
        </w:rPr>
        <w:t>份额。</w:t>
      </w:r>
    </w:p>
    <w:p w14:paraId="51C06082" w14:textId="4F2CA5BB" w:rsidR="0005703D" w:rsidRDefault="00E46EAE" w:rsidP="00423201">
      <w:pPr>
        <w:pStyle w:val="-"/>
      </w:pPr>
      <w:r>
        <w:rPr>
          <w:noProof/>
        </w:rPr>
        <w:drawing>
          <wp:inline distT="0" distB="0" distL="0" distR="0" wp14:anchorId="68367BC3" wp14:editId="7EDEDDF5">
            <wp:extent cx="6120000" cy="2793600"/>
            <wp:effectExtent l="0" t="0" r="0" b="6985"/>
            <wp:docPr id="35348709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79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4072B4" w14:textId="470B2E59" w:rsidR="00FC3115" w:rsidRDefault="0039526A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>
        <w:rPr>
          <w:rFonts w:hint="eastAsia"/>
          <w:lang w:eastAsia="zh-CN"/>
        </w:rPr>
        <w:t>全球</w:t>
      </w:r>
      <w:r w:rsidR="003B44CB">
        <w:rPr>
          <w:lang w:eastAsia="zh-CN"/>
        </w:rPr>
        <w:t>农业用二氧化碳发生器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>
        <w:rPr>
          <w:lang w:eastAsia="zh-CN"/>
        </w:rPr>
        <w:t>.</w:t>
      </w:r>
    </w:p>
    <w:p w14:paraId="1D8555A0" w14:textId="071CD95C" w:rsidR="002B1CDF" w:rsidRDefault="002B1CDF" w:rsidP="002B1CDF">
      <w:pPr>
        <w:pStyle w:val="-"/>
        <w:rPr>
          <w:lang w:eastAsia="zh-CN"/>
        </w:rPr>
      </w:pPr>
      <w:r>
        <w:rPr>
          <w:rFonts w:hint="eastAsia"/>
          <w:lang w:eastAsia="zh-CN"/>
        </w:rPr>
        <w:t>就产品类型而言，目前</w:t>
      </w:r>
      <w:r w:rsidR="00E46EAE">
        <w:rPr>
          <w:rFonts w:hint="eastAsia"/>
          <w:lang w:eastAsia="zh-CN"/>
        </w:rPr>
        <w:t>蔬菜</w:t>
      </w:r>
      <w:r>
        <w:rPr>
          <w:rFonts w:hint="eastAsia"/>
          <w:lang w:eastAsia="zh-CN"/>
        </w:rPr>
        <w:t>是最</w:t>
      </w:r>
      <w:r w:rsidR="00E574FD">
        <w:rPr>
          <w:rFonts w:hint="eastAsia"/>
          <w:lang w:eastAsia="zh-CN"/>
        </w:rPr>
        <w:t>主要的需求来源</w:t>
      </w:r>
      <w:r>
        <w:rPr>
          <w:rFonts w:hint="eastAsia"/>
          <w:lang w:eastAsia="zh-CN"/>
        </w:rPr>
        <w:t>，占据大约</w:t>
      </w:r>
      <w:r w:rsidR="00E46EAE">
        <w:rPr>
          <w:lang w:eastAsia="zh-CN"/>
        </w:rPr>
        <w:t>49.1%</w:t>
      </w:r>
      <w:r>
        <w:rPr>
          <w:rFonts w:hint="eastAsia"/>
          <w:lang w:eastAsia="zh-CN"/>
        </w:rPr>
        <w:t>的份额。</w:t>
      </w:r>
    </w:p>
    <w:p w14:paraId="37AFBE2F" w14:textId="4E70404C" w:rsidR="00C45D79" w:rsidRDefault="00C45D79" w:rsidP="00423201">
      <w:pPr>
        <w:pStyle w:val="-"/>
        <w:rPr>
          <w:lang w:val="en-US" w:eastAsia="zh-CN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4180AC1B" w14:textId="19C06728" w:rsidR="000518D6" w:rsidRPr="00D209D7" w:rsidRDefault="00D209D7" w:rsidP="00D209D7"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 w:eastAsia="en-US"/>
        </w:rPr>
      </w:pPr>
      <w:r>
        <w:br w:type="page"/>
      </w:r>
    </w:p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3"/>
      <w:headerReference w:type="default" r:id="rId14"/>
      <w:footerReference w:type="default" r:id="rId15"/>
      <w:headerReference w:type="first" r:id="rId16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D9C81A" w14:textId="77777777" w:rsidR="00A735E3" w:rsidRDefault="00A735E3" w:rsidP="00AD7B8C">
      <w:r>
        <w:separator/>
      </w:r>
    </w:p>
  </w:endnote>
  <w:endnote w:type="continuationSeparator" w:id="0">
    <w:p w14:paraId="6A02BD2B" w14:textId="77777777" w:rsidR="00A735E3" w:rsidRDefault="00A735E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panose1 w:val="00000000000000000000"/>
    <w:charset w:val="00"/>
    <w:family w:val="roman"/>
    <w:notTrueType/>
    <w:pitch w:val="default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8841AD" w14:textId="65FAF3E4" w:rsidR="00724527" w:rsidRPr="00724527" w:rsidRDefault="00724527" w:rsidP="00E1346C">
    <w:pPr>
      <w:pStyle w:val="a5"/>
      <w:jc w:val="center"/>
    </w:pPr>
    <w:bookmarkStart w:id="13" w:name="_Hlk149300687"/>
    <w:bookmarkStart w:id="14" w:name="_Hlk149300688"/>
    <w:bookmarkStart w:id="15" w:name="_Hlk149300689"/>
    <w:bookmarkStart w:id="16" w:name="_Hlk149300690"/>
    <w:bookmarkStart w:id="17" w:name="_Hlk149300691"/>
    <w:bookmarkStart w:id="18" w:name="_Hlk149300692"/>
    <w:r w:rsidRPr="00724527">
      <w:t xml:space="preserve">Copyright © </w:t>
    </w:r>
    <w:proofErr w:type="spellStart"/>
    <w:r w:rsidRPr="00724527">
      <w:t>QYResearch</w:t>
    </w:r>
    <w:proofErr w:type="spellEnd"/>
    <w:r w:rsidRPr="00724527">
      <w:t xml:space="preserve"> | market@qyresearch.com | </w:t>
    </w:r>
    <w:bookmarkEnd w:id="13"/>
    <w:bookmarkEnd w:id="14"/>
    <w:bookmarkEnd w:id="15"/>
    <w:bookmarkEnd w:id="16"/>
    <w:bookmarkEnd w:id="17"/>
    <w:bookmarkEnd w:id="18"/>
    <w:r w:rsidR="00652831" w:rsidRPr="00652831"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C9F37" w14:textId="77777777" w:rsidR="00A735E3" w:rsidRDefault="00A735E3" w:rsidP="00AD7B8C">
      <w:r>
        <w:separator/>
      </w:r>
    </w:p>
  </w:footnote>
  <w:footnote w:type="continuationSeparator" w:id="0">
    <w:p w14:paraId="23F71AA7" w14:textId="77777777" w:rsidR="00A735E3" w:rsidRDefault="00A735E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39A2F" w14:textId="77777777" w:rsidR="00190492" w:rsidRDefault="00000000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1032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5F360" w14:textId="77777777" w:rsidR="00724527" w:rsidRDefault="00724527" w:rsidP="008049CD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349F1C3C" wp14:editId="570AF52C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5A6C8ED8" wp14:editId="11B0E9F6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3B219885" w14:textId="77777777" w:rsidR="00724527" w:rsidRPr="00A53AE9" w:rsidRDefault="00724527" w:rsidP="007245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6C8ED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3B219885" w14:textId="77777777" w:rsidR="00724527" w:rsidRPr="00A53AE9" w:rsidRDefault="00724527" w:rsidP="007245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77C6B204" w14:textId="77777777" w:rsidR="00724527" w:rsidRDefault="00724527" w:rsidP="008049CD">
    <w:pPr>
      <w:pStyle w:val="a3"/>
      <w:pBdr>
        <w:bottom w:val="none" w:sz="0" w:space="0" w:color="auto"/>
      </w:pBdr>
      <w:jc w:val="both"/>
    </w:pPr>
  </w:p>
  <w:p w14:paraId="1CA8454E" w14:textId="77777777" w:rsidR="00724527" w:rsidRDefault="00724527" w:rsidP="008049CD">
    <w:pPr>
      <w:pStyle w:val="a3"/>
      <w:pBdr>
        <w:bottom w:val="none" w:sz="0" w:space="0" w:color="auto"/>
      </w:pBdr>
      <w:jc w:val="both"/>
    </w:pPr>
  </w:p>
  <w:p w14:paraId="7E7792EE" w14:textId="77777777" w:rsidR="00724527" w:rsidRDefault="00724527" w:rsidP="008049CD">
    <w:pPr>
      <w:pStyle w:val="a3"/>
      <w:pBdr>
        <w:bottom w:val="none" w:sz="0" w:space="0" w:color="auto"/>
      </w:pBdr>
      <w:jc w:val="both"/>
    </w:pPr>
  </w:p>
  <w:p w14:paraId="3D55DE52" w14:textId="77777777" w:rsidR="00724527" w:rsidRPr="00724527" w:rsidRDefault="00724527" w:rsidP="008049CD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6DDD5" w14:textId="77777777" w:rsidR="00190492" w:rsidRDefault="00000000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1031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43939000">
    <w:abstractNumId w:val="2"/>
  </w:num>
  <w:num w:numId="2" w16cid:durableId="653026750">
    <w:abstractNumId w:val="4"/>
  </w:num>
  <w:num w:numId="3" w16cid:durableId="2093812329">
    <w:abstractNumId w:val="10"/>
  </w:num>
  <w:num w:numId="4" w16cid:durableId="1393652170">
    <w:abstractNumId w:val="8"/>
  </w:num>
  <w:num w:numId="5" w16cid:durableId="862937884">
    <w:abstractNumId w:val="17"/>
  </w:num>
  <w:num w:numId="6" w16cid:durableId="127865359">
    <w:abstractNumId w:val="12"/>
  </w:num>
  <w:num w:numId="7" w16cid:durableId="1277055577">
    <w:abstractNumId w:val="5"/>
  </w:num>
  <w:num w:numId="8" w16cid:durableId="613907010">
    <w:abstractNumId w:val="3"/>
  </w:num>
  <w:num w:numId="9" w16cid:durableId="457988488">
    <w:abstractNumId w:val="16"/>
  </w:num>
  <w:num w:numId="10" w16cid:durableId="746001525">
    <w:abstractNumId w:val="6"/>
  </w:num>
  <w:num w:numId="11" w16cid:durableId="509175287">
    <w:abstractNumId w:val="1"/>
  </w:num>
  <w:num w:numId="12" w16cid:durableId="1411924375">
    <w:abstractNumId w:val="13"/>
  </w:num>
  <w:num w:numId="13" w16cid:durableId="1610163607">
    <w:abstractNumId w:val="18"/>
  </w:num>
  <w:num w:numId="14" w16cid:durableId="691421201">
    <w:abstractNumId w:val="14"/>
  </w:num>
  <w:num w:numId="15" w16cid:durableId="687294188">
    <w:abstractNumId w:val="11"/>
  </w:num>
  <w:num w:numId="16" w16cid:durableId="719325328">
    <w:abstractNumId w:val="0"/>
  </w:num>
  <w:num w:numId="17" w16cid:durableId="1844659022">
    <w:abstractNumId w:val="7"/>
  </w:num>
  <w:num w:numId="18" w16cid:durableId="2113668191">
    <w:abstractNumId w:val="9"/>
  </w:num>
  <w:num w:numId="19" w16cid:durableId="1109661366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36E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1A4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36E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4CB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A39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6E6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B39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0DC5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56E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30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04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0A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BBB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3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72F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5AC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5E4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65F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9D7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6EAE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2925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4B3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F30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TOC1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TOC2">
    <w:name w:val="toc 2"/>
    <w:basedOn w:val="Boldtext1"/>
    <w:next w:val="Boldtext1"/>
    <w:link w:val="TOC20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TOC3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3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4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1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5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5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6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7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8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9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9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3">
    <w:name w:val="样式 标题 5 + (中文) 宋体"/>
    <w:basedOn w:val="5"/>
    <w:rsid w:val="00AD7B8C"/>
  </w:style>
  <w:style w:type="character" w:customStyle="1" w:styleId="13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TOC4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a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a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b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c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c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d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d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e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417AEB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417AEB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表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TOC20">
    <w:name w:val="TOC 2 字符"/>
    <w:basedOn w:val="a0"/>
    <w:link w:val="TOC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5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3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4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4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7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7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styleId="afff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I:\&#25490;&#21517;%20&#35266;&#28857;&#20889;&#20316;\&#35266;&#28857;&#25968;&#25454;&#22270;&#34920;&#27169;&#26495;-&#20840;&#29699;20230925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8" charset="0"/>
              </a:rPr>
              <a:t>Global Market Size ($ Mn)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2.5488425925925925E-2"/>
          <c:y val="0.13144084967320263"/>
          <c:w val="0.93728395061728398"/>
          <c:h val="0.7930303921568627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45</c:v>
                </c:pt>
                <c:pt idx="1">
                  <c:v>88</c:v>
                </c:pt>
                <c:pt idx="2">
                  <c:v>166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FE4-49D4-A479-235CFF1DF9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0.54734</cdr:x>
      <cdr:y>0.17465</cdr:y>
    </cdr:from>
    <cdr:to>
      <cdr:x>0.73876</cdr:x>
      <cdr:y>0.50504</cdr:y>
    </cdr:to>
    <cdr:grpSp>
      <cdr:nvGrpSpPr>
        <cdr:cNvPr id="9" name="组合 8">
          <a:extLst xmlns:a="http://schemas.openxmlformats.org/drawingml/2006/main">
            <a:ext uri="{FF2B5EF4-FFF2-40B4-BE49-F238E27FC236}">
              <a16:creationId xmlns:a16="http://schemas.microsoft.com/office/drawing/2014/main" id="{460D05EF-F234-8356-CEAE-866064CC080E}"/>
            </a:ext>
          </a:extLst>
        </cdr:cNvPr>
        <cdr:cNvGrpSpPr/>
      </cdr:nvGrpSpPr>
      <cdr:grpSpPr>
        <a:xfrm xmlns:a="http://schemas.openxmlformats.org/drawingml/2006/main" rot="439955">
          <a:off x="3387352" y="510364"/>
          <a:ext cx="1184647" cy="965509"/>
          <a:chOff x="2860153" y="1082070"/>
          <a:chExt cx="808296" cy="797129"/>
        </a:xfrm>
        <a:solidFill xmlns:a="http://schemas.openxmlformats.org/drawingml/2006/main">
          <a:srgbClr val="FFC000"/>
        </a:solidFill>
      </cdr:grpSpPr>
      <cdr:cxnSp macro="">
        <cdr:nvCxnSpPr>
          <cdr:cNvPr id="5" name="直接箭头连接符 4">
            <a:extLst xmlns:a="http://schemas.openxmlformats.org/drawingml/2006/main">
              <a:ext uri="{FF2B5EF4-FFF2-40B4-BE49-F238E27FC236}">
                <a16:creationId xmlns:a16="http://schemas.microsoft.com/office/drawing/2014/main" id="{7C0F8726-E0CE-749D-A7E8-A68034B95088}"/>
              </a:ext>
            </a:extLst>
          </cdr:cNvPr>
          <cdr:cNvCxnSpPr/>
        </cdr:nvCxnSpPr>
        <cdr:spPr>
          <a:xfrm xmlns:a="http://schemas.openxmlformats.org/drawingml/2006/main" rot="21160045" flipV="1">
            <a:off x="2860153" y="1082070"/>
            <a:ext cx="808296" cy="797129"/>
          </a:xfrm>
          <a:prstGeom xmlns:a="http://schemas.openxmlformats.org/drawingml/2006/main" prst="straightConnector1">
            <a:avLst/>
          </a:prstGeom>
          <a:grpFill xmlns:a="http://schemas.openxmlformats.org/drawingml/2006/main"/>
          <a:ln xmlns:a="http://schemas.openxmlformats.org/drawingml/2006/main"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 macro="" textlink="">
        <cdr:nvSpPr>
          <cdr:cNvPr id="7" name="椭圆 6">
            <a:extLst xmlns:a="http://schemas.openxmlformats.org/drawingml/2006/main">
              <a:ext uri="{FF2B5EF4-FFF2-40B4-BE49-F238E27FC236}">
                <a16:creationId xmlns:a16="http://schemas.microsoft.com/office/drawing/2014/main" id="{CC879612-7BE5-6DBC-CBE2-35163FEB7D18}"/>
              </a:ext>
            </a:extLst>
          </cdr:cNvPr>
          <cdr:cNvSpPr/>
        </cdr:nvSpPr>
        <cdr:spPr>
          <a:xfrm xmlns:a="http://schemas.openxmlformats.org/drawingml/2006/main" rot="18797512">
            <a:off x="2927679" y="1405657"/>
            <a:ext cx="661239" cy="185799"/>
          </a:xfrm>
          <a:prstGeom xmlns:a="http://schemas.openxmlformats.org/drawingml/2006/main" prst="ellipse">
            <a:avLst/>
          </a:prstGeom>
          <a:grpFill xmlns:a="http://schemas.openxmlformats.org/drawingml/2006/main"/>
          <a:ln xmlns:a="http://schemas.openxmlformats.org/drawingml/2006/main"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>
          <a:bodyPr xmlns:a="http://schemas.openxmlformats.org/drawingml/2006/main" vertOverflow="clip" anchor="ctr"/>
          <a:lstStyle xmlns:a="http://schemas.openxmlformats.org/drawingml/2006/main"/>
          <a:p xmlns:a="http://schemas.openxmlformats.org/drawingml/2006/main">
            <a:pPr algn="ctr"/>
            <a:r>
              <a:rPr lang="en-US" altLang="zh-CN" baseline="0">
                <a:solidFill>
                  <a:sysClr val="windowText" lastClr="000000"/>
                </a:solidFill>
                <a:latin typeface="Book Antiqua" panose="02040602050305030304" pitchFamily="18" charset="0"/>
                <a:ea typeface="宋体" panose="02010600030101010101" pitchFamily="2" charset="-122"/>
              </a:rPr>
              <a:t>3.9%</a:t>
            </a:r>
            <a:endParaRPr lang="zh-CN" baseline="0">
              <a:solidFill>
                <a:sysClr val="windowText" lastClr="000000"/>
              </a:solidFill>
              <a:latin typeface="Book Antiqua" panose="02040602050305030304" pitchFamily="18" charset="0"/>
              <a:ea typeface="宋体" panose="02010600030101010101" pitchFamily="2" charset="-122"/>
            </a:endParaRPr>
          </a:p>
        </cdr:txBody>
      </cdr:sp>
    </cdr:grpSp>
  </cdr:relSizeAnchor>
  <cdr:relSizeAnchor xmlns:cdr="http://schemas.openxmlformats.org/drawingml/2006/chartDrawing">
    <cdr:from>
      <cdr:x>0.23892</cdr:x>
      <cdr:y>0.50594</cdr:y>
    </cdr:from>
    <cdr:to>
      <cdr:x>0.41468</cdr:x>
      <cdr:y>0.78159</cdr:y>
    </cdr:to>
    <cdr:grpSp>
      <cdr:nvGrpSpPr>
        <cdr:cNvPr id="10" name="组合 9">
          <a:extLst xmlns:a="http://schemas.openxmlformats.org/drawingml/2006/main">
            <a:ext uri="{FF2B5EF4-FFF2-40B4-BE49-F238E27FC236}">
              <a16:creationId xmlns:a16="http://schemas.microsoft.com/office/drawing/2014/main" id="{6B7A3CD2-C889-3229-B21A-3FA502297347}"/>
            </a:ext>
          </a:extLst>
        </cdr:cNvPr>
        <cdr:cNvGrpSpPr/>
      </cdr:nvGrpSpPr>
      <cdr:grpSpPr>
        <a:xfrm xmlns:a="http://schemas.openxmlformats.org/drawingml/2006/main" rot="1783323">
          <a:off x="1478607" y="1478484"/>
          <a:ext cx="1087726" cy="805526"/>
          <a:chOff x="3056630" y="1688526"/>
          <a:chExt cx="860779" cy="814928"/>
        </a:xfrm>
      </cdr:grpSpPr>
      <cdr:cxnSp macro="">
        <cdr:nvCxnSpPr>
          <cdr:cNvPr id="11" name="直接箭头连接符 10">
            <a:extLst xmlns:a="http://schemas.openxmlformats.org/drawingml/2006/main">
              <a:ext uri="{FF2B5EF4-FFF2-40B4-BE49-F238E27FC236}">
                <a16:creationId xmlns:a16="http://schemas.microsoft.com/office/drawing/2014/main" id="{447CF9D2-5DA5-24EA-6BE5-BAB32B2111EE}"/>
              </a:ext>
            </a:extLst>
          </cdr:cNvPr>
          <cdr:cNvCxnSpPr/>
        </cdr:nvCxnSpPr>
        <cdr:spPr>
          <a:xfrm xmlns:a="http://schemas.openxmlformats.org/drawingml/2006/main" rot="19816677" flipV="1">
            <a:off x="3056630" y="1780104"/>
            <a:ext cx="860779" cy="560852"/>
          </a:xfrm>
          <a:prstGeom xmlns:a="http://schemas.openxmlformats.org/drawingml/2006/main" prst="straightConnector1">
            <a:avLst/>
          </a:prstGeom>
          <a:ln xmlns:a="http://schemas.openxmlformats.org/drawingml/2006/main"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 macro="" textlink="">
        <cdr:nvSpPr>
          <cdr:cNvPr id="12" name="椭圆 11">
            <a:extLst xmlns:a="http://schemas.openxmlformats.org/drawingml/2006/main">
              <a:ext uri="{FF2B5EF4-FFF2-40B4-BE49-F238E27FC236}">
                <a16:creationId xmlns:a16="http://schemas.microsoft.com/office/drawing/2014/main" id="{2D7734B5-7741-FC2B-4739-174648792318}"/>
              </a:ext>
            </a:extLst>
          </cdr:cNvPr>
          <cdr:cNvSpPr/>
        </cdr:nvSpPr>
        <cdr:spPr>
          <a:xfrm xmlns:a="http://schemas.openxmlformats.org/drawingml/2006/main" rot="18230322">
            <a:off x="3051620" y="2008392"/>
            <a:ext cx="814928" cy="175195"/>
          </a:xfrm>
          <a:prstGeom xmlns:a="http://schemas.openxmlformats.org/drawingml/2006/main" prst="ellipse">
            <a:avLst/>
          </a:prstGeom>
          <a:solidFill xmlns:a="http://schemas.openxmlformats.org/drawingml/2006/main">
            <a:srgbClr val="FFC000"/>
          </a:solidFill>
          <a:ln xmlns:a="http://schemas.openxmlformats.org/drawingml/2006/main"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>
          <a:bodyPr xmlns:a="http://schemas.openxmlformats.org/drawingml/2006/main" vertOverflow="clip" anchor="ctr"/>
          <a:lstStyle xmlns:a="http://schemas.openxmlformats.org/drawingml/2006/main"/>
          <a:p xmlns:a="http://schemas.openxmlformats.org/drawingml/2006/main">
            <a:pPr algn="ctr"/>
            <a:r>
              <a:rPr lang="en-US" altLang="zh-CN">
                <a:solidFill>
                  <a:sysClr val="windowText" lastClr="000000"/>
                </a:solidFill>
              </a:rPr>
              <a:t>3.7%</a:t>
            </a:r>
            <a:endParaRPr lang="zh-CN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9C77F-A8DE-416F-A2F8-FE3DCC1B3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681</TotalTime>
  <Pages>5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Windows 用户</cp:lastModifiedBy>
  <cp:revision>823</cp:revision>
  <dcterms:created xsi:type="dcterms:W3CDTF">2021-11-11T07:47:00Z</dcterms:created>
  <dcterms:modified xsi:type="dcterms:W3CDTF">2024-01-30T06:47:00Z</dcterms:modified>
</cp:coreProperties>
</file>