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38987549"/>
      <w:bookmarkStart w:id="1" w:name="OLE_LINK13"/>
      <w:bookmarkStart w:id="2" w:name="_Toc481801204"/>
      <w:bookmarkStart w:id="3" w:name="_Toc517262917"/>
      <w:bookmarkStart w:id="4" w:name="OLE_LINK15"/>
      <w:bookmarkStart w:id="5" w:name="_Toc415818939"/>
      <w:bookmarkStart w:id="6" w:name="_Toc453597319"/>
      <w:bookmarkStart w:id="7" w:name="_Toc415142861"/>
      <w:bookmarkStart w:id="8" w:name="OLE_LINK39"/>
      <w:bookmarkStart w:id="9" w:name="OLE_LINK40"/>
      <w:bookmarkStart w:id="10" w:name="_Toc418070112"/>
      <w:bookmarkStart w:id="11" w:name="OLE_LINK24"/>
      <w:bookmarkStart w:id="12" w:name="_Toc415143481"/>
      <w:r>
        <w:rPr>
          <w:lang w:eastAsia="zh-CN"/>
        </w:rPr>
        <w:t>水性环氧树脂</w:t>
      </w:r>
      <w:r>
        <w:rPr>
          <w:rFonts w:hint="eastAsia"/>
          <w:lang w:eastAsia="zh-CN"/>
        </w:rPr>
        <w:t>全球市场总体规模</w:t>
      </w:r>
    </w:p>
    <w:p>
      <w:pPr>
        <w:pStyle w:val="145"/>
        <w:rPr>
          <w:lang w:eastAsia="zh-CN"/>
        </w:rPr>
      </w:pPr>
    </w:p>
    <w:p>
      <w:pPr>
        <w:pStyle w:val="145"/>
        <w:rPr>
          <w:lang w:eastAsia="zh-CN"/>
        </w:rPr>
      </w:pPr>
      <w:r>
        <w:rPr>
          <w:rFonts w:hint="eastAsia"/>
          <w:lang w:eastAsia="zh-CN"/>
        </w:rPr>
        <w:t>据QYResearch调研团队最新报告“全球水性环氧树脂市场报告2023-2029”显示，预计2029年全球水性环氧树脂市场规模将达到17.2亿美元，未来几年年复合增长率CAGR为6.4%。</w:t>
      </w:r>
    </w:p>
    <w:p>
      <w:pPr>
        <w:pStyle w:val="148"/>
        <w:rPr>
          <w:lang w:eastAsia="zh-CN"/>
        </w:rPr>
      </w:pPr>
      <w:r>
        <w:rPr>
          <w:lang w:eastAsia="zh-CN"/>
        </w:rPr>
        <w:t>水性环氧树脂</w:t>
      </w:r>
      <w:r>
        <w:rPr>
          <w:rFonts w:hint="eastAsia"/>
          <w:lang w:eastAsia="zh-CN"/>
        </w:rPr>
        <w:t>，全球市场总体规模</w:t>
      </w:r>
    </w:p>
    <w:p>
      <w:pPr>
        <w:pStyle w:val="145"/>
      </w:pPr>
      <w:r>
        <w:rPr>
          <w:lang w:val="en-US" w:eastAsia="zh-CN"/>
        </w:rPr>
        <w:drawing>
          <wp:inline distT="0" distB="0" distL="0" distR="0">
            <wp:extent cx="6188710" cy="294068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水性环氧树脂</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水性环氧树脂</w:t>
      </w:r>
      <w:r>
        <w:rPr>
          <w:rFonts w:hint="eastAsia"/>
          <w:lang w:eastAsia="zh-CN"/>
        </w:rPr>
        <w:t>市场前</w:t>
      </w:r>
      <w:r>
        <w:rPr>
          <w:lang w:eastAsia="zh-CN"/>
        </w:rPr>
        <w:t>10</w:t>
      </w:r>
      <w:r>
        <w:rPr>
          <w:rFonts w:hint="eastAsia"/>
          <w:lang w:eastAsia="zh-CN"/>
        </w:rPr>
        <w:t>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如上图表/数据，摘自QYResearch报告“全球</w:t>
      </w:r>
      <w:r>
        <w:rPr>
          <w:lang w:eastAsia="zh-CN"/>
        </w:rPr>
        <w:t>水性环氧树脂</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根据QYResearch头部企业研究中心调研，全球范围内水性环氧树脂生产商主要包括Westlake、Olin Corporation、Huntsman、Kukdo、NPC、Kpb、Yyhuaxing、Sanmuchem、Allnex、Zjab等。2022年，全球前十强厂商占有大约85.0%的市场份额。</w:t>
      </w:r>
    </w:p>
    <w:p>
      <w:pPr>
        <w:pStyle w:val="145"/>
      </w:pPr>
    </w:p>
    <w:p>
      <w:pPr>
        <w:pStyle w:val="148"/>
        <w:rPr>
          <w:lang w:eastAsia="zh-CN"/>
        </w:rPr>
      </w:pPr>
      <w:r>
        <w:rPr>
          <w:lang w:eastAsia="zh-CN"/>
        </w:rPr>
        <w:t>水性环氧树脂</w:t>
      </w:r>
      <w:r>
        <w:rPr>
          <w:rFonts w:hint="eastAsia"/>
          <w:lang w:eastAsia="zh-CN"/>
        </w:rPr>
        <w:t>，全球市场规模，按产品类型细分，固体含量&lt;40%处于主导地位</w:t>
      </w:r>
    </w:p>
    <w:p>
      <w:pPr>
        <w:pStyle w:val="145"/>
        <w:rPr>
          <w:lang w:val="en-US" w:eastAsia="zh-CN"/>
        </w:rPr>
      </w:pPr>
      <w:r>
        <w:rPr>
          <w:lang w:val="en-US" w:eastAsia="zh-CN"/>
        </w:rPr>
        <w:drawing>
          <wp:inline distT="0" distB="0" distL="0" distR="0">
            <wp:extent cx="5637530" cy="2571115"/>
            <wp:effectExtent l="0" t="0" r="127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5638095" cy="2571429"/>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水性环氧树脂</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就产品类型而言，目前固体含量&lt;40%是最主要的细分产品，占据大约59.8%的份额。</w:t>
      </w:r>
    </w:p>
    <w:p>
      <w:pPr>
        <w:pStyle w:val="145"/>
        <w:rPr>
          <w:lang w:eastAsia="zh-CN"/>
        </w:rPr>
      </w:pPr>
    </w:p>
    <w:p>
      <w:pPr>
        <w:pStyle w:val="148"/>
        <w:rPr>
          <w:lang w:eastAsia="zh-CN"/>
        </w:rPr>
      </w:pPr>
      <w:r>
        <w:rPr>
          <w:lang w:eastAsia="zh-CN"/>
        </w:rPr>
        <w:t>水性环氧树脂</w:t>
      </w:r>
      <w:r>
        <w:rPr>
          <w:rFonts w:hint="eastAsia"/>
          <w:lang w:eastAsia="zh-CN"/>
        </w:rPr>
        <w:t>，全球市场规模，按应用细分，涂层是最大的下游市场，占有</w:t>
      </w:r>
      <w:r>
        <w:rPr>
          <w:lang w:eastAsia="zh-CN"/>
        </w:rPr>
        <w:t>52.9%</w:t>
      </w:r>
      <w:r>
        <w:rPr>
          <w:rFonts w:hint="eastAsia"/>
          <w:lang w:eastAsia="zh-CN"/>
        </w:rPr>
        <w:t>份额。</w:t>
      </w:r>
    </w:p>
    <w:p>
      <w:pPr>
        <w:pStyle w:val="145"/>
      </w:pPr>
      <w:r>
        <w:rPr>
          <w:lang w:val="en-US" w:eastAsia="zh-CN"/>
        </w:rPr>
        <w:drawing>
          <wp:inline distT="0" distB="0" distL="0" distR="0">
            <wp:extent cx="5989955" cy="2704465"/>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2"/>
                    <a:stretch>
                      <a:fillRect/>
                    </a:stretch>
                  </pic:blipFill>
                  <pic:spPr>
                    <a:xfrm>
                      <a:off x="0" y="0"/>
                      <a:ext cx="5990476" cy="2704762"/>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水性环氧树脂</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就产品应用而言，目前涂层是最主要的需求来源，占据大约52.9%的份额。</w:t>
      </w:r>
    </w:p>
    <w:p>
      <w:pPr>
        <w:pStyle w:val="145"/>
        <w:rPr>
          <w:lang w:eastAsia="zh-CN"/>
        </w:rPr>
      </w:pPr>
    </w:p>
    <w:p>
      <w:pPr>
        <w:pStyle w:val="148"/>
        <w:rPr>
          <w:lang w:eastAsia="zh-CN"/>
        </w:rPr>
      </w:pPr>
      <w:r>
        <w:rPr>
          <w:rFonts w:hint="eastAsia"/>
          <w:lang w:eastAsia="zh-CN"/>
        </w:rPr>
        <w:t>全球主要市场</w:t>
      </w:r>
      <w:r>
        <w:rPr>
          <w:lang w:eastAsia="zh-CN"/>
        </w:rPr>
        <w:t>水性环氧树脂</w:t>
      </w:r>
      <w:r>
        <w:rPr>
          <w:rFonts w:hint="eastAsia"/>
          <w:lang w:eastAsia="zh-CN"/>
        </w:rPr>
        <w:t>规模</w:t>
      </w:r>
    </w:p>
    <w:p>
      <w:pPr>
        <w:pStyle w:val="145"/>
        <w:rPr>
          <w:lang w:val="en-US" w:eastAsia="zh-CN"/>
        </w:rPr>
      </w:pPr>
      <w:r>
        <w:rPr>
          <w:lang w:val="en-US" w:eastAsia="zh-CN"/>
        </w:rPr>
        <w:drawing>
          <wp:inline distT="0" distB="0" distL="0" distR="0">
            <wp:extent cx="6188710" cy="2922270"/>
            <wp:effectExtent l="0" t="0" r="254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3"/>
        <w:rPr>
          <w:lang w:eastAsia="zh-CN"/>
        </w:rPr>
      </w:pPr>
      <w:r>
        <w:rPr>
          <w:rFonts w:hint="eastAsia"/>
          <w:lang w:eastAsia="zh-CN"/>
        </w:rPr>
        <w:t>如上图表/数据，摘自QYResearch最新报告“全球</w:t>
      </w:r>
      <w:r>
        <w:rPr>
          <w:lang w:eastAsia="zh-CN"/>
        </w:rPr>
        <w:t>水性环氧树脂</w:t>
      </w:r>
      <w:r>
        <w:rPr>
          <w:rFonts w:hint="eastAsia"/>
          <w:lang w:eastAsia="zh-CN"/>
        </w:rPr>
        <w:t>市场研究报告2023-2029</w:t>
      </w:r>
      <w:r>
        <w:rPr>
          <w:lang w:eastAsia="zh-CN"/>
        </w:rPr>
        <w:t>.</w:t>
      </w:r>
    </w:p>
    <w:p>
      <w:pPr>
        <w:pStyle w:val="145"/>
        <w:rPr>
          <w:lang w:eastAsia="zh-CN"/>
        </w:rPr>
      </w:pPr>
    </w:p>
    <w:p>
      <w:pPr>
        <w:pStyle w:val="145"/>
        <w:rPr>
          <w:lang w:eastAsia="zh-CN"/>
        </w:rPr>
      </w:pPr>
      <w:r>
        <w:rPr>
          <w:rFonts w:hint="eastAsia"/>
          <w:lang w:eastAsia="zh-CN"/>
        </w:rPr>
        <w:t>水性环氧树脂市场驱动因素：</w:t>
      </w:r>
    </w:p>
    <w:p>
      <w:pPr>
        <w:pStyle w:val="145"/>
        <w:rPr>
          <w:lang w:eastAsia="zh-CN"/>
        </w:rPr>
      </w:pPr>
      <w:r>
        <w:rPr>
          <w:rFonts w:hint="eastAsia"/>
          <w:lang w:eastAsia="zh-CN"/>
        </w:rPr>
        <w:t>水性环氧树脂市场由多种因素驱动，其中环境可持续性是主要驱动力。 涂料、粘合剂和复合材料等各行业向环保和低VOC（挥发性有机化合物）材料的转变推动了对水性环氧树脂的需求。 这些树脂为传统溶剂型环氧系统提供了更环保的替代品，符合严格的法规和可持续发展计划。 此外，人们对与溶剂接触相关的健康和安全问题的认识不断提高，推动了人们对水性环氧树脂的偏好，因为它们有助于创造更健康的工作环境。</w:t>
      </w:r>
    </w:p>
    <w:p>
      <w:pPr>
        <w:pStyle w:val="145"/>
        <w:rPr>
          <w:lang w:eastAsia="zh-CN"/>
        </w:rPr>
      </w:pPr>
    </w:p>
    <w:p>
      <w:pPr>
        <w:pStyle w:val="145"/>
        <w:rPr>
          <w:lang w:eastAsia="zh-CN"/>
        </w:rPr>
      </w:pPr>
      <w:r>
        <w:rPr>
          <w:rFonts w:hint="eastAsia"/>
          <w:lang w:eastAsia="zh-CN"/>
        </w:rPr>
        <w:t>水性环氧树脂市场约束：</w:t>
      </w:r>
    </w:p>
    <w:p>
      <w:pPr>
        <w:pStyle w:val="145"/>
        <w:rPr>
          <w:lang w:eastAsia="zh-CN"/>
        </w:rPr>
      </w:pPr>
      <w:r>
        <w:rPr>
          <w:rFonts w:hint="eastAsia"/>
          <w:lang w:eastAsia="zh-CN"/>
        </w:rPr>
        <w:t>与溶剂型环氧树脂体系相比，水性环氧树脂市场的一个显着限制是潜在的性能权衡。 虽然水性配方已取得显着进步，但某些应用可能仍然需要溶剂型配方提供的强大性能特征。 耐化学性较低、附着力降低或固化时间较长等挑战可能会限制水性环氧树脂在某些高性能应用中的采用。 克服这些技术限制并教育最终用户了解水性环氧树脂的优点和性能对于解决这一限制至关重要。</w:t>
      </w:r>
    </w:p>
    <w:p>
      <w:pPr>
        <w:pStyle w:val="145"/>
        <w:rPr>
          <w:lang w:eastAsia="zh-CN"/>
        </w:rPr>
      </w:pPr>
    </w:p>
    <w:p>
      <w:pPr>
        <w:pStyle w:val="145"/>
        <w:rPr>
          <w:lang w:eastAsia="zh-CN"/>
        </w:rPr>
      </w:pPr>
      <w:r>
        <w:rPr>
          <w:rFonts w:hint="eastAsia"/>
          <w:lang w:eastAsia="zh-CN"/>
        </w:rPr>
        <w:t>水性环氧树脂市场机会：</w:t>
      </w:r>
    </w:p>
    <w:p>
      <w:pPr>
        <w:pStyle w:val="145"/>
        <w:rPr>
          <w:lang w:eastAsia="zh-CN"/>
        </w:rPr>
      </w:pPr>
      <w:r>
        <w:rPr>
          <w:rFonts w:hint="eastAsia"/>
          <w:lang w:eastAsia="zh-CN"/>
        </w:rPr>
        <w:t>水性环氧树脂市场的机遇在于对可持续和绿色建筑实践的日益重视。 随着建筑行业越来越注重环保材料以满足绿色建筑标准，水性环氧树脂在地板、涂料和粘合剂中得到应用。 对环境负责的建筑实践的趋势，加上政府推广可持续建筑材料的举措，为水性环氧树脂创造了有利的市场机会。 制造商可以利用这一趋势，开发不仅符合环境标准，而且具有高性能特性的创新配方，从而扩大其在建筑和建材领域的影响力。</w:t>
      </w:r>
    </w:p>
    <w:p>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pPr>
        <w:pStyle w:val="167"/>
      </w:pPr>
      <w:r>
        <w:rPr>
          <w:rFonts w:hint="eastAsia"/>
          <w:lang w:eastAsia="zh-CN"/>
        </w:rPr>
        <w:t>本文作者</w:t>
      </w:r>
    </w:p>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9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 w:hRule="atLeast"/>
        </w:trPr>
        <w:tc>
          <w:tcPr>
            <w:tcW w:w="4120" w:type="pct"/>
            <w:vAlign w:val="center"/>
          </w:tcPr>
          <w:p>
            <w:pPr>
              <w:rPr>
                <w:rFonts w:cs="Times New Roman"/>
                <w:kern w:val="0"/>
                <w:sz w:val="20"/>
                <w:szCs w:val="20"/>
              </w:rPr>
            </w:pPr>
            <w:r>
              <w:rPr>
                <w:rFonts w:hint="eastAsia" w:cs="Times New Roman"/>
                <w:kern w:val="0"/>
                <w:sz w:val="20"/>
                <w:szCs w:val="20"/>
              </w:rPr>
              <w:t>杨敏</w:t>
            </w:r>
            <w:r>
              <w:rPr>
                <w:rFonts w:cs="Times New Roman"/>
                <w:kern w:val="0"/>
                <w:sz w:val="20"/>
                <w:szCs w:val="20"/>
              </w:rPr>
              <w:t xml:space="preserve"> – </w:t>
            </w:r>
            <w:r>
              <w:rPr>
                <w:rFonts w:hint="eastAsia" w:cs="Times New Roman"/>
                <w:kern w:val="0"/>
                <w:sz w:val="20"/>
                <w:szCs w:val="20"/>
              </w:rPr>
              <w:t>本文主要分析师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4120" w:type="pct"/>
            <w:vAlign w:val="center"/>
          </w:tcPr>
          <w:p>
            <w:pPr>
              <w:rPr>
                <w:rFonts w:cs="Times New Roman"/>
                <w:kern w:val="0"/>
                <w:sz w:val="20"/>
                <w:szCs w:val="20"/>
              </w:rPr>
            </w:pPr>
            <w:bookmarkStart w:id="19" w:name="_GoBack"/>
            <w:bookmarkEnd w:id="1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2" w:hRule="atLeast"/>
        </w:trPr>
        <w:tc>
          <w:tcPr>
            <w:tcW w:w="4120" w:type="pct"/>
            <w:vAlign w:val="center"/>
          </w:tcPr>
          <w:p>
            <w:pPr>
              <w:rPr>
                <w:rFonts w:cs="Times New Roman"/>
                <w:kern w:val="0"/>
                <w:sz w:val="20"/>
                <w:szCs w:val="20"/>
              </w:rPr>
            </w:pPr>
            <w:r>
              <w:rPr>
                <w:rFonts w:hint="eastAsia" w:cs="Times New Roman"/>
                <w:kern w:val="0"/>
                <w:sz w:val="20"/>
                <w:szCs w:val="20"/>
              </w:rPr>
              <w:t>杨敏是一位专门研究化学材料的市场高级分析师。</w:t>
            </w:r>
            <w:r>
              <w:rPr>
                <w:rFonts w:cs="Times New Roman"/>
                <w:kern w:val="0"/>
                <w:sz w:val="20"/>
                <w:szCs w:val="20"/>
              </w:rPr>
              <w:t xml:space="preserve"> </w:t>
            </w:r>
            <w:r>
              <w:rPr>
                <w:rFonts w:hint="eastAsia" w:cs="Times New Roman"/>
                <w:kern w:val="0"/>
                <w:sz w:val="20"/>
                <w:szCs w:val="20"/>
              </w:rPr>
              <w:t>拥有</w:t>
            </w:r>
            <w:r>
              <w:rPr>
                <w:rFonts w:cs="Times New Roman"/>
                <w:kern w:val="0"/>
                <w:sz w:val="20"/>
                <w:szCs w:val="20"/>
              </w:rPr>
              <w:t>8</w:t>
            </w:r>
            <w:r>
              <w:rPr>
                <w:rFonts w:hint="eastAsia" w:cs="Times New Roman"/>
                <w:kern w:val="0"/>
                <w:sz w:val="20"/>
                <w:szCs w:val="20"/>
              </w:rPr>
              <w:t>年化工原料市场分析经验，专注于化工原料和原料药。</w:t>
            </w:r>
            <w:r>
              <w:rPr>
                <w:rFonts w:cs="Times New Roman"/>
                <w:kern w:val="0"/>
                <w:sz w:val="20"/>
                <w:szCs w:val="20"/>
              </w:rPr>
              <w:t xml:space="preserve"> </w:t>
            </w:r>
            <w:r>
              <w:rPr>
                <w:rFonts w:hint="eastAsia" w:cs="Times New Roman"/>
                <w:kern w:val="0"/>
                <w:sz w:val="20"/>
                <w:szCs w:val="20"/>
              </w:rPr>
              <w:t>他从事技术和市场报告的开发，还参与定制项目。</w:t>
            </w:r>
          </w:p>
        </w:tc>
      </w:tr>
    </w:tbl>
    <w:p>
      <w:pPr>
        <w:pStyle w:val="145"/>
        <w:rPr>
          <w:lang w:val="en-US" w:eastAsia="zh-CN"/>
        </w:rPr>
      </w:pPr>
    </w:p>
    <w:p>
      <w:pPr>
        <w:pStyle w:val="145"/>
        <w:rPr>
          <w:lang w:eastAsia="zh-CN"/>
        </w:rPr>
      </w:pPr>
      <w:r>
        <w:rPr>
          <w:lang w:eastAsia="zh-CN"/>
        </w:rPr>
        <w:br w:type="page"/>
      </w:r>
    </w:p>
    <w:p>
      <w:pPr>
        <w:pStyle w:val="167"/>
        <w:rPr>
          <w:lang w:eastAsia="zh-CN"/>
        </w:rPr>
      </w:pPr>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88"/>
    <w:bookmarkStart w:id="14" w:name="_Hlk149300689"/>
    <w:bookmarkStart w:id="15" w:name="_Hlk149300690"/>
    <w:bookmarkStart w:id="16" w:name="_Hlk149300687"/>
    <w:bookmarkStart w:id="17" w:name="_Hlk149300691"/>
    <w:bookmarkStart w:id="18" w:name="_Hlk149300692"/>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C64"/>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9C7"/>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BBC"/>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0E70"/>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CB1"/>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343"/>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A8A7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uiPriority w:val="0"/>
    <w:rPr>
      <w:rFonts w:cs="宋体"/>
      <w:szCs w:val="20"/>
    </w:rPr>
  </w:style>
  <w:style w:type="paragraph" w:customStyle="1" w:styleId="107">
    <w:name w:val="样式 标题 5 + (中文) 宋体"/>
    <w:basedOn w:val="6"/>
    <w:autoRedefine/>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3.xml"/><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chartUserShapes" Target="../drawings/drawing1.xml"/><Relationship Id="rId1" Type="http://schemas.openxmlformats.org/officeDocument/2006/relationships/oleObject" Target="file:///E:\&#26032;&#38395;&#31295;\20241&#26376;&#26032;&#38395;&#31295;\&#27700;&#24615;&#29615;&#27687;&#26641;&#33026;\&#35266;&#28857;&#25968;&#25454;&#22270;&#34920;&#27169;&#26495;-&#27169;&#26495;%202023122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6032;&#38395;&#31295;\20241&#26376;&#26032;&#38395;&#31295;\&#27700;&#24615;&#29615;&#27687;&#26641;&#33026;\&#35266;&#28857;&#25968;&#25454;&#22270;&#34920;&#27169;&#26495;-&#27169;&#26495;%202023122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E:\&#26032;&#38395;&#31295;\20241&#26376;&#26032;&#38395;&#31295;\&#27700;&#24615;&#29615;&#27687;&#26641;&#33026;\&#35266;&#28857;&#25968;&#25454;&#22270;&#34920;&#27169;&#26495;-&#27169;&#26495;%20202312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全球市场规模（百万美元），</a:t>
            </a:r>
            <a:r>
              <a:rPr lang="en-US" altLang="zh-CN" sz="1100">
                <a:latin typeface="Book Antiqua" panose="02040602050305030304" pitchFamily="1" charset="0"/>
              </a:rPr>
              <a:t>2022 VS 2029</a:t>
            </a:r>
            <a:endParaRPr lang="en-US" altLang="zh-CN" sz="11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delete val="1"/>
          </c:dLbls>
          <c:cat>
            <c:numRef>
              <c:f>全球总体!$C$21:$D$21</c:f>
              <c:numCache>
                <c:formatCode>General</c:formatCode>
                <c:ptCount val="2"/>
                <c:pt idx="0">
                  <c:v>2022</c:v>
                </c:pt>
                <c:pt idx="1">
                  <c:v>2029</c:v>
                </c:pt>
              </c:numCache>
            </c:numRef>
          </c:cat>
          <c:val>
            <c:numRef>
              <c:f>全球总体!$C$22:$D$22</c:f>
              <c:numCache>
                <c:formatCode>#,##0_ </c:formatCode>
                <c:ptCount val="2"/>
                <c:pt idx="0">
                  <c:v>1133.7623</c:v>
                </c:pt>
                <c:pt idx="1">
                  <c:v>1716.11</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Lbls>
            <c:delete val="1"/>
          </c:dLbls>
          <c:cat>
            <c:strRef>
              <c:f>企业排序!$F$2:$F$25</c:f>
              <c:strCache>
                <c:ptCount val="10"/>
                <c:pt idx="0">
                  <c:v>Westlake</c:v>
                </c:pt>
                <c:pt idx="1">
                  <c:v>Olin Corporation</c:v>
                </c:pt>
                <c:pt idx="2">
                  <c:v>Huntsman</c:v>
                </c:pt>
                <c:pt idx="3">
                  <c:v>Kukdo</c:v>
                </c:pt>
                <c:pt idx="4">
                  <c:v>NPC</c:v>
                </c:pt>
                <c:pt idx="5">
                  <c:v>Kpb</c:v>
                </c:pt>
                <c:pt idx="6">
                  <c:v>Yyhuaxing</c:v>
                </c:pt>
                <c:pt idx="7">
                  <c:v>Sanmuchem</c:v>
                </c:pt>
                <c:pt idx="8">
                  <c:v>Allnex</c:v>
                </c:pt>
                <c:pt idx="9">
                  <c:v>Zjab</c:v>
                </c:pt>
              </c:strCache>
            </c:strRef>
          </c:cat>
          <c:val>
            <c:numRef>
              <c:f>企业排序!$G$2:$G$25</c:f>
              <c:numCache>
                <c:formatCode>#,##0.00_ </c:formatCode>
                <c:ptCount val="10"/>
                <c:pt idx="0">
                  <c:v>222.3333</c:v>
                </c:pt>
                <c:pt idx="1">
                  <c:v>207.0664</c:v>
                </c:pt>
                <c:pt idx="2">
                  <c:v>144.8426</c:v>
                </c:pt>
                <c:pt idx="3">
                  <c:v>135.1955</c:v>
                </c:pt>
                <c:pt idx="4">
                  <c:v>103.8953</c:v>
                </c:pt>
                <c:pt idx="5">
                  <c:v>47.4445</c:v>
                </c:pt>
                <c:pt idx="6">
                  <c:v>37.8282</c:v>
                </c:pt>
                <c:pt idx="7">
                  <c:v>36.2329</c:v>
                </c:pt>
                <c:pt idx="8">
                  <c:v>29.0462</c:v>
                </c:pt>
                <c:pt idx="9">
                  <c:v>10.2768</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亚太</c:v>
                </c:pt>
              </c:strCache>
            </c:strRef>
          </c:tx>
          <c:spPr>
            <a:solidFill>
              <a:srgbClr val="00206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'地区-消费'!$B$2:$M$2</c:f>
              <c:numCache>
                <c:formatCode>#,##0_);[Red]\(#,##0\)</c:formatCode>
                <c:ptCount val="12"/>
                <c:pt idx="0">
                  <c:v>684.6352</c:v>
                </c:pt>
                <c:pt idx="1">
                  <c:v>702.6119</c:v>
                </c:pt>
                <c:pt idx="2">
                  <c:v>578.288</c:v>
                </c:pt>
                <c:pt idx="3">
                  <c:v>895.6704</c:v>
                </c:pt>
                <c:pt idx="4">
                  <c:v>715.7223</c:v>
                </c:pt>
                <c:pt idx="5">
                  <c:v>750.6513</c:v>
                </c:pt>
                <c:pt idx="6">
                  <c:v>798.9</c:v>
                </c:pt>
                <c:pt idx="7">
                  <c:v>853.15</c:v>
                </c:pt>
                <c:pt idx="8">
                  <c:v>912.73</c:v>
                </c:pt>
                <c:pt idx="9">
                  <c:v>976.54</c:v>
                </c:pt>
                <c:pt idx="10">
                  <c:v>1046.58</c:v>
                </c:pt>
                <c:pt idx="11">
                  <c:v>1111.74</c:v>
                </c:pt>
              </c:numCache>
            </c:numRef>
          </c:val>
        </c:ser>
        <c:ser>
          <c:idx val="1"/>
          <c:order val="1"/>
          <c:tx>
            <c:strRef>
              <c:f>'地区-消费'!$A$3</c:f>
              <c:strCache>
                <c:ptCount val="1"/>
                <c:pt idx="0">
                  <c:v>北美</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'地区-消费'!$B$3:$M$3</c:f>
              <c:numCache>
                <c:formatCode>#,##0_);[Red]\(#,##0\)</c:formatCode>
                <c:ptCount val="12"/>
                <c:pt idx="0">
                  <c:v>182.38</c:v>
                </c:pt>
                <c:pt idx="1">
                  <c:v>188.73</c:v>
                </c:pt>
                <c:pt idx="2">
                  <c:v>149.84</c:v>
                </c:pt>
                <c:pt idx="3">
                  <c:v>227.4</c:v>
                </c:pt>
                <c:pt idx="4">
                  <c:v>178.23</c:v>
                </c:pt>
                <c:pt idx="5">
                  <c:v>187.71</c:v>
                </c:pt>
                <c:pt idx="6">
                  <c:v>196.56</c:v>
                </c:pt>
                <c:pt idx="7">
                  <c:v>210.08</c:v>
                </c:pt>
                <c:pt idx="8">
                  <c:v>224.96</c:v>
                </c:pt>
                <c:pt idx="9">
                  <c:v>240.27</c:v>
                </c:pt>
                <c:pt idx="10">
                  <c:v>256.18</c:v>
                </c:pt>
                <c:pt idx="11">
                  <c:v>275.55</c:v>
                </c:pt>
              </c:numCache>
            </c:numRef>
          </c:val>
        </c:ser>
        <c:ser>
          <c:idx val="2"/>
          <c:order val="2"/>
          <c:tx>
            <c:strRef>
              <c:f>'地区-消费'!$A$4</c:f>
              <c:strCache>
                <c:ptCount val="1"/>
                <c:pt idx="0">
                  <c:v>欧洲</c:v>
                </c:pt>
              </c:strCache>
            </c:strRef>
          </c:tx>
          <c:spPr>
            <a:solidFill>
              <a:srgbClr val="0070C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'地区-消费'!$B$4:$M$4</c:f>
              <c:numCache>
                <c:formatCode>#,##0_);[Red]\(#,##0\)</c:formatCode>
                <c:ptCount val="12"/>
                <c:pt idx="0">
                  <c:v>213.59</c:v>
                </c:pt>
                <c:pt idx="1">
                  <c:v>212.67</c:v>
                </c:pt>
                <c:pt idx="2">
                  <c:v>175.79</c:v>
                </c:pt>
                <c:pt idx="3">
                  <c:v>265.62</c:v>
                </c:pt>
                <c:pt idx="4">
                  <c:v>203.33</c:v>
                </c:pt>
                <c:pt idx="5">
                  <c:v>207.78</c:v>
                </c:pt>
                <c:pt idx="6">
                  <c:v>216.91</c:v>
                </c:pt>
                <c:pt idx="7">
                  <c:v>224.77</c:v>
                </c:pt>
                <c:pt idx="8">
                  <c:v>239.36</c:v>
                </c:pt>
                <c:pt idx="9">
                  <c:v>251.17</c:v>
                </c:pt>
                <c:pt idx="10">
                  <c:v>267.75</c:v>
                </c:pt>
                <c:pt idx="11">
                  <c:v>281.33</c:v>
                </c:pt>
              </c:numCache>
            </c:numRef>
          </c:val>
        </c:ser>
        <c:ser>
          <c:idx val="3"/>
          <c:order val="3"/>
          <c:tx>
            <c:strRef>
              <c:f>'地区-消费'!$A$5</c:f>
              <c:strCache>
                <c:ptCount val="1"/>
                <c:pt idx="0">
                  <c:v>南美</c:v>
                </c:pt>
              </c:strCache>
            </c:strRef>
          </c:tx>
          <c:spPr>
            <a:solidFill>
              <a:srgbClr val="FFC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'地区-消费'!$B$5:$M$5</c:f>
              <c:numCache>
                <c:formatCode>#,##0_);[Red]\(#,##0\)</c:formatCode>
                <c:ptCount val="12"/>
                <c:pt idx="0">
                  <c:v>27.84</c:v>
                </c:pt>
                <c:pt idx="1">
                  <c:v>27.65</c:v>
                </c:pt>
                <c:pt idx="2">
                  <c:v>22.21</c:v>
                </c:pt>
                <c:pt idx="3">
                  <c:v>33.56</c:v>
                </c:pt>
                <c:pt idx="4">
                  <c:v>26.13</c:v>
                </c:pt>
                <c:pt idx="5">
                  <c:v>26.39</c:v>
                </c:pt>
                <c:pt idx="6">
                  <c:v>27.49</c:v>
                </c:pt>
                <c:pt idx="7">
                  <c:v>28.77</c:v>
                </c:pt>
                <c:pt idx="8">
                  <c:v>30.05</c:v>
                </c:pt>
                <c:pt idx="9">
                  <c:v>31.25</c:v>
                </c:pt>
                <c:pt idx="10">
                  <c:v>32.04</c:v>
                </c:pt>
                <c:pt idx="11">
                  <c:v>33.62</c:v>
                </c:pt>
              </c:numCache>
            </c:numRef>
          </c:val>
        </c:ser>
        <c:ser>
          <c:idx val="4"/>
          <c:order val="4"/>
          <c:tx>
            <c:strRef>
              <c:f>'地区-消费'!$A$6</c:f>
              <c:strCache>
                <c:ptCount val="1"/>
                <c:pt idx="0">
                  <c:v>中东及非洲</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'地区-消费'!$B$6:$M$6</c:f>
              <c:numCache>
                <c:formatCode>#,##0_);[Red]\(#,##0\)</c:formatCode>
                <c:ptCount val="12"/>
                <c:pt idx="0">
                  <c:v>12.02</c:v>
                </c:pt>
                <c:pt idx="1">
                  <c:v>12.04</c:v>
                </c:pt>
                <c:pt idx="2">
                  <c:v>9.01</c:v>
                </c:pt>
                <c:pt idx="3">
                  <c:v>13.77</c:v>
                </c:pt>
                <c:pt idx="4">
                  <c:v>10.35</c:v>
                </c:pt>
                <c:pt idx="5">
                  <c:v>10.56</c:v>
                </c:pt>
                <c:pt idx="6">
                  <c:v>10.93</c:v>
                </c:pt>
                <c:pt idx="7">
                  <c:v>11.45</c:v>
                </c:pt>
                <c:pt idx="8">
                  <c:v>12.02</c:v>
                </c:pt>
                <c:pt idx="9">
                  <c:v>12.73</c:v>
                </c:pt>
                <c:pt idx="10">
                  <c:v>13.42</c:v>
                </c:pt>
                <c:pt idx="11">
                  <c:v>13.87</c:v>
                </c:pt>
              </c:numCache>
            </c:numRef>
          </c:val>
        </c:ser>
        <c:ser>
          <c:idx val="5"/>
          <c:order val="5"/>
          <c:tx>
            <c:strRef>
              <c:f>'地区-消费'!$A$7</c:f>
              <c:strCache>
                <c:ptCount val="1"/>
                <c:pt idx="0">
                  <c:v/>
                </c:pt>
              </c:strCache>
            </c:strRef>
          </c:tx>
          <c:spPr>
            <a:solidFill>
              <a:srgbClr val="C00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'地区-消费'!$B$7:$M$7</c:f>
            </c:numRef>
          </c:val>
        </c:ser>
        <c:ser>
          <c:idx val="6"/>
          <c:order val="6"/>
          <c:tx>
            <c:strRef>
              <c:f>'地区-消费'!$A$8</c:f>
              <c:strCache>
                <c:ptCount val="1"/>
                <c:pt idx="0">
                  <c:v/>
                </c:pt>
              </c:strCache>
            </c:strRef>
          </c:tx>
          <c:spPr>
            <a:solidFill>
              <a:srgbClr val="7030A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'地区-消费'!$B$8:$M$8</c:f>
            </c:numRef>
          </c:val>
        </c:ser>
        <c:ser>
          <c:idx val="7"/>
          <c:order val="7"/>
          <c:tx>
            <c:strRef>
              <c:f>'地区-消费'!$A$9</c:f>
              <c:strCache>
                <c:ptCount val="1"/>
                <c:pt idx="0">
                  <c:v/>
                </c:pt>
              </c:strCache>
            </c:strRef>
          </c:tx>
          <c:spPr>
            <a:solidFill>
              <a:schemeClr val="tx2">
                <a:lumMod val="60000"/>
                <a:lumOff val="4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'地区-消费'!$B$9:$M$9</c:f>
            </c:numRef>
          </c:val>
        </c:ser>
        <c:ser>
          <c:idx val="8"/>
          <c:order val="8"/>
          <c:tx>
            <c:strRef>
              <c:f>'地区-消费'!$A$10</c:f>
              <c:strCache>
                <c:ptCount val="1"/>
                <c:pt idx="0">
                  <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'地区-消费'!$B$10:$M$10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0.3424</cdr:x>
      <cdr:y>0.19487</cdr:y>
    </cdr:from>
    <cdr:to>
      <cdr:x>0.64472</cdr:x>
      <cdr:y>0.49438</cdr:y>
    </cdr:to>
    <cdr:grpSp>
      <cdr:nvGrpSpPr>
        <cdr:cNvPr id="2" name="组合 1"/>
        <cdr:cNvGrpSpPr/>
      </cdr:nvGrpSpPr>
      <cdr:grpSpPr xmlns:a="http://schemas.openxmlformats.org/drawingml/2006/main">
        <a:xfrm rot="439955">
          <a:off x="2119014" y="573051"/>
          <a:ext cx="1870971" cy="880765"/>
          <a:chOff x="2472076" y="803781"/>
          <a:chExt cx="1347825" cy="936531"/>
        </a:xfrm>
      </cdr:grpSpPr>
      <cdr:cxnSp>
        <cdr:nvCxnSpPr>
          <cdr:cNvPr id="3" name="直接箭头连接符 2"/>
          <cdr:cNvCxnSpPr/>
        </cdr:nvCxnSpPr>
        <cdr:spPr xmlns:a="http://schemas.openxmlformats.org/drawingml/2006/main">
          <a:xfrm xmlns:a="http://schemas.openxmlformats.org/drawingml/2006/main" rot="21160045" flipV="1">
            <a:off x="2472076" y="803781"/>
            <a:ext cx="1347825" cy="936531"/>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012677">
            <a:off x="2758732" y="1132418"/>
            <a:ext cx="491455" cy="376547"/>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latin typeface="Book Antiqua" panose="02040602050305030304" pitchFamily="1" charset="0"/>
                <a:ea typeface="宋体" panose="02010600030101010101" charset="-122"/>
              </a:rPr>
              <a:t>5.96%</a:t>
            </a:r>
            <a:endParaRPr lang="zh-CN" baseline="0">
              <a:latin typeface="Book Antiqua" panose="02040602050305030304" pitchFamily="1" charset="0"/>
              <a:ea typeface="宋体" panose="02010600030101010101" charset="-122"/>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65858E-0F3B-4F31-A76C-A87CFC9FED61}">
  <ds:schemaRefs/>
</ds:datastoreItem>
</file>

<file path=docProps/app.xml><?xml version="1.0" encoding="utf-8"?>
<Properties xmlns="http://schemas.openxmlformats.org/officeDocument/2006/extended-properties" xmlns:vt="http://schemas.openxmlformats.org/officeDocument/2006/docPropsVTypes">
  <Template>Normal.dotm</Template>
  <Pages>1</Pages>
  <Words>309</Words>
  <Characters>1763</Characters>
  <Lines>14</Lines>
  <Paragraphs>4</Paragraphs>
  <TotalTime>663</TotalTime>
  <ScaleCrop>false</ScaleCrop>
  <LinksUpToDate>false</LinksUpToDate>
  <CharactersWithSpaces>2068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2024-02-04T07:28:44Z</dcterms:modified>
  <cp:revision>818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91D198C5B24D411EA0906E38A1AFE1B2_12</vt:lpwstr>
  </property>
</Properties>
</file>