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13" w:name="_GoBack"/>
      <w:bookmarkStart w:id="0" w:name="_Toc517262917"/>
      <w:bookmarkStart w:id="1" w:name="OLE_LINK15"/>
      <w:bookmarkStart w:id="2" w:name="_Toc415818939"/>
      <w:bookmarkStart w:id="3" w:name="OLE_LINK13"/>
      <w:bookmarkStart w:id="4" w:name="_Toc453597319"/>
      <w:bookmarkStart w:id="5" w:name="_Toc438987549"/>
      <w:bookmarkStart w:id="6" w:name="_Toc481801204"/>
      <w:bookmarkStart w:id="7" w:name="_Toc415142861"/>
      <w:bookmarkStart w:id="8" w:name="_Toc418070112"/>
      <w:bookmarkStart w:id="9" w:name="_Toc415143481"/>
      <w:bookmarkStart w:id="10" w:name="OLE_LINK40"/>
      <w:bookmarkStart w:id="11" w:name="OLE_LINK24"/>
      <w:bookmarkStart w:id="12" w:name="OLE_LINK39"/>
      <w:r>
        <w:rPr>
          <w:lang w:eastAsia="zh-CN"/>
        </w:rPr>
        <w:t>TBI测试座</w:t>
      </w:r>
      <w:r>
        <w:rPr>
          <w:rFonts w:hint="eastAsia"/>
          <w:lang w:eastAsia="zh-CN"/>
        </w:rPr>
        <w:t>全球市场总体规模</w:t>
      </w:r>
    </w:p>
    <w:bookmarkEnd w:id="13"/>
    <w:p>
      <w:pPr>
        <w:pStyle w:val="145"/>
        <w:rPr>
          <w:lang w:eastAsia="zh-CN"/>
        </w:rPr>
      </w:pPr>
      <w:r>
        <w:rPr>
          <w:rFonts w:hint="eastAsia"/>
          <w:lang w:eastAsia="zh-CN"/>
        </w:rPr>
        <w:t>集成电路（IC）老化测试插座（以下简称老化测试插座）主要应用于集成电路产品的检测、老化、筛选等场合，其的用户是集成电路器件制造厂。</w:t>
      </w:r>
    </w:p>
    <w:p>
      <w:pPr>
        <w:pStyle w:val="148"/>
      </w:pPr>
      <w:r>
        <w:rPr>
          <w:rFonts w:hint="eastAsia"/>
        </w:rPr>
        <w:t>TBI测试座产品图片</w:t>
      </w:r>
    </w:p>
    <w:p>
      <w:pPr>
        <w:pStyle w:val="145"/>
        <w:rPr>
          <w:lang w:eastAsia="zh-CN"/>
        </w:rPr>
      </w:pPr>
      <w:r>
        <w:drawing>
          <wp:inline distT="0" distB="0" distL="0" distR="0">
            <wp:extent cx="5486400" cy="146812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8"/>
                    <a:stretch>
                      <a:fillRect/>
                    </a:stretch>
                  </pic:blipFill>
                  <pic:spPr>
                    <a:xfrm>
                      <a:off x="0" y="0"/>
                      <a:ext cx="5486400" cy="1468120"/>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TBI测试座</w:t>
      </w:r>
      <w:r>
        <w:rPr>
          <w:rFonts w:hint="eastAsia"/>
          <w:lang w:eastAsia="zh-CN"/>
        </w:rPr>
        <w:t>市场研究报告2023-2029</w:t>
      </w:r>
      <w:r>
        <w:rPr>
          <w:lang w:eastAsia="zh-CN"/>
        </w:rPr>
        <w:t>.</w:t>
      </w:r>
    </w:p>
    <w:p>
      <w:pPr>
        <w:pStyle w:val="145"/>
        <w:rPr>
          <w:lang w:val="en-US" w:eastAsia="zh-CN"/>
        </w:rPr>
      </w:pPr>
      <w:r>
        <w:rPr>
          <w:rFonts w:hint="eastAsia"/>
          <w:lang w:val="en-US" w:eastAsia="zh-CN"/>
        </w:rPr>
        <w:t>据QYResearch调研团队最新报告“全球TBI测试座市场报告2023-2029”显示，预计2029年全球TBI测试座市场规模将达到21.9亿美元，未来几年年复合增长率CAGR为7.2%。</w:t>
      </w:r>
    </w:p>
    <w:p>
      <w:pPr>
        <w:pStyle w:val="148"/>
        <w:rPr>
          <w:lang w:eastAsia="zh-CN"/>
        </w:rPr>
      </w:pPr>
      <w:r>
        <w:rPr>
          <w:lang w:eastAsia="zh-CN"/>
        </w:rPr>
        <w:t>TBI测试座</w:t>
      </w:r>
      <w:r>
        <w:rPr>
          <w:rFonts w:hint="eastAsia"/>
          <w:lang w:eastAsia="zh-CN"/>
        </w:rPr>
        <w:t>，全球市场总体规模</w:t>
      </w:r>
    </w:p>
    <w:p>
      <w:pPr>
        <w:pStyle w:val="145"/>
      </w:pPr>
      <w:r>
        <w:drawing>
          <wp:inline distT="0" distB="0" distL="0" distR="0">
            <wp:extent cx="5486400" cy="2606675"/>
            <wp:effectExtent l="0" t="0" r="0" b="317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lang w:eastAsia="zh-CN"/>
        </w:rPr>
      </w:pPr>
      <w:r>
        <w:rPr>
          <w:rFonts w:hint="eastAsia"/>
          <w:lang w:eastAsia="zh-CN"/>
        </w:rPr>
        <w:t>如上图表/数据，摘自QYResearch最新报告“全球</w:t>
      </w:r>
      <w:r>
        <w:rPr>
          <w:lang w:eastAsia="zh-CN"/>
        </w:rPr>
        <w:t>TBI测试座</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TBI测试座</w:t>
      </w:r>
      <w:r>
        <w:rPr>
          <w:rFonts w:hint="eastAsia"/>
          <w:lang w:eastAsia="zh-CN"/>
        </w:rPr>
        <w:t>市场前25强生产商排名及市场占有率（基于2</w:t>
      </w:r>
      <w:r>
        <w:rPr>
          <w:lang w:eastAsia="zh-CN"/>
        </w:rPr>
        <w:t>022</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drawing>
          <wp:inline distT="0" distB="0" distL="0" distR="0">
            <wp:extent cx="4572000" cy="4399915"/>
            <wp:effectExtent l="0" t="0" r="0" b="63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如上图表/数据，摘自QYResearch报告“全球</w:t>
      </w:r>
      <w:r>
        <w:rPr>
          <w:lang w:eastAsia="zh-CN"/>
        </w:rPr>
        <w:t>TBI测试座</w:t>
      </w:r>
      <w:r>
        <w:rPr>
          <w:rFonts w:hint="eastAsia"/>
          <w:lang w:eastAsia="zh-CN"/>
        </w:rPr>
        <w:t>市场研究报告2023-2029，排名基于2</w:t>
      </w:r>
      <w:r>
        <w:rPr>
          <w:lang w:eastAsia="zh-CN"/>
        </w:rPr>
        <w:t>022</w:t>
      </w:r>
      <w:r>
        <w:rPr>
          <w:rFonts w:hint="eastAsia"/>
          <w:lang w:eastAsia="zh-CN"/>
        </w:rPr>
        <w:t>数据。目前最新数据，以本公司最新调研数据为准。</w:t>
      </w:r>
    </w:p>
    <w:p>
      <w:pPr>
        <w:pStyle w:val="145"/>
        <w:rPr>
          <w:lang w:eastAsia="zh-CN"/>
        </w:rPr>
      </w:pPr>
      <w:r>
        <w:rPr>
          <w:rFonts w:hint="eastAsia"/>
          <w:lang w:eastAsia="zh-CN"/>
        </w:rPr>
        <w:t>根据QYResearch头部企业研究中心调研，全球范围内TBI测试座生产商主要包括Yamaichi Electronics、Cohu、Enplas、ISC、Smiths Interconnect、LEENO、Sensata Technologies、Johnstech、Yokowo、WinWay Technology等。2022年，全球前十强厂商占有大约68.0%的市场份额。</w:t>
      </w:r>
    </w:p>
    <w:p>
      <w:pPr>
        <w:pStyle w:val="148"/>
      </w:pPr>
      <w:r>
        <w:t>TBI测试座</w:t>
      </w:r>
      <w:r>
        <w:rPr>
          <w:rFonts w:hint="eastAsia"/>
        </w:rPr>
        <w:t>，全球市场规模，按产品类型细分，</w:t>
      </w:r>
      <w:r>
        <w:rPr>
          <w:lang w:eastAsia="zh-CN"/>
        </w:rPr>
        <w:t>Test Socket</w:t>
      </w:r>
      <w:r>
        <w:rPr>
          <w:rFonts w:hint="eastAsia"/>
        </w:rPr>
        <w:t>处于主导地位</w:t>
      </w:r>
    </w:p>
    <w:p>
      <w:pPr>
        <w:pStyle w:val="145"/>
        <w:rPr>
          <w:lang w:eastAsia="zh-CN"/>
        </w:rPr>
      </w:pPr>
      <w:r>
        <w:drawing>
          <wp:inline distT="0" distB="0" distL="0" distR="0">
            <wp:extent cx="5486400" cy="2526665"/>
            <wp:effectExtent l="0" t="0" r="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a:stretch>
                      <a:fillRect/>
                    </a:stretch>
                  </pic:blipFill>
                  <pic:spPr>
                    <a:xfrm>
                      <a:off x="0" y="0"/>
                      <a:ext cx="5486400" cy="2526665"/>
                    </a:xfrm>
                    <a:prstGeom prst="rect">
                      <a:avLst/>
                    </a:prstGeom>
                  </pic:spPr>
                </pic:pic>
              </a:graphicData>
            </a:graphic>
          </wp:inline>
        </w:drawing>
      </w:r>
    </w:p>
    <w:p>
      <w:pPr>
        <w:pStyle w:val="145"/>
        <w:rPr>
          <w:lang w:eastAsia="zh-CN"/>
        </w:rPr>
      </w:pPr>
      <w:r>
        <w:drawing>
          <wp:inline distT="0" distB="0" distL="0" distR="0">
            <wp:extent cx="5486400" cy="2590800"/>
            <wp:effectExtent l="0" t="0" r="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143"/>
        <w:rPr>
          <w:lang w:eastAsia="zh-CN"/>
        </w:rPr>
      </w:pPr>
      <w:r>
        <w:rPr>
          <w:rFonts w:hint="eastAsia"/>
          <w:lang w:eastAsia="zh-CN"/>
        </w:rPr>
        <w:t>如上图表/数据，摘自QYResearch最新报告“全球</w:t>
      </w:r>
      <w:r>
        <w:rPr>
          <w:lang w:eastAsia="zh-CN"/>
        </w:rPr>
        <w:t>TBI测试座</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就产品类型而言，目前Test Socket是最主要的细分产品，占据大约60.5%的份额。</w:t>
      </w:r>
    </w:p>
    <w:p>
      <w:pPr>
        <w:pStyle w:val="148"/>
      </w:pPr>
      <w:r>
        <w:t>TBI测试座</w:t>
      </w:r>
      <w:r>
        <w:rPr>
          <w:rFonts w:hint="eastAsia"/>
        </w:rPr>
        <w:t>，全球市场规模，按应用细分，</w:t>
      </w:r>
      <w:r>
        <w:rPr>
          <w:lang w:eastAsia="zh-CN"/>
        </w:rPr>
        <w:t>SOC, CPU, GPU, etc.</w:t>
      </w:r>
      <w:r>
        <w:rPr>
          <w:rFonts w:hint="eastAsia"/>
        </w:rPr>
        <w:t>是最大的下游市场，占有</w:t>
      </w:r>
      <w:r>
        <w:rPr>
          <w:rFonts w:hint="eastAsia"/>
          <w:lang w:eastAsia="zh-CN"/>
        </w:rPr>
        <w:t>30</w:t>
      </w:r>
      <w:r>
        <w:rPr>
          <w:rFonts w:hint="eastAsia"/>
        </w:rPr>
        <w:t>%份额。</w:t>
      </w:r>
    </w:p>
    <w:p>
      <w:pPr>
        <w:pStyle w:val="145"/>
        <w:rPr>
          <w:lang w:eastAsia="zh-CN"/>
        </w:rPr>
      </w:pPr>
      <w:r>
        <w:drawing>
          <wp:inline distT="0" distB="0" distL="0" distR="0">
            <wp:extent cx="5486400" cy="250444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3"/>
                    <a:stretch>
                      <a:fillRect/>
                    </a:stretch>
                  </pic:blipFill>
                  <pic:spPr>
                    <a:xfrm>
                      <a:off x="0" y="0"/>
                      <a:ext cx="5486400" cy="2504440"/>
                    </a:xfrm>
                    <a:prstGeom prst="rect">
                      <a:avLst/>
                    </a:prstGeom>
                  </pic:spPr>
                </pic:pic>
              </a:graphicData>
            </a:graphic>
          </wp:inline>
        </w:drawing>
      </w:r>
    </w:p>
    <w:p>
      <w:pPr>
        <w:pStyle w:val="145"/>
        <w:rPr>
          <w:lang w:eastAsia="zh-CN"/>
        </w:rPr>
      </w:pPr>
      <w:r>
        <w:drawing>
          <wp:inline distT="0" distB="0" distL="0" distR="0">
            <wp:extent cx="5486400" cy="2590800"/>
            <wp:effectExtent l="0" t="0" r="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pStyle w:val="143"/>
        <w:rPr>
          <w:lang w:eastAsia="zh-CN"/>
        </w:rPr>
      </w:pPr>
      <w:r>
        <w:rPr>
          <w:rFonts w:hint="eastAsia"/>
          <w:lang w:eastAsia="zh-CN"/>
        </w:rPr>
        <w:t>如上图表/数据，摘自QYResearch最新报告“全球</w:t>
      </w:r>
      <w:r>
        <w:rPr>
          <w:lang w:eastAsia="zh-CN"/>
        </w:rPr>
        <w:t>TBI测试座</w:t>
      </w:r>
      <w:r>
        <w:rPr>
          <w:rFonts w:hint="eastAsia"/>
          <w:lang w:eastAsia="zh-CN"/>
        </w:rPr>
        <w:t>市场研究报告2023-2029</w:t>
      </w:r>
      <w:r>
        <w:rPr>
          <w:lang w:eastAsia="zh-CN"/>
        </w:rPr>
        <w:t>.</w:t>
      </w:r>
    </w:p>
    <w:p>
      <w:pPr>
        <w:pStyle w:val="145"/>
        <w:rPr>
          <w:lang w:eastAsia="zh-CN"/>
        </w:rPr>
      </w:pPr>
      <w:r>
        <w:rPr>
          <w:rFonts w:hint="eastAsia"/>
          <w:lang w:eastAsia="zh-CN"/>
        </w:rPr>
        <w:t>就产品应用而言，目前SOC, CPU, GPU, etc.是最主要的需求来源，占据大约30.0%的份额。</w:t>
      </w:r>
    </w:p>
    <w:p>
      <w:pPr>
        <w:pStyle w:val="145"/>
        <w:rPr>
          <w:lang w:eastAsia="zh-CN"/>
        </w:rPr>
      </w:pPr>
    </w:p>
    <w:p>
      <w:pPr>
        <w:pStyle w:val="148"/>
        <w:rPr>
          <w:lang w:eastAsia="zh-CN"/>
        </w:rPr>
      </w:pPr>
      <w:r>
        <w:rPr>
          <w:rFonts w:hint="eastAsia"/>
          <w:lang w:eastAsia="zh-CN"/>
        </w:rPr>
        <w:t>全球</w:t>
      </w:r>
      <w:r>
        <w:rPr>
          <w:lang w:eastAsia="zh-CN"/>
        </w:rPr>
        <w:t>TBI测试座</w:t>
      </w:r>
      <w:r>
        <w:rPr>
          <w:rFonts w:hint="eastAsia"/>
          <w:lang w:eastAsia="zh-CN"/>
        </w:rPr>
        <w:t>规模，主要生产地区份额（按产值）</w:t>
      </w:r>
    </w:p>
    <w:p>
      <w:pPr>
        <w:pStyle w:val="145"/>
        <w:rPr>
          <w:lang w:val="en-US" w:eastAsia="zh-CN"/>
        </w:rPr>
      </w:pPr>
      <w:r>
        <w:drawing>
          <wp:inline distT="0" distB="0" distL="0" distR="0">
            <wp:extent cx="5486400" cy="2590800"/>
            <wp:effectExtent l="0" t="0" r="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pStyle w:val="145"/>
        <w:rPr>
          <w:lang w:val="en-US" w:eastAsia="zh-CN"/>
        </w:rPr>
      </w:pPr>
      <w:r>
        <w:drawing>
          <wp:inline distT="0" distB="0" distL="0" distR="0">
            <wp:extent cx="5486400" cy="2590800"/>
            <wp:effectExtent l="0" t="0" r="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pStyle w:val="143"/>
        <w:rPr>
          <w:lang w:eastAsia="zh-CN"/>
        </w:rPr>
      </w:pPr>
      <w:r>
        <w:rPr>
          <w:rFonts w:hint="eastAsia"/>
          <w:lang w:eastAsia="zh-CN"/>
        </w:rPr>
        <w:t>如上图表/数据，摘自QYResearch最新报告“全球</w:t>
      </w:r>
      <w:r>
        <w:rPr>
          <w:lang w:eastAsia="zh-CN"/>
        </w:rPr>
        <w:t>TBI测试座</w:t>
      </w:r>
      <w:r>
        <w:rPr>
          <w:rFonts w:hint="eastAsia"/>
          <w:lang w:eastAsia="zh-CN"/>
        </w:rPr>
        <w:t>市场研究报告2023-2029</w:t>
      </w:r>
      <w:r>
        <w:rPr>
          <w:lang w:eastAsia="zh-CN"/>
        </w:rPr>
        <w:t>.</w:t>
      </w:r>
    </w:p>
    <w:p>
      <w:pPr>
        <w:pStyle w:val="148"/>
        <w:rPr>
          <w:lang w:eastAsia="zh-CN"/>
        </w:rPr>
      </w:pPr>
      <w:r>
        <w:rPr>
          <w:rFonts w:hint="eastAsia"/>
          <w:lang w:eastAsia="zh-CN"/>
        </w:rPr>
        <w:t>全球主要市场</w:t>
      </w:r>
      <w:r>
        <w:rPr>
          <w:lang w:eastAsia="zh-CN"/>
        </w:rPr>
        <w:t>TBI测试座</w:t>
      </w:r>
      <w:r>
        <w:rPr>
          <w:rFonts w:hint="eastAsia"/>
          <w:lang w:eastAsia="zh-CN"/>
        </w:rPr>
        <w:t>规模</w:t>
      </w:r>
    </w:p>
    <w:p>
      <w:pPr>
        <w:pStyle w:val="145"/>
        <w:rPr>
          <w:lang w:val="en-US" w:eastAsia="zh-CN"/>
        </w:rPr>
      </w:pPr>
      <w:r>
        <w:drawing>
          <wp:inline distT="0" distB="0" distL="0" distR="0">
            <wp:extent cx="5486400" cy="2590800"/>
            <wp:effectExtent l="0" t="0" r="0" b="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pPr>
        <w:pStyle w:val="145"/>
        <w:rPr>
          <w:lang w:val="en-US" w:eastAsia="zh-CN"/>
        </w:rPr>
      </w:pPr>
      <w:r>
        <w:drawing>
          <wp:inline distT="0" distB="0" distL="0" distR="0">
            <wp:extent cx="5486400" cy="2590800"/>
            <wp:effectExtent l="0" t="0" r="0" b="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pPr>
        <w:pStyle w:val="143"/>
        <w:rPr>
          <w:lang w:eastAsia="zh-CN"/>
        </w:rPr>
      </w:pPr>
      <w:r>
        <w:rPr>
          <w:rFonts w:hint="eastAsia"/>
          <w:lang w:eastAsia="zh-CN"/>
        </w:rPr>
        <w:t>如上图表/数据，摘自QYResearch最新报告“全球</w:t>
      </w:r>
      <w:r>
        <w:rPr>
          <w:lang w:eastAsia="zh-CN"/>
        </w:rPr>
        <w:t>TBI测试座</w:t>
      </w:r>
      <w:r>
        <w:rPr>
          <w:rFonts w:hint="eastAsia"/>
          <w:lang w:eastAsia="zh-CN"/>
        </w:rPr>
        <w:t>市场研究报告2023-2029</w:t>
      </w:r>
      <w:r>
        <w:rPr>
          <w:lang w:eastAsia="zh-CN"/>
        </w:rPr>
        <w:t>.</w:t>
      </w:r>
    </w:p>
    <w:p>
      <w:pPr>
        <w:pStyle w:val="145"/>
        <w:rPr>
          <w:lang w:eastAsia="zh-CN"/>
        </w:rPr>
      </w:pPr>
    </w:p>
    <w:p>
      <w:pPr>
        <w:pStyle w:val="145"/>
        <w:rPr>
          <w:rFonts w:hint="eastAsia"/>
          <w:lang w:eastAsia="zh-CN"/>
        </w:rPr>
      </w:pPr>
      <w:r>
        <w:rPr>
          <w:rFonts w:hint="eastAsia"/>
          <w:lang w:eastAsia="zh-CN"/>
        </w:rPr>
        <w:t>主要驱动因素</w:t>
      </w:r>
      <w:r>
        <w:rPr>
          <w:lang w:eastAsia="zh-CN"/>
        </w:rPr>
        <w:t>:</w:t>
      </w:r>
    </w:p>
    <w:p>
      <w:pPr>
        <w:pStyle w:val="145"/>
        <w:spacing w:line="276" w:lineRule="auto"/>
        <w:ind w:firstLine="420"/>
        <w:rPr>
          <w:rFonts w:cs="Times New Roman"/>
          <w:lang w:eastAsia="zh-CN"/>
        </w:rPr>
      </w:pPr>
      <w:r>
        <w:rPr>
          <w:rFonts w:cs="Times New Roman"/>
          <w:lang w:eastAsia="zh-CN"/>
        </w:rPr>
        <w:t>（1）产业政策的支持</w:t>
      </w:r>
    </w:p>
    <w:p>
      <w:pPr>
        <w:pStyle w:val="145"/>
        <w:spacing w:line="276" w:lineRule="auto"/>
        <w:ind w:firstLine="420"/>
        <w:rPr>
          <w:rFonts w:cs="Times New Roman"/>
          <w:lang w:eastAsia="zh-CN"/>
        </w:rPr>
      </w:pPr>
      <w:r>
        <w:rPr>
          <w:rFonts w:cs="Times New Roman"/>
          <w:lang w:eastAsia="zh-CN"/>
        </w:rPr>
        <w:t>作为国民经济和社会发展全局的基础性、先导性和战略性产业，TBI测试座行业一直以来都受到国家的鼓励和支持。一方面，国家连续出台各种法律法规，规范行业竞争秩序，加强相关知识产权保护力度，为行业的健康发展提供法制保障。另一方面，近年来，国家颁布了多项鼓励支持TBI测试座行业的产业政策和措施，为国内企业创造了非常有利的投融资、税收、出口环境等。</w:t>
      </w:r>
    </w:p>
    <w:p>
      <w:pPr>
        <w:pStyle w:val="145"/>
        <w:spacing w:line="276" w:lineRule="auto"/>
        <w:ind w:firstLine="420"/>
        <w:rPr>
          <w:rFonts w:cs="Times New Roman"/>
          <w:lang w:eastAsia="zh-CN"/>
        </w:rPr>
      </w:pPr>
      <w:r>
        <w:rPr>
          <w:rFonts w:cs="Times New Roman"/>
          <w:lang w:eastAsia="zh-CN"/>
        </w:rPr>
        <w:t>（2）下游终端市场对芯片的需求巨大</w:t>
      </w:r>
    </w:p>
    <w:p>
      <w:pPr>
        <w:pStyle w:val="145"/>
        <w:spacing w:line="276" w:lineRule="auto"/>
        <w:ind w:firstLine="420"/>
        <w:rPr>
          <w:rFonts w:cs="Times New Roman"/>
        </w:rPr>
      </w:pPr>
      <w:r>
        <w:rPr>
          <w:rFonts w:cs="Times New Roman"/>
          <w:lang w:eastAsia="zh-CN"/>
        </w:rPr>
        <w:t>TBI测试座行业依赖于集成电路行业的发展，而集成电路行业的发展主要取决于下游的终端市场。近年来，随着人工智能、物联网、北斗导航、5G 基站、汽车电子等市场的高速发展，集成电路行业也得到了巨大发展，特别是5G智能手机和人工智能市场的快速增长，芯片需求与日俱增，集成电路行业得到爆发式增长。</w:t>
      </w:r>
      <w:r>
        <w:rPr>
          <w:rFonts w:cs="Times New Roman"/>
        </w:rPr>
        <w:t>进而带动相关测试设备的增长。</w:t>
      </w:r>
    </w:p>
    <w:p>
      <w:pPr>
        <w:pStyle w:val="145"/>
        <w:rPr>
          <w:lang w:eastAsia="zh-CN"/>
        </w:rPr>
      </w:pPr>
    </w:p>
    <w:p>
      <w:pPr>
        <w:pStyle w:val="145"/>
        <w:rPr>
          <w:lang w:eastAsia="zh-CN"/>
        </w:rPr>
      </w:pPr>
      <w:r>
        <w:rPr>
          <w:rFonts w:hint="eastAsia"/>
          <w:lang w:eastAsia="zh-CN"/>
        </w:rPr>
        <w:t>主要阻碍因素</w:t>
      </w:r>
      <w:r>
        <w:rPr>
          <w:lang w:eastAsia="zh-CN"/>
        </w:rPr>
        <w:t>:</w:t>
      </w:r>
    </w:p>
    <w:p>
      <w:pPr>
        <w:pStyle w:val="145"/>
        <w:spacing w:line="276" w:lineRule="auto"/>
        <w:ind w:firstLine="420"/>
        <w:rPr>
          <w:rFonts w:cs="Times New Roman"/>
          <w:lang w:eastAsia="zh-CN"/>
        </w:rPr>
      </w:pPr>
      <w:r>
        <w:rPr>
          <w:rFonts w:cs="Times New Roman"/>
          <w:lang w:eastAsia="zh-CN"/>
        </w:rPr>
        <w:t>（1）TBI测试座行业整体基础较为薄弱</w:t>
      </w:r>
    </w:p>
    <w:p>
      <w:pPr>
        <w:pStyle w:val="145"/>
        <w:spacing w:line="276" w:lineRule="auto"/>
        <w:ind w:firstLine="420"/>
        <w:rPr>
          <w:rFonts w:cs="Times New Roman"/>
          <w:lang w:eastAsia="zh-CN"/>
        </w:rPr>
      </w:pPr>
      <w:r>
        <w:rPr>
          <w:rFonts w:cs="Times New Roman"/>
          <w:lang w:eastAsia="zh-CN"/>
        </w:rPr>
        <w:t xml:space="preserve">近年来，中国TBI测试座产业虽高速发展，但与欧美、日韩、台湾等TBI测试座产业高度发达的国家地区相比，仍然有很长一段路要走。国内TBI测试座行业整体与国外都有一定差距，不如国外市场成熟；另一方面，国内TBI测试座公司总体资金不足，在研发与设计中投入不足。 </w:t>
      </w:r>
    </w:p>
    <w:p>
      <w:pPr>
        <w:pStyle w:val="145"/>
        <w:spacing w:line="276" w:lineRule="auto"/>
        <w:ind w:firstLine="420"/>
        <w:rPr>
          <w:rFonts w:cs="Times New Roman"/>
          <w:lang w:eastAsia="zh-CN"/>
        </w:rPr>
      </w:pPr>
      <w:r>
        <w:rPr>
          <w:rFonts w:cs="Times New Roman"/>
          <w:lang w:eastAsia="zh-CN"/>
        </w:rPr>
        <w:t>（2）中国国内企业规模较小、品牌影响力不足</w:t>
      </w:r>
    </w:p>
    <w:p>
      <w:pPr>
        <w:pStyle w:val="145"/>
        <w:rPr>
          <w:rFonts w:hint="eastAsia" w:cs="Times New Roman"/>
          <w:lang w:eastAsia="zh-CN"/>
        </w:rPr>
      </w:pPr>
      <w:r>
        <w:rPr>
          <w:rFonts w:cs="Times New Roman"/>
          <w:lang w:eastAsia="zh-CN"/>
        </w:rPr>
        <w:t>目前，中国TBI测试座行业整体发展的期限较短，和国外大型TBI测试座企业相比，国内的TBI测试座企业在规模上还有一定的差距。与国际知名TBI测试座公司相比，国内TBI测试座企业的品牌影响力和知名度仍有一定差距。如何进一步提高品牌影响力，是国内TBI测试座企业能否扩大市场占有率的关键。</w:t>
      </w:r>
    </w:p>
    <w:bookmarkEnd w:id="0"/>
    <w:bookmarkEnd w:id="1"/>
    <w:bookmarkEnd w:id="2"/>
    <w:bookmarkEnd w:id="3"/>
    <w:bookmarkEnd w:id="4"/>
    <w:bookmarkEnd w:id="5"/>
    <w:bookmarkEnd w:id="6"/>
    <w:bookmarkEnd w:id="7"/>
    <w:bookmarkEnd w:id="8"/>
    <w:bookmarkEnd w:id="9"/>
    <w:bookmarkEnd w:id="10"/>
    <w:bookmarkEnd w:id="11"/>
    <w:bookmarkEnd w:id="12"/>
    <w:p/>
    <w:p>
      <w:r>
        <w:t>恒州博智</w:t>
      </w:r>
      <w:r>
        <w:rPr>
          <w:rFonts w:hint="eastAsia"/>
        </w:rPr>
        <w:t>（</w:t>
      </w:r>
      <w:r>
        <w:t>QYResearch</w:t>
      </w:r>
      <w:r>
        <w:rPr>
          <w:rFonts w:hint="eastAsia"/>
        </w:rPr>
        <w:t>）调研团队最新发布的</w:t>
      </w:r>
      <w:r>
        <w:rPr>
          <w:rFonts w:hint="eastAsia"/>
          <w:b w:val="0"/>
          <w:bCs w:val="0"/>
          <w:color w:val="0000FF"/>
          <w:lang w:eastAsia="zh-CN"/>
        </w:rPr>
        <w:t>2024年全球TBI测试座行业总体规模、主要企业国内外市场占有率及排名</w:t>
      </w:r>
      <w:r>
        <w:rPr>
          <w:rFonts w:hint="eastAsia"/>
        </w:rPr>
        <w:t>，</w:t>
      </w:r>
      <w:r>
        <w:t>本文侧重研究全球</w:t>
      </w:r>
      <w:r>
        <w:rPr>
          <w:rFonts w:hint="eastAsia"/>
          <w:b w:val="0"/>
          <w:bCs w:val="0"/>
          <w:lang w:eastAsia="zh-CN"/>
        </w:rPr>
        <w:t>TBI测试座</w:t>
      </w:r>
      <w:r>
        <w:t>总体规模及主要厂商占有率和排名，主要统计指标包括</w:t>
      </w:r>
      <w:r>
        <w:rPr>
          <w:rFonts w:hint="eastAsia"/>
          <w:b w:val="0"/>
          <w:bCs w:val="0"/>
          <w:lang w:eastAsia="zh-CN"/>
        </w:rPr>
        <w:t>TBI测试座</w:t>
      </w:r>
      <w:r>
        <w:t>产能、销量、销售收入、价格、市场份额及排名等，企业数据主要侧重近三年行业内主要厂商的市场销售情况。地区层面，主要分析过去五年和未来五年行业内主要生产地区和主要消费地区的规模及趋势。</w:t>
      </w:r>
    </w:p>
    <w:p>
      <w:pPr>
        <w:pStyle w:val="7"/>
      </w:pPr>
      <w:r>
        <w:rPr>
          <w:rFonts w:hint="eastAsia"/>
          <w:b w:val="0"/>
          <w:bCs w:val="0"/>
          <w:lang w:eastAsia="zh-CN"/>
        </w:rPr>
        <w:t>TBI测试座</w:t>
      </w:r>
      <w:r>
        <w:rPr>
          <w:rFonts w:hint="eastAsia"/>
        </w:rPr>
        <w:t>报告主要研究内容以下几点：</w:t>
      </w:r>
    </w:p>
    <w:p>
      <w:r>
        <w:t>第1章：报告统计范围、所属行业、产品细分及主要的下游市场，行业现状及进入壁垒等</w:t>
      </w:r>
    </w:p>
    <w:p>
      <w:r>
        <w:t>第2章：国内外主要企业市场占有率及排名</w:t>
      </w:r>
    </w:p>
    <w:p>
      <w:r>
        <w:t>第3章：全球总体规模（产能、产量、销量、需求量、销售收入等数据，2019-2030年）</w:t>
      </w:r>
    </w:p>
    <w:p>
      <w:r>
        <w:t>第4章：全球</w:t>
      </w:r>
      <w:r>
        <w:rPr>
          <w:rFonts w:hint="eastAsia"/>
          <w:b w:val="0"/>
          <w:bCs w:val="0"/>
          <w:lang w:eastAsia="zh-CN"/>
        </w:rPr>
        <w:t>TBI测试座</w:t>
      </w:r>
      <w:r>
        <w:t>主要地区分析，包括销量、销售收入等</w:t>
      </w:r>
    </w:p>
    <w:p>
      <w:r>
        <w:t>第5章：全球</w:t>
      </w:r>
      <w:r>
        <w:rPr>
          <w:rFonts w:hint="eastAsia"/>
          <w:b w:val="0"/>
          <w:bCs w:val="0"/>
          <w:lang w:eastAsia="zh-CN"/>
        </w:rPr>
        <w:t>TBI测试座</w:t>
      </w:r>
      <w:r>
        <w:t>主要厂商基本情况介绍，包括公司简介、</w:t>
      </w:r>
      <w:r>
        <w:rPr>
          <w:rFonts w:hint="eastAsia"/>
          <w:b w:val="0"/>
          <w:bCs w:val="0"/>
          <w:lang w:eastAsia="zh-CN"/>
        </w:rPr>
        <w:t>TBI测试座</w:t>
      </w:r>
      <w:r>
        <w:t>产品型号、销量、收入、价格及最新动态等</w:t>
      </w:r>
    </w:p>
    <w:p>
      <w:r>
        <w:t>第6章：全球不同产品类型</w:t>
      </w:r>
      <w:r>
        <w:rPr>
          <w:rFonts w:hint="eastAsia"/>
          <w:b w:val="0"/>
          <w:bCs w:val="0"/>
          <w:lang w:eastAsia="zh-CN"/>
        </w:rPr>
        <w:t>TBI测试座</w:t>
      </w:r>
      <w:r>
        <w:t>销量、收入、价格及份额等</w:t>
      </w:r>
    </w:p>
    <w:p>
      <w:r>
        <w:t>第7章：全球不同应用</w:t>
      </w:r>
      <w:r>
        <w:rPr>
          <w:rFonts w:hint="eastAsia"/>
          <w:b w:val="0"/>
          <w:bCs w:val="0"/>
          <w:lang w:eastAsia="zh-CN"/>
        </w:rPr>
        <w:t>TBI测试座</w:t>
      </w:r>
      <w:r>
        <w:t>销量、收入、价格及份额等</w:t>
      </w:r>
    </w:p>
    <w:p>
      <w:r>
        <w:t>第8章：行业发展趋势、驱动因素、行业政策等</w:t>
      </w:r>
    </w:p>
    <w:p>
      <w:r>
        <w:t>第9章：产业链、上下游分析、生产模式、销售模式及销售渠道分析等</w:t>
      </w:r>
    </w:p>
    <w:p>
      <w:pPr>
        <w:bidi w:val="0"/>
        <w:rPr>
          <w:rFonts w:hint="eastAsia"/>
          <w:lang w:val="en-US" w:eastAsia="zh-CN"/>
        </w:rPr>
      </w:pPr>
      <w:r>
        <w:rPr>
          <w:rFonts w:hint="default"/>
        </w:rPr>
        <w:t>第</w:t>
      </w:r>
      <w:r>
        <w:rPr>
          <w:rFonts w:hint="eastAsia"/>
          <w:lang w:val="en-US" w:eastAsia="zh-CN"/>
        </w:rPr>
        <w:t>10</w:t>
      </w:r>
      <w:r>
        <w:rPr>
          <w:rFonts w:hint="default"/>
        </w:rPr>
        <w:t>章：</w:t>
      </w:r>
      <w:r>
        <w:rPr>
          <w:rFonts w:hint="eastAsia"/>
          <w:lang w:val="en-US" w:eastAsia="zh-CN"/>
        </w:rPr>
        <w:t>报告结论</w:t>
      </w:r>
    </w:p>
    <w:p>
      <w:pPr>
        <w:bidi w:val="0"/>
      </w:pPr>
      <w:r>
        <w:rPr>
          <w:rFonts w:hint="default"/>
        </w:rPr>
        <w:t>第</w:t>
      </w:r>
      <w:r>
        <w:rPr>
          <w:rFonts w:hint="eastAsia"/>
          <w:lang w:val="en-US" w:eastAsia="zh-CN"/>
        </w:rPr>
        <w:t>11</w:t>
      </w:r>
      <w:r>
        <w:rPr>
          <w:rFonts w:hint="default"/>
        </w:rPr>
        <w:t>章：</w:t>
      </w:r>
      <w:r>
        <w:t>研究方法与数据来源</w:t>
      </w:r>
    </w:p>
    <w:p>
      <w:pPr>
        <w:rPr>
          <w:rFonts w:hint="eastAsia"/>
          <w:b/>
          <w:bCs/>
        </w:rPr>
      </w:pPr>
    </w:p>
    <w:p>
      <w:r>
        <w:rPr>
          <w:rFonts w:hint="eastAsia"/>
          <w:b/>
          <w:bCs/>
        </w:rPr>
        <w:t>竞争分析：</w:t>
      </w:r>
      <w:r>
        <w:rPr>
          <w:rFonts w:hint="eastAsia"/>
        </w:rPr>
        <w:t>主要企业情况、新入企业、收购、并购和扩张、市场份额、机遇和挑战等</w:t>
      </w:r>
    </w:p>
    <w:p>
      <w:r>
        <w:rPr>
          <w:rFonts w:hint="eastAsia"/>
          <w:b/>
          <w:bCs/>
        </w:rPr>
        <w:t>行业分析：</w:t>
      </w:r>
      <w:r>
        <w:rPr>
          <w:rFonts w:hint="eastAsia"/>
        </w:rPr>
        <w:t>原材料、市场应用、产品种类、市场需求、市场供给,下游市场分析、供应链分析等</w:t>
      </w:r>
    </w:p>
    <w:p>
      <w:r>
        <w:rPr>
          <w:rFonts w:hint="eastAsia"/>
          <w:b/>
          <w:bCs/>
        </w:rPr>
        <w:t>市场规模：</w:t>
      </w:r>
      <w:r>
        <w:rPr>
          <w:rFonts w:hint="eastAsia"/>
        </w:rPr>
        <w:t>产能、产量、销售、产值、价格、成本、利润等</w:t>
      </w:r>
    </w:p>
    <w:p>
      <w:r>
        <w:rPr>
          <w:rFonts w:hint="eastAsia"/>
          <w:b/>
          <w:bCs/>
        </w:rPr>
        <w:t>定制信息：</w:t>
      </w:r>
      <w:r>
        <w:rPr>
          <w:rFonts w:hint="eastAsia"/>
        </w:rPr>
        <w:t>我们可以提供定制的调查和信息，以满足客户的需要</w:t>
      </w:r>
    </w:p>
    <w:p/>
    <w:p>
      <w:r>
        <w:rPr>
          <w:rFonts w:hint="eastAsia"/>
          <w:b/>
          <w:bCs/>
        </w:rPr>
        <w:t>我们通过丰富的专家资源、完备的数据库、专业的研究团队、精准完善的调查分析为您提供深入的市场调研、销售数据、市场环境分析、市场发展预测...为确保市场调研的准确性，我们所有的信息均通过多重验证审核</w:t>
      </w:r>
    </w:p>
    <w:p>
      <w:pPr>
        <w:pStyle w:val="145"/>
        <w:rPr>
          <w:lang w:eastAsia="zh-CN"/>
        </w:rPr>
      </w:pP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61D"/>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81F"/>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AD0"/>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82"/>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39"/>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298"/>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96C"/>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4A6"/>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54250D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qFormat="1"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qFormat="1"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unhideWhenUsed/>
    <w:uiPriority w:val="99"/>
    <w:rPr>
      <w:color w:val="0000FF"/>
      <w:u w:val="single"/>
    </w:rPr>
  </w:style>
  <w:style w:type="character" w:styleId="72">
    <w:name w:val="annotation reference"/>
    <w:autoRedefine/>
    <w:qFormat/>
    <w:uiPriority w:val="0"/>
    <w:rPr>
      <w:sz w:val="21"/>
      <w:szCs w:val="21"/>
    </w:rPr>
  </w:style>
  <w:style w:type="character" w:customStyle="1" w:styleId="73">
    <w:name w:val="页眉 Char1"/>
    <w:basedOn w:val="67"/>
    <w:link w:val="22"/>
    <w:autoRedefine/>
    <w:qFormat/>
    <w:uiPriority w:val="99"/>
    <w:rPr>
      <w:sz w:val="18"/>
      <w:szCs w:val="18"/>
    </w:rPr>
  </w:style>
  <w:style w:type="character" w:customStyle="1" w:styleId="74">
    <w:name w:val="页脚 Char1"/>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Char"/>
    <w:link w:val="2"/>
    <w:uiPriority w:val="9"/>
    <w:rPr>
      <w:rFonts w:ascii="Frutiger" w:hAnsi="Frutiger" w:eastAsia="宋体" w:cs="Calibri"/>
      <w:b/>
      <w:color w:val="FF8200"/>
      <w:kern w:val="0"/>
      <w:sz w:val="44"/>
      <w:szCs w:val="32"/>
      <w:lang w:val="en-IN" w:eastAsia="en-US"/>
    </w:rPr>
  </w:style>
  <w:style w:type="character" w:customStyle="1" w:styleId="82">
    <w:name w:val="标题 2 Char"/>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Char"/>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Char"/>
    <w:link w:val="5"/>
    <w:autoRedefine/>
    <w:qFormat/>
    <w:uiPriority w:val="9"/>
    <w:rPr>
      <w:rFonts w:ascii="Frutiger" w:hAnsi="Frutiger" w:eastAsia="宋体"/>
      <w:b/>
      <w:bCs/>
      <w:sz w:val="26"/>
      <w:szCs w:val="26"/>
      <w:lang w:val="zh-CN" w:eastAsia="zh-CN"/>
    </w:rPr>
  </w:style>
  <w:style w:type="character" w:customStyle="1" w:styleId="85">
    <w:name w:val="标题 5 Char"/>
    <w:link w:val="6"/>
    <w:autoRedefine/>
    <w:qFormat/>
    <w:uiPriority w:val="9"/>
    <w:rPr>
      <w:rFonts w:ascii="Frutiger" w:hAnsi="Frutiger" w:eastAsia="宋体"/>
      <w:b/>
      <w:bCs/>
      <w:sz w:val="28"/>
      <w:szCs w:val="28"/>
    </w:rPr>
  </w:style>
  <w:style w:type="character" w:customStyle="1" w:styleId="86">
    <w:name w:val="标题 6 Char"/>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Char"/>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Char"/>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Char"/>
    <w:link w:val="26"/>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Char"/>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Char"/>
    <w:link w:val="16"/>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Char"/>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Char"/>
    <w:link w:val="12"/>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Char"/>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Char"/>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autoRedefine/>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Char"/>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Char"/>
    <w:basedOn w:val="67"/>
    <w:link w:val="19"/>
    <w:autoRedefine/>
    <w:semiHidden/>
    <w:qFormat/>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Char"/>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目录 2 Char"/>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Char"/>
    <w:basedOn w:val="67"/>
    <w:link w:val="8"/>
    <w:uiPriority w:val="9"/>
    <w:rPr>
      <w:rFonts w:ascii="Book Antiqua" w:hAnsi="Book Antiqua" w:eastAsia="宋体"/>
      <w:b/>
      <w:bCs/>
      <w:color w:val="1A1A1A" w:themeColor="background1" w:themeShade="1A"/>
      <w:szCs w:val="24"/>
    </w:rPr>
  </w:style>
  <w:style w:type="character" w:customStyle="1" w:styleId="193">
    <w:name w:val="标题 8 Char"/>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image" Target="media/image5.png"/><Relationship Id="rId12" Type="http://schemas.openxmlformats.org/officeDocument/2006/relationships/chart" Target="charts/chart3.xml"/><Relationship Id="rId11" Type="http://schemas.openxmlformats.org/officeDocument/2006/relationships/image" Target="media/image4.png"/><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Administrator\Desktop\2024&#24180;&#35266;&#28857;&#29992;\&#35266;&#28857;&#25968;&#25454;&#22270;&#34920;&#27169;&#26495;-&#27169;&#26495;%20202312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024&#24180;&#35266;&#28857;&#29992;\&#35266;&#28857;&#25968;&#25454;&#22270;&#34920;&#27169;&#26495;-&#27169;&#26495;%202023122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024&#24180;&#35266;&#28857;&#29992;\&#35266;&#28857;&#25968;&#25454;&#22270;&#34920;&#27169;&#26495;-&#27169;&#26495;%202023122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024&#24180;&#35266;&#28857;&#29992;\&#35266;&#28857;&#25968;&#25454;&#22270;&#34920;&#27169;&#26495;-&#27169;&#26495;%2020231220.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2024&#24180;&#35266;&#28857;&#29992;\&#35266;&#28857;&#25968;&#25454;&#22270;&#34920;&#27169;&#26495;-&#27169;&#26495;%2020231220.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istrator\Desktop\2024&#24180;&#35266;&#28857;&#29992;\&#35266;&#28857;&#25968;&#25454;&#22270;&#34920;&#27169;&#26495;-&#27169;&#26495;%2020231220.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Administrator\Desktop\2024&#24180;&#35266;&#28857;&#29992;\&#35266;&#28857;&#25968;&#25454;&#22270;&#34920;&#27169;&#26495;-&#27169;&#26495;%2020231220.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Administrator\Desktop\2024&#24180;&#35266;&#28857;&#29992;\&#35266;&#28857;&#25968;&#25454;&#22270;&#34920;&#27169;&#26495;-&#27169;&#26495;%20202312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zh-CN" altLang="en-US" sz="1100">
                <a:latin typeface="Book Antiqua" panose="02040602050305030304" pitchFamily="1" charset="0"/>
              </a:rPr>
              <a:t>全球市场规模（百万美元），</a:t>
            </a:r>
            <a:r>
              <a:rPr lang="en-US" altLang="zh-CN" sz="1100">
                <a:latin typeface="Book Antiqua" panose="02040602050305030304" pitchFamily="1" charset="0"/>
              </a:rPr>
              <a:t>2022 VS 2029</a:t>
            </a:r>
            <a:endParaRPr lang="en-US" altLang="zh-CN" sz="11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全球总体!$C$21:$D$21</c:f>
              <c:numCache>
                <c:formatCode>General</c:formatCode>
                <c:ptCount val="2"/>
                <c:pt idx="0">
                  <c:v>2022</c:v>
                </c:pt>
                <c:pt idx="1">
                  <c:v>2029</c:v>
                </c:pt>
              </c:numCache>
            </c:numRef>
          </c:cat>
          <c:val>
            <c:numRef>
              <c:f>全球总体!$C$22:$D$22</c:f>
              <c:numCache>
                <c:formatCode>#,##0_ </c:formatCode>
                <c:ptCount val="2"/>
                <c:pt idx="0">
                  <c:v>1337.14</c:v>
                </c:pt>
                <c:pt idx="1">
                  <c:v>2192.87</c:v>
                </c:pt>
              </c:numCache>
            </c:numRef>
          </c:val>
        </c:ser>
        <c:dLbls>
          <c:showLegendKey val="0"/>
          <c:showVal val="0"/>
          <c:showCatName val="0"/>
          <c:showSerName val="0"/>
          <c:showPercent val="0"/>
          <c:showBubbleSize val="0"/>
        </c:dLbls>
        <c:gapWidth val="219"/>
        <c:overlap val="-27"/>
        <c:axId val="563261824"/>
        <c:axId val="563263360"/>
      </c:barChart>
      <c:catAx>
        <c:axId val="5632618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63263360"/>
        <c:crosses val="autoZero"/>
        <c:auto val="1"/>
        <c:lblAlgn val="ctr"/>
        <c:lblOffset val="100"/>
        <c:noMultiLvlLbl val="0"/>
      </c:catAx>
      <c:valAx>
        <c:axId val="563263360"/>
        <c:scaling>
          <c:orientation val="minMax"/>
        </c:scaling>
        <c:delete val="0"/>
        <c:axPos val="l"/>
        <c:majorGridlines>
          <c:spPr>
            <a:ln w="9525" cap="flat" cmpd="sng" algn="ctr">
              <a:noFill/>
              <a:prstDash val="solid"/>
              <a:round/>
            </a:ln>
            <a:effectLst/>
          </c:spPr>
        </c:majorGridlines>
        <c:numFmt formatCode="#,##0_ " sourceLinked="1"/>
        <c:majorTickMark val="none"/>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63261824"/>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dPt>
          <c:dPt>
            <c:idx val="13"/>
            <c:invertIfNegative val="0"/>
            <c:bubble3D val="0"/>
          </c:dPt>
          <c:dPt>
            <c:idx val="14"/>
            <c:invertIfNegative val="0"/>
            <c:bubble3D val="0"/>
          </c:dPt>
          <c:dPt>
            <c:idx val="15"/>
            <c:invertIfNegative val="0"/>
            <c:bubble3D val="0"/>
          </c:dPt>
          <c:dPt>
            <c:idx val="16"/>
            <c:invertIfNegative val="0"/>
            <c:bubble3D val="0"/>
          </c:dPt>
          <c:dPt>
            <c:idx val="17"/>
            <c:invertIfNegative val="0"/>
            <c:bubble3D val="0"/>
          </c:dPt>
          <c:dPt>
            <c:idx val="18"/>
            <c:invertIfNegative val="0"/>
            <c:bubble3D val="0"/>
          </c:dPt>
          <c:dPt>
            <c:idx val="19"/>
            <c:invertIfNegative val="0"/>
            <c:bubble3D val="0"/>
          </c:dPt>
          <c:dPt>
            <c:idx val="20"/>
            <c:invertIfNegative val="0"/>
            <c:bubble3D val="0"/>
          </c:dPt>
          <c:dPt>
            <c:idx val="21"/>
            <c:invertIfNegative val="0"/>
            <c:bubble3D val="0"/>
          </c:dPt>
          <c:dPt>
            <c:idx val="22"/>
            <c:invertIfNegative val="0"/>
            <c:bubble3D val="0"/>
          </c:dPt>
          <c:dPt>
            <c:idx val="23"/>
            <c:invertIfNegative val="0"/>
            <c:bubble3D val="0"/>
          </c:dPt>
          <c:dPt>
            <c:idx val="24"/>
            <c:invertIfNegative val="0"/>
            <c:bubble3D val="0"/>
          </c:dPt>
          <c:dLbls>
            <c:delete val="1"/>
          </c:dLbls>
          <c:cat>
            <c:strRef>
              <c:f>企业排序!$F$2:$F$26</c:f>
              <c:strCache>
                <c:ptCount val="25"/>
                <c:pt idx="0">
                  <c:v>Yamaichi Electronics</c:v>
                </c:pt>
                <c:pt idx="1">
                  <c:v>Cohu</c:v>
                </c:pt>
                <c:pt idx="2">
                  <c:v>Enplas</c:v>
                </c:pt>
                <c:pt idx="3">
                  <c:v>ISC</c:v>
                </c:pt>
                <c:pt idx="4">
                  <c:v>Smiths Interconnect</c:v>
                </c:pt>
                <c:pt idx="5">
                  <c:v>LEENO</c:v>
                </c:pt>
                <c:pt idx="6">
                  <c:v>Sensata Technologies</c:v>
                </c:pt>
                <c:pt idx="7">
                  <c:v>Johnstech</c:v>
                </c:pt>
                <c:pt idx="8">
                  <c:v>Yokowo</c:v>
                </c:pt>
                <c:pt idx="9">
                  <c:v>WinWay Technology</c:v>
                </c:pt>
                <c:pt idx="10">
                  <c:v>Loranger</c:v>
                </c:pt>
                <c:pt idx="11">
                  <c:v>Plastronics（Smiths）</c:v>
                </c:pt>
                <c:pt idx="12">
                  <c:v>OKins Electronics</c:v>
                </c:pt>
                <c:pt idx="13">
                  <c:v>Ironwood Electronics</c:v>
                </c:pt>
                <c:pt idx="14">
                  <c:v>3M</c:v>
                </c:pt>
                <c:pt idx="15">
                  <c:v>M Specialties</c:v>
                </c:pt>
                <c:pt idx="16">
                  <c:v>Aries Electronics</c:v>
                </c:pt>
                <c:pt idx="17">
                  <c:v>Emulation Technology</c:v>
                </c:pt>
                <c:pt idx="18">
                  <c:v>Qualmax</c:v>
                </c:pt>
                <c:pt idx="19">
                  <c:v>MJC</c:v>
                </c:pt>
                <c:pt idx="20">
                  <c:v>Essai</c:v>
                </c:pt>
                <c:pt idx="21">
                  <c:v>Rika Denshi</c:v>
                </c:pt>
                <c:pt idx="22">
                  <c:v>Robson Technologies</c:v>
                </c:pt>
                <c:pt idx="23">
                  <c:v>Translarity</c:v>
                </c:pt>
                <c:pt idx="24">
                  <c:v>Test Tooling</c:v>
                </c:pt>
              </c:strCache>
            </c:strRef>
          </c:cat>
          <c:val>
            <c:numRef>
              <c:f>企业排序!$G$2:$G$26</c:f>
              <c:numCache>
                <c:formatCode>#,##0.00_ </c:formatCode>
                <c:ptCount val="25"/>
                <c:pt idx="0">
                  <c:v>165.95</c:v>
                </c:pt>
                <c:pt idx="1">
                  <c:v>142.05</c:v>
                </c:pt>
                <c:pt idx="2">
                  <c:v>127.64</c:v>
                </c:pt>
                <c:pt idx="3">
                  <c:v>106.84</c:v>
                </c:pt>
                <c:pt idx="4">
                  <c:v>87.11</c:v>
                </c:pt>
                <c:pt idx="5">
                  <c:v>76.76</c:v>
                </c:pt>
                <c:pt idx="6">
                  <c:v>76.79</c:v>
                </c:pt>
                <c:pt idx="7">
                  <c:v>70.74</c:v>
                </c:pt>
                <c:pt idx="8">
                  <c:v>52.82</c:v>
                </c:pt>
                <c:pt idx="9">
                  <c:v>30.48</c:v>
                </c:pt>
                <c:pt idx="10">
                  <c:v>27.54</c:v>
                </c:pt>
                <c:pt idx="11">
                  <c:v>22.47</c:v>
                </c:pt>
                <c:pt idx="12">
                  <c:v>18.21</c:v>
                </c:pt>
                <c:pt idx="13">
                  <c:v>15.73</c:v>
                </c:pt>
                <c:pt idx="14">
                  <c:v>13.04</c:v>
                </c:pt>
                <c:pt idx="15">
                  <c:v>10.57</c:v>
                </c:pt>
                <c:pt idx="16">
                  <c:v>10.64</c:v>
                </c:pt>
                <c:pt idx="17">
                  <c:v>11.62</c:v>
                </c:pt>
                <c:pt idx="18">
                  <c:v>10.16</c:v>
                </c:pt>
                <c:pt idx="19">
                  <c:v>9.4</c:v>
                </c:pt>
                <c:pt idx="20">
                  <c:v>7.92</c:v>
                </c:pt>
                <c:pt idx="21">
                  <c:v>7.52</c:v>
                </c:pt>
                <c:pt idx="22">
                  <c:v>7.28</c:v>
                </c:pt>
                <c:pt idx="23">
                  <c:v>6.59</c:v>
                </c:pt>
                <c:pt idx="24">
                  <c:v>5.45</c:v>
                </c:pt>
              </c:numCache>
            </c:numRef>
          </c:val>
        </c:ser>
        <c:dLbls>
          <c:showLegendKey val="0"/>
          <c:showVal val="0"/>
          <c:showCatName val="0"/>
          <c:showSerName val="0"/>
          <c:showPercent val="0"/>
          <c:showBubbleSize val="0"/>
        </c:dLbls>
        <c:gapWidth val="75"/>
        <c:axId val="550720256"/>
        <c:axId val="550721792"/>
      </c:barChart>
      <c:catAx>
        <c:axId val="55072025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550721792"/>
        <c:crosses val="autoZero"/>
        <c:auto val="1"/>
        <c:lblAlgn val="ctr"/>
        <c:lblOffset val="100"/>
        <c:noMultiLvlLbl val="0"/>
      </c:catAx>
      <c:valAx>
        <c:axId val="550721792"/>
        <c:scaling>
          <c:orientation val="minMax"/>
        </c:scaling>
        <c:delete val="0"/>
        <c:axPos val="b"/>
        <c:majorGridlines>
          <c:spPr>
            <a:ln w="9525" cap="flat" cmpd="sng" algn="ctr">
              <a:noFill/>
              <a:prstDash val="solid"/>
              <a:round/>
            </a:ln>
            <a:effectLst/>
          </c:spPr>
        </c:majorGridlines>
        <c:numFmt formatCode="#,##0.00_ " sourceLinked="1"/>
        <c:majorTickMark val="none"/>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550720256"/>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分类!$R$2</c:f>
              <c:strCache>
                <c:ptCount val="1"/>
                <c:pt idx="0">
                  <c:v>Burn-in Socket</c:v>
                </c:pt>
              </c:strCache>
            </c:strRef>
          </c:tx>
          <c:spPr>
            <a:solidFill>
              <a:srgbClr val="002060"/>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分类!$S$2:$AD$2</c:f>
              <c:numCache>
                <c:formatCode>0.0%</c:formatCode>
                <c:ptCount val="12"/>
                <c:pt idx="0">
                  <c:v>0.423640279063145</c:v>
                </c:pt>
                <c:pt idx="1">
                  <c:v>0.414366972167367</c:v>
                </c:pt>
                <c:pt idx="2">
                  <c:v>0.405601651083315</c:v>
                </c:pt>
                <c:pt idx="3">
                  <c:v>0.400963597430407</c:v>
                </c:pt>
                <c:pt idx="4">
                  <c:v>0.395082040773591</c:v>
                </c:pt>
                <c:pt idx="5">
                  <c:v>0.385994308543416</c:v>
                </c:pt>
                <c:pt idx="6">
                  <c:v>0.379971926163325</c:v>
                </c:pt>
                <c:pt idx="7">
                  <c:v>0.373994491625316</c:v>
                </c:pt>
                <c:pt idx="8">
                  <c:v>0.365737167116943</c:v>
                </c:pt>
                <c:pt idx="9">
                  <c:v>0.356067986895309</c:v>
                </c:pt>
                <c:pt idx="10">
                  <c:v>0.347710119156914</c:v>
                </c:pt>
                <c:pt idx="11">
                  <c:v>0.347699590034977</c:v>
                </c:pt>
              </c:numCache>
            </c:numRef>
          </c:val>
        </c:ser>
        <c:ser>
          <c:idx val="1"/>
          <c:order val="1"/>
          <c:tx>
            <c:strRef>
              <c:f>分类!$R$3</c:f>
              <c:strCache>
                <c:ptCount val="1"/>
                <c:pt idx="0">
                  <c:v>Test Socket</c:v>
                </c:pt>
              </c:strCache>
            </c:strRef>
          </c:tx>
          <c:spPr>
            <a:solidFill>
              <a:schemeClr val="bg1">
                <a:lumMod val="50000"/>
              </a:schemeClr>
            </a:solidFill>
            <a:ln>
              <a:noFill/>
            </a:ln>
            <a:effectLst/>
          </c:spPr>
          <c:invertIfNegative val="0"/>
          <c:dLbls>
            <c:delete val="1"/>
          </c:dLbls>
          <c:cat>
            <c:numRef>
              <c:f>分类!$S$1:$AD$1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分类!$S$3:$AD$3</c:f>
              <c:numCache>
                <c:formatCode>0.0%</c:formatCode>
                <c:ptCount val="12"/>
                <c:pt idx="0">
                  <c:v>0.576359720936855</c:v>
                </c:pt>
                <c:pt idx="1">
                  <c:v>0.585633027832633</c:v>
                </c:pt>
                <c:pt idx="2">
                  <c:v>0.594398348916685</c:v>
                </c:pt>
                <c:pt idx="3">
                  <c:v>0.599036402569593</c:v>
                </c:pt>
                <c:pt idx="4">
                  <c:v>0.604917959226409</c:v>
                </c:pt>
                <c:pt idx="5">
                  <c:v>0.614005691456584</c:v>
                </c:pt>
                <c:pt idx="6">
                  <c:v>0.620028073836675</c:v>
                </c:pt>
                <c:pt idx="7">
                  <c:v>0.626005508374684</c:v>
                </c:pt>
                <c:pt idx="8">
                  <c:v>0.634262832883057</c:v>
                </c:pt>
                <c:pt idx="9">
                  <c:v>0.643932013104691</c:v>
                </c:pt>
                <c:pt idx="10">
                  <c:v>0.652289880843086</c:v>
                </c:pt>
                <c:pt idx="11">
                  <c:v>0.652300409965023</c:v>
                </c:pt>
              </c:numCache>
            </c:numRef>
          </c:val>
        </c:ser>
        <c:dLbls>
          <c:showLegendKey val="0"/>
          <c:showVal val="0"/>
          <c:showCatName val="0"/>
          <c:showSerName val="0"/>
          <c:showPercent val="0"/>
          <c:showBubbleSize val="0"/>
        </c:dLbls>
        <c:gapWidth val="45"/>
        <c:overlap val="100"/>
        <c:axId val="550273024"/>
        <c:axId val="550274560"/>
      </c:barChart>
      <c:catAx>
        <c:axId val="5502730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50274560"/>
        <c:crosses val="autoZero"/>
        <c:auto val="1"/>
        <c:lblAlgn val="ctr"/>
        <c:lblOffset val="100"/>
        <c:noMultiLvlLbl val="0"/>
      </c:catAx>
      <c:valAx>
        <c:axId val="550274560"/>
        <c:scaling>
          <c:orientation val="minMax"/>
        </c:scaling>
        <c:delete val="0"/>
        <c:axPos val="l"/>
        <c:majorGridlines>
          <c:spPr>
            <a:ln w="9525" cap="flat" cmpd="sng" algn="ctr">
              <a:noFill/>
              <a:prstDash val="solid"/>
              <a:round/>
            </a:ln>
            <a:effectLst/>
          </c:spPr>
        </c:majorGridlines>
        <c:numFmt formatCode="0%" sourceLinked="1"/>
        <c:majorTickMark val="none"/>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5027302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应用!$A$2</c:f>
              <c:strCache>
                <c:ptCount val="1"/>
                <c:pt idx="0">
                  <c:v>Memory</c:v>
                </c:pt>
              </c:strCache>
            </c:strRef>
          </c:tx>
          <c:spPr>
            <a:solidFill>
              <a:srgbClr val="002060"/>
            </a:solidFill>
            <a:ln>
              <a:noFill/>
            </a:ln>
            <a:effectLst/>
          </c:spPr>
          <c:invertIfNegative val="0"/>
          <c:dLbls>
            <c:delete val="1"/>
          </c:dLbls>
          <c:cat>
            <c:numRef>
              <c:f>应用!$S$1:$AD$1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应用!$S$2:$AD$2</c:f>
              <c:numCache>
                <c:formatCode>0.0%</c:formatCode>
                <c:ptCount val="12"/>
                <c:pt idx="0">
                  <c:v>0.211664412330035</c:v>
                </c:pt>
                <c:pt idx="1">
                  <c:v>0.201461677384509</c:v>
                </c:pt>
                <c:pt idx="2">
                  <c:v>0.192088837640689</c:v>
                </c:pt>
                <c:pt idx="3">
                  <c:v>0.186822724028292</c:v>
                </c:pt>
                <c:pt idx="4">
                  <c:v>0.181686285654456</c:v>
                </c:pt>
                <c:pt idx="5">
                  <c:v>0.176248208437481</c:v>
                </c:pt>
                <c:pt idx="6">
                  <c:v>0.172995701970137</c:v>
                </c:pt>
                <c:pt idx="7">
                  <c:v>0.169966133270468</c:v>
                </c:pt>
                <c:pt idx="8">
                  <c:v>0.164592178052232</c:v>
                </c:pt>
                <c:pt idx="9">
                  <c:v>0.160083191567767</c:v>
                </c:pt>
                <c:pt idx="10">
                  <c:v>0.156928592827392</c:v>
                </c:pt>
                <c:pt idx="11">
                  <c:v>0.150911818758066</c:v>
                </c:pt>
              </c:numCache>
            </c:numRef>
          </c:val>
        </c:ser>
        <c:ser>
          <c:idx val="1"/>
          <c:order val="1"/>
          <c:tx>
            <c:strRef>
              <c:f>应用!$A$3</c:f>
              <c:strCache>
                <c:ptCount val="1"/>
                <c:pt idx="0">
                  <c:v>CMOS Image Sensor</c:v>
                </c:pt>
              </c:strCache>
            </c:strRef>
          </c:tx>
          <c:spPr>
            <a:solidFill>
              <a:schemeClr val="bg1">
                <a:lumMod val="50000"/>
              </a:schemeClr>
            </a:solidFill>
            <a:ln>
              <a:noFill/>
            </a:ln>
            <a:effectLst/>
          </c:spPr>
          <c:invertIfNegative val="0"/>
          <c:dLbls>
            <c:delete val="1"/>
          </c:dLbls>
          <c:cat>
            <c:numRef>
              <c:f>应用!$S$1:$AD$1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应用!$S$3:$AD$3</c:f>
              <c:numCache>
                <c:formatCode>0.0%</c:formatCode>
                <c:ptCount val="12"/>
                <c:pt idx="0">
                  <c:v>0.178863814337581</c:v>
                </c:pt>
                <c:pt idx="1">
                  <c:v>0.179519638125137</c:v>
                </c:pt>
                <c:pt idx="2">
                  <c:v>0.180441013043224</c:v>
                </c:pt>
                <c:pt idx="3">
                  <c:v>0.180374407890468</c:v>
                </c:pt>
                <c:pt idx="4">
                  <c:v>0.181858294569005</c:v>
                </c:pt>
                <c:pt idx="5">
                  <c:v>0.183012871554488</c:v>
                </c:pt>
                <c:pt idx="6">
                  <c:v>0.18341780328439</c:v>
                </c:pt>
                <c:pt idx="7">
                  <c:v>0.18822771781942</c:v>
                </c:pt>
                <c:pt idx="8">
                  <c:v>0.199140186114327</c:v>
                </c:pt>
                <c:pt idx="9">
                  <c:v>0.202638101536116</c:v>
                </c:pt>
                <c:pt idx="10">
                  <c:v>0.201392579993622</c:v>
                </c:pt>
                <c:pt idx="11">
                  <c:v>0.202246371193915</c:v>
                </c:pt>
              </c:numCache>
            </c:numRef>
          </c:val>
        </c:ser>
        <c:ser>
          <c:idx val="2"/>
          <c:order val="2"/>
          <c:tx>
            <c:strRef>
              <c:f>应用!$A$4</c:f>
              <c:strCache>
                <c:ptCount val="1"/>
                <c:pt idx="0">
                  <c:v>High Voltage</c:v>
                </c:pt>
              </c:strCache>
            </c:strRef>
          </c:tx>
          <c:invertIfNegative val="0"/>
          <c:dLbls>
            <c:delete val="1"/>
          </c:dLbls>
          <c:cat>
            <c:numRef>
              <c:f>应用!$S$1:$AD$1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应用!$S$4:$AD$4</c:f>
              <c:numCache>
                <c:formatCode>0.0%</c:formatCode>
                <c:ptCount val="12"/>
                <c:pt idx="0">
                  <c:v>0.0986064640136684</c:v>
                </c:pt>
                <c:pt idx="1">
                  <c:v>0.0992117744358364</c:v>
                </c:pt>
                <c:pt idx="2">
                  <c:v>0.0997668763943549</c:v>
                </c:pt>
                <c:pt idx="3">
                  <c:v>0.100455843228863</c:v>
                </c:pt>
                <c:pt idx="4">
                  <c:v>0.100931839597948</c:v>
                </c:pt>
                <c:pt idx="5">
                  <c:v>0.101739979366739</c:v>
                </c:pt>
                <c:pt idx="6">
                  <c:v>0.101382574345979</c:v>
                </c:pt>
                <c:pt idx="7">
                  <c:v>0.102008429308233</c:v>
                </c:pt>
                <c:pt idx="8">
                  <c:v>0.102325357005017</c:v>
                </c:pt>
                <c:pt idx="9">
                  <c:v>0.102394281589322</c:v>
                </c:pt>
                <c:pt idx="10">
                  <c:v>0.102810286343825</c:v>
                </c:pt>
                <c:pt idx="11">
                  <c:v>0.106581785513961</c:v>
                </c:pt>
              </c:numCache>
            </c:numRef>
          </c:val>
        </c:ser>
        <c:ser>
          <c:idx val="3"/>
          <c:order val="3"/>
          <c:tx>
            <c:strRef>
              <c:f>应用!$A$5</c:f>
              <c:strCache>
                <c:ptCount val="1"/>
                <c:pt idx="0">
                  <c:v>RF</c:v>
                </c:pt>
              </c:strCache>
            </c:strRef>
          </c:tx>
          <c:invertIfNegative val="0"/>
          <c:dLbls>
            <c:delete val="1"/>
          </c:dLbls>
          <c:cat>
            <c:numRef>
              <c:f>应用!$S$1:$AD$1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应用!$S$5:$AD$5</c:f>
              <c:numCache>
                <c:formatCode>0.0%</c:formatCode>
                <c:ptCount val="12"/>
                <c:pt idx="0">
                  <c:v>0.097191571153983</c:v>
                </c:pt>
                <c:pt idx="1">
                  <c:v>0.0975745607372525</c:v>
                </c:pt>
                <c:pt idx="2">
                  <c:v>0.103836094887156</c:v>
                </c:pt>
                <c:pt idx="3">
                  <c:v>0.104397832716891</c:v>
                </c:pt>
                <c:pt idx="4">
                  <c:v>0.108904078854869</c:v>
                </c:pt>
                <c:pt idx="5">
                  <c:v>0.111121881642629</c:v>
                </c:pt>
                <c:pt idx="6">
                  <c:v>0.1108357556334</c:v>
                </c:pt>
                <c:pt idx="7">
                  <c:v>0.111576211641185</c:v>
                </c:pt>
                <c:pt idx="8">
                  <c:v>0.113877095930357</c:v>
                </c:pt>
                <c:pt idx="9">
                  <c:v>0.111511027425958</c:v>
                </c:pt>
                <c:pt idx="10">
                  <c:v>0.114324922446534</c:v>
                </c:pt>
                <c:pt idx="11">
                  <c:v>0.116076192387146</c:v>
                </c:pt>
              </c:numCache>
            </c:numRef>
          </c:val>
        </c:ser>
        <c:ser>
          <c:idx val="4"/>
          <c:order val="4"/>
          <c:tx>
            <c:strRef>
              <c:f>应用!$A$6</c:f>
              <c:strCache>
                <c:ptCount val="1"/>
                <c:pt idx="0">
                  <c:v>SOC, CPU, GPU, etc.</c:v>
                </c:pt>
              </c:strCache>
            </c:strRef>
          </c:tx>
          <c:invertIfNegative val="0"/>
          <c:dLbls>
            <c:delete val="1"/>
          </c:dLbls>
          <c:cat>
            <c:numRef>
              <c:f>应用!$S$1:$AD$1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应用!$S$6:$AD$6</c:f>
              <c:numCache>
                <c:formatCode>0.0%</c:formatCode>
                <c:ptCount val="12"/>
                <c:pt idx="0">
                  <c:v>0.274008685128497</c:v>
                </c:pt>
                <c:pt idx="1">
                  <c:v>0.285584080206593</c:v>
                </c:pt>
                <c:pt idx="2">
                  <c:v>0.289349008598</c:v>
                </c:pt>
                <c:pt idx="3">
                  <c:v>0.293734994484459</c:v>
                </c:pt>
                <c:pt idx="4">
                  <c:v>0.299811538058842</c:v>
                </c:pt>
                <c:pt idx="5">
                  <c:v>0.30245729676584</c:v>
                </c:pt>
                <c:pt idx="6">
                  <c:v>0.307632108519043</c:v>
                </c:pt>
                <c:pt idx="7">
                  <c:v>0.307882495673223</c:v>
                </c:pt>
                <c:pt idx="8">
                  <c:v>0.308584201723916</c:v>
                </c:pt>
                <c:pt idx="9">
                  <c:v>0.310721515217293</c:v>
                </c:pt>
                <c:pt idx="10">
                  <c:v>0.318954936845869</c:v>
                </c:pt>
                <c:pt idx="11">
                  <c:v>0.32821371079909</c:v>
                </c:pt>
              </c:numCache>
            </c:numRef>
          </c:val>
        </c:ser>
        <c:ser>
          <c:idx val="5"/>
          <c:order val="5"/>
          <c:tx>
            <c:strRef>
              <c:f>应用!$A$7</c:f>
              <c:strCache>
                <c:ptCount val="1"/>
                <c:pt idx="0">
                  <c:v>Other Non-Memory</c:v>
                </c:pt>
              </c:strCache>
            </c:strRef>
          </c:tx>
          <c:invertIfNegative val="0"/>
          <c:dLbls>
            <c:delete val="1"/>
          </c:dLbls>
          <c:cat>
            <c:numRef>
              <c:f>应用!$S$1:$AD$1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应用!$S$7:$AD$7</c:f>
              <c:numCache>
                <c:formatCode>0.0%</c:formatCode>
                <c:ptCount val="12"/>
                <c:pt idx="0">
                  <c:v>0.139665053036235</c:v>
                </c:pt>
                <c:pt idx="1">
                  <c:v>0.136648269110673</c:v>
                </c:pt>
                <c:pt idx="2">
                  <c:v>0.134518169436576</c:v>
                </c:pt>
                <c:pt idx="3">
                  <c:v>0.134214197651028</c:v>
                </c:pt>
                <c:pt idx="4">
                  <c:v>0.126807963264879</c:v>
                </c:pt>
                <c:pt idx="5">
                  <c:v>0.125419762232823</c:v>
                </c:pt>
                <c:pt idx="6">
                  <c:v>0.12373605624705</c:v>
                </c:pt>
                <c:pt idx="7">
                  <c:v>0.120339012287471</c:v>
                </c:pt>
                <c:pt idx="8">
                  <c:v>0.11148098117415</c:v>
                </c:pt>
                <c:pt idx="9">
                  <c:v>0.112651882663544</c:v>
                </c:pt>
                <c:pt idx="10">
                  <c:v>0.105588681542758</c:v>
                </c:pt>
                <c:pt idx="11">
                  <c:v>0.0959701213478227</c:v>
                </c:pt>
              </c:numCache>
            </c:numRef>
          </c:val>
        </c:ser>
        <c:dLbls>
          <c:showLegendKey val="0"/>
          <c:showVal val="0"/>
          <c:showCatName val="0"/>
          <c:showSerName val="0"/>
          <c:showPercent val="0"/>
          <c:showBubbleSize val="0"/>
        </c:dLbls>
        <c:gapWidth val="45"/>
        <c:overlap val="100"/>
        <c:axId val="550750464"/>
        <c:axId val="550760448"/>
      </c:barChart>
      <c:catAx>
        <c:axId val="5507504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50760448"/>
        <c:crosses val="autoZero"/>
        <c:auto val="1"/>
        <c:lblAlgn val="ctr"/>
        <c:lblOffset val="100"/>
        <c:noMultiLvlLbl val="0"/>
      </c:catAx>
      <c:valAx>
        <c:axId val="550760448"/>
        <c:scaling>
          <c:orientation val="minMax"/>
        </c:scaling>
        <c:delete val="0"/>
        <c:axPos val="l"/>
        <c:majorGridlines>
          <c:spPr>
            <a:ln w="9525" cap="flat" cmpd="sng" algn="ctr">
              <a:noFill/>
              <a:prstDash val="solid"/>
              <a:round/>
            </a:ln>
            <a:effectLst/>
          </c:spPr>
        </c:majorGridlines>
        <c:numFmt formatCode="0%" sourceLinked="1"/>
        <c:majorTickMark val="none"/>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5075046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'地区-生产'!$P$2</c:f>
              <c:strCache>
                <c:ptCount val="1"/>
                <c:pt idx="0">
                  <c:v>North America</c:v>
                </c:pt>
              </c:strCache>
            </c:strRef>
          </c:tx>
          <c:spPr>
            <a:solidFill>
              <a:srgbClr val="002060"/>
            </a:solidFill>
            <a:ln>
              <a:noFill/>
            </a:ln>
            <a:effectLst/>
          </c:spPr>
          <c:invertIfNegative val="0"/>
          <c:dLbls>
            <c:delete val="1"/>
          </c:dLbls>
          <c:cat>
            <c:numRef>
              <c:f>'地区-生产'!$Q$1:$AB$1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'地区-生产'!$Q$2:$AB$2</c:f>
              <c:numCache>
                <c:formatCode>0.0%</c:formatCode>
                <c:ptCount val="12"/>
                <c:pt idx="0">
                  <c:v>0.280389051042927</c:v>
                </c:pt>
                <c:pt idx="1">
                  <c:v>0.283837156311712</c:v>
                </c:pt>
                <c:pt idx="2">
                  <c:v>0.285070897985444</c:v>
                </c:pt>
                <c:pt idx="3">
                  <c:v>0.282452469015638</c:v>
                </c:pt>
                <c:pt idx="4">
                  <c:v>0.280060427479546</c:v>
                </c:pt>
                <c:pt idx="5">
                  <c:v>0.276894209531459</c:v>
                </c:pt>
                <c:pt idx="6">
                  <c:v>0.26990633773074</c:v>
                </c:pt>
                <c:pt idx="7">
                  <c:v>0.263234761409178</c:v>
                </c:pt>
                <c:pt idx="8">
                  <c:v>0.256721986363052</c:v>
                </c:pt>
                <c:pt idx="9">
                  <c:v>0.242775004164626</c:v>
                </c:pt>
                <c:pt idx="10">
                  <c:v>0.237555205504605</c:v>
                </c:pt>
                <c:pt idx="11">
                  <c:v>0.23283641985161</c:v>
                </c:pt>
              </c:numCache>
            </c:numRef>
          </c:val>
        </c:ser>
        <c:ser>
          <c:idx val="1"/>
          <c:order val="1"/>
          <c:tx>
            <c:strRef>
              <c:f>'地区-生产'!$P$3</c:f>
              <c:strCache>
                <c:ptCount val="1"/>
                <c:pt idx="0">
                  <c:v>Europe</c:v>
                </c:pt>
              </c:strCache>
            </c:strRef>
          </c:tx>
          <c:spPr>
            <a:solidFill>
              <a:schemeClr val="bg1">
                <a:lumMod val="50000"/>
              </a:schemeClr>
            </a:solidFill>
            <a:ln>
              <a:noFill/>
            </a:ln>
            <a:effectLst/>
          </c:spPr>
          <c:invertIfNegative val="0"/>
          <c:dLbls>
            <c:delete val="1"/>
          </c:dLbls>
          <c:cat>
            <c:numRef>
              <c:f>'地区-生产'!$Q$1:$AB$1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'地区-生产'!$Q$3:$AB$3</c:f>
              <c:numCache>
                <c:formatCode>0.0%</c:formatCode>
                <c:ptCount val="12"/>
                <c:pt idx="0">
                  <c:v>0.135144514843027</c:v>
                </c:pt>
                <c:pt idx="1">
                  <c:v>0.133416037942849</c:v>
                </c:pt>
                <c:pt idx="2">
                  <c:v>0.13130123079237</c:v>
                </c:pt>
                <c:pt idx="3">
                  <c:v>0.128455324119136</c:v>
                </c:pt>
                <c:pt idx="4">
                  <c:v>0.126419073545029</c:v>
                </c:pt>
                <c:pt idx="5">
                  <c:v>0.125433610059061</c:v>
                </c:pt>
                <c:pt idx="6">
                  <c:v>0.124295048570222</c:v>
                </c:pt>
                <c:pt idx="7">
                  <c:v>0.12323694635947</c:v>
                </c:pt>
                <c:pt idx="8">
                  <c:v>0.123826064582529</c:v>
                </c:pt>
                <c:pt idx="9">
                  <c:v>0.123293134171643</c:v>
                </c:pt>
                <c:pt idx="10">
                  <c:v>0.123114315258463</c:v>
                </c:pt>
                <c:pt idx="11">
                  <c:v>0.11749442511412</c:v>
                </c:pt>
              </c:numCache>
            </c:numRef>
          </c:val>
        </c:ser>
        <c:ser>
          <c:idx val="2"/>
          <c:order val="2"/>
          <c:tx>
            <c:strRef>
              <c:f>'地区-生产'!$P$4</c:f>
              <c:strCache>
                <c:ptCount val="1"/>
                <c:pt idx="0">
                  <c:v>China</c:v>
                </c:pt>
              </c:strCache>
            </c:strRef>
          </c:tx>
          <c:spPr>
            <a:solidFill>
              <a:srgbClr val="0070C0"/>
            </a:solidFill>
            <a:ln>
              <a:noFill/>
            </a:ln>
            <a:effectLst/>
          </c:spPr>
          <c:invertIfNegative val="0"/>
          <c:dLbls>
            <c:delete val="1"/>
          </c:dLbls>
          <c:cat>
            <c:numRef>
              <c:f>'地区-生产'!$Q$1:$AB$1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'地区-生产'!$Q$4:$AB$4</c:f>
              <c:numCache>
                <c:formatCode>0.0%</c:formatCode>
                <c:ptCount val="12"/>
                <c:pt idx="0">
                  <c:v>0.0515679504520538</c:v>
                </c:pt>
                <c:pt idx="1">
                  <c:v>0.0547538271980016</c:v>
                </c:pt>
                <c:pt idx="2">
                  <c:v>0.0575372454649521</c:v>
                </c:pt>
                <c:pt idx="3">
                  <c:v>0.0595921744208682</c:v>
                </c:pt>
                <c:pt idx="4">
                  <c:v>0.0670834766740954</c:v>
                </c:pt>
                <c:pt idx="5">
                  <c:v>0.0777416964971924</c:v>
                </c:pt>
                <c:pt idx="6">
                  <c:v>0.092041191523192</c:v>
                </c:pt>
                <c:pt idx="7">
                  <c:v>0.101341444482138</c:v>
                </c:pt>
                <c:pt idx="8">
                  <c:v>0.112746043998456</c:v>
                </c:pt>
                <c:pt idx="9">
                  <c:v>0.1258373423121</c:v>
                </c:pt>
                <c:pt idx="10">
                  <c:v>0.133865496680422</c:v>
                </c:pt>
                <c:pt idx="11">
                  <c:v>0.150993902967344</c:v>
                </c:pt>
              </c:numCache>
            </c:numRef>
          </c:val>
        </c:ser>
        <c:ser>
          <c:idx val="3"/>
          <c:order val="3"/>
          <c:tx>
            <c:strRef>
              <c:f>'地区-生产'!$P$5</c:f>
              <c:strCache>
                <c:ptCount val="1"/>
                <c:pt idx="0">
                  <c:v>Japan</c:v>
                </c:pt>
              </c:strCache>
            </c:strRef>
          </c:tx>
          <c:spPr>
            <a:solidFill>
              <a:srgbClr val="FFC000"/>
            </a:solidFill>
            <a:ln>
              <a:noFill/>
            </a:ln>
            <a:effectLst/>
          </c:spPr>
          <c:invertIfNegative val="0"/>
          <c:dLbls>
            <c:delete val="1"/>
          </c:dLbls>
          <c:cat>
            <c:numRef>
              <c:f>'地区-生产'!$Q$1:$AB$1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'地区-生产'!$Q$5:$AB$5</c:f>
              <c:numCache>
                <c:formatCode>0.0%</c:formatCode>
                <c:ptCount val="12"/>
                <c:pt idx="0">
                  <c:v>0.256451555492276</c:v>
                </c:pt>
                <c:pt idx="1">
                  <c:v>0.252173105811265</c:v>
                </c:pt>
                <c:pt idx="2">
                  <c:v>0.25356996632659</c:v>
                </c:pt>
                <c:pt idx="3">
                  <c:v>0.254014989293362</c:v>
                </c:pt>
                <c:pt idx="4">
                  <c:v>0.253032591949983</c:v>
                </c:pt>
                <c:pt idx="5">
                  <c:v>0.247329100514447</c:v>
                </c:pt>
                <c:pt idx="6">
                  <c:v>0.239894661002211</c:v>
                </c:pt>
                <c:pt idx="7">
                  <c:v>0.23257645888556</c:v>
                </c:pt>
                <c:pt idx="8">
                  <c:v>0.225073974012608</c:v>
                </c:pt>
                <c:pt idx="9">
                  <c:v>0.222840325699026</c:v>
                </c:pt>
                <c:pt idx="10">
                  <c:v>0.214037902142505</c:v>
                </c:pt>
                <c:pt idx="11">
                  <c:v>0.202816400425014</c:v>
                </c:pt>
              </c:numCache>
            </c:numRef>
          </c:val>
        </c:ser>
        <c:ser>
          <c:idx val="8"/>
          <c:order val="4"/>
          <c:tx>
            <c:strRef>
              <c:f>'地区-生产'!$P$6</c:f>
              <c:strCache>
                <c:ptCount val="1"/>
                <c:pt idx="0">
                  <c:v>South Korea</c:v>
                </c:pt>
              </c:strCache>
            </c:strRef>
          </c:tx>
          <c:spPr>
            <a:solidFill>
              <a:schemeClr val="accent6">
                <a:lumMod val="75000"/>
              </a:schemeClr>
            </a:solidFill>
            <a:ln>
              <a:noFill/>
            </a:ln>
            <a:effectLst/>
          </c:spPr>
          <c:invertIfNegative val="0"/>
          <c:dLbls>
            <c:delete val="1"/>
          </c:dLbls>
          <c:cat>
            <c:numRef>
              <c:f>'地区-生产'!$Q$1:$AB$1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'地区-生产'!$Q$6:$AB$6</c:f>
              <c:numCache>
                <c:formatCode>0.0%</c:formatCode>
                <c:ptCount val="12"/>
                <c:pt idx="0">
                  <c:v>0.187860397237844</c:v>
                </c:pt>
                <c:pt idx="1">
                  <c:v>0.184574746400662</c:v>
                </c:pt>
                <c:pt idx="2">
                  <c:v>0.182087082946883</c:v>
                </c:pt>
                <c:pt idx="3">
                  <c:v>0.181639737849588</c:v>
                </c:pt>
                <c:pt idx="4">
                  <c:v>0.1821125686166</c:v>
                </c:pt>
                <c:pt idx="5">
                  <c:v>0.178796208465176</c:v>
                </c:pt>
                <c:pt idx="6">
                  <c:v>0.176430399244739</c:v>
                </c:pt>
                <c:pt idx="7">
                  <c:v>0.16854016571123</c:v>
                </c:pt>
                <c:pt idx="8">
                  <c:v>0.164447446288434</c:v>
                </c:pt>
                <c:pt idx="9">
                  <c:v>0.161506736598737</c:v>
                </c:pt>
                <c:pt idx="10">
                  <c:v>0.156696657228176</c:v>
                </c:pt>
                <c:pt idx="11">
                  <c:v>0.159662907513897</c:v>
                </c:pt>
              </c:numCache>
            </c:numRef>
          </c:val>
        </c:ser>
        <c:ser>
          <c:idx val="4"/>
          <c:order val="5"/>
          <c:tx>
            <c:strRef>
              <c:f>'地区-生产'!$P$7</c:f>
              <c:strCache>
                <c:ptCount val="1"/>
                <c:pt idx="0">
                  <c:v>Others</c:v>
                </c:pt>
              </c:strCache>
            </c:strRef>
          </c:tx>
          <c:invertIfNegative val="0"/>
          <c:dLbls>
            <c:delete val="1"/>
          </c:dLbls>
          <c:cat>
            <c:numRef>
              <c:f>'地区-生产'!$Q$1:$AB$1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'地区-生产'!$Q$7:$AB$7</c:f>
              <c:numCache>
                <c:formatCode>0.0%</c:formatCode>
                <c:ptCount val="12"/>
                <c:pt idx="0">
                  <c:v>0.0885865309318716</c:v>
                </c:pt>
                <c:pt idx="1">
                  <c:v>0.0912451263355107</c:v>
                </c:pt>
                <c:pt idx="2">
                  <c:v>0.0904335764837607</c:v>
                </c:pt>
                <c:pt idx="3">
                  <c:v>0.0938453053014081</c:v>
                </c:pt>
                <c:pt idx="4">
                  <c:v>0.0912918617347473</c:v>
                </c:pt>
                <c:pt idx="5">
                  <c:v>0.0938051749326649</c:v>
                </c:pt>
                <c:pt idx="6">
                  <c:v>0.0974323619288962</c:v>
                </c:pt>
                <c:pt idx="7">
                  <c:v>0.111070223152423</c:v>
                </c:pt>
                <c:pt idx="8">
                  <c:v>0.117184484754921</c:v>
                </c:pt>
                <c:pt idx="9">
                  <c:v>0.123747457053868</c:v>
                </c:pt>
                <c:pt idx="10">
                  <c:v>0.134730423185829</c:v>
                </c:pt>
                <c:pt idx="11">
                  <c:v>0.136195944128015</c:v>
                </c:pt>
              </c:numCache>
            </c:numRef>
          </c:val>
        </c:ser>
        <c:dLbls>
          <c:showLegendKey val="0"/>
          <c:showVal val="0"/>
          <c:showCatName val="0"/>
          <c:showSerName val="0"/>
          <c:showPercent val="0"/>
          <c:showBubbleSize val="0"/>
        </c:dLbls>
        <c:gapWidth val="45"/>
        <c:overlap val="100"/>
        <c:axId val="562468736"/>
        <c:axId val="562470272"/>
      </c:barChart>
      <c:catAx>
        <c:axId val="5624687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62470272"/>
        <c:crosses val="autoZero"/>
        <c:auto val="1"/>
        <c:lblAlgn val="ctr"/>
        <c:lblOffset val="100"/>
        <c:noMultiLvlLbl val="0"/>
      </c:catAx>
      <c:valAx>
        <c:axId val="562470272"/>
        <c:scaling>
          <c:orientation val="minMax"/>
        </c:scaling>
        <c:delete val="0"/>
        <c:axPos val="l"/>
        <c:majorGridlines>
          <c:spPr>
            <a:ln w="9525" cap="flat" cmpd="sng" algn="ctr">
              <a:noFill/>
              <a:prstDash val="solid"/>
              <a:round/>
            </a:ln>
            <a:effectLst/>
          </c:spPr>
        </c:majorGridlines>
        <c:numFmt formatCode="0%" sourceLinked="1"/>
        <c:majorTickMark val="none"/>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62468736"/>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2018 Vs 2022 VS 2029</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'地区-生产'!$AE$1</c:f>
              <c:strCache>
                <c:ptCount val="1"/>
                <c:pt idx="0">
                  <c:v>2018</c:v>
                </c:pt>
              </c:strCache>
            </c:strRef>
          </c:tx>
          <c:spPr>
            <a:solidFill>
              <a:srgbClr val="FFC000"/>
            </a:solidFill>
            <a:ln>
              <a:noFill/>
            </a:ln>
            <a:effectLst/>
          </c:spPr>
          <c:invertIfNegative val="0"/>
          <c:dLbls>
            <c:delete val="1"/>
          </c:dLbls>
          <c:cat>
            <c:strRef>
              <c:f>'地区-生产'!$AD$2:$AD$7</c:f>
              <c:strCache>
                <c:ptCount val="6"/>
                <c:pt idx="0">
                  <c:v>North America</c:v>
                </c:pt>
                <c:pt idx="1">
                  <c:v>Europe</c:v>
                </c:pt>
                <c:pt idx="2">
                  <c:v>China</c:v>
                </c:pt>
                <c:pt idx="3">
                  <c:v>Japan</c:v>
                </c:pt>
                <c:pt idx="4">
                  <c:v>South Korea</c:v>
                </c:pt>
                <c:pt idx="5">
                  <c:v>Others</c:v>
                </c:pt>
              </c:strCache>
            </c:strRef>
          </c:cat>
          <c:val>
            <c:numRef>
              <c:f>'地区-生产'!$AE$2:$AE$7</c:f>
              <c:numCache>
                <c:formatCode>#,##0_);[Red]\(#,##0\)</c:formatCode>
                <c:ptCount val="6"/>
                <c:pt idx="0">
                  <c:v>315.09</c:v>
                </c:pt>
                <c:pt idx="1">
                  <c:v>151.87</c:v>
                </c:pt>
                <c:pt idx="2">
                  <c:v>57.95</c:v>
                </c:pt>
                <c:pt idx="3">
                  <c:v>288.19</c:v>
                </c:pt>
                <c:pt idx="4">
                  <c:v>211.11</c:v>
                </c:pt>
                <c:pt idx="5">
                  <c:v>99.55</c:v>
                </c:pt>
              </c:numCache>
            </c:numRef>
          </c:val>
        </c:ser>
        <c:ser>
          <c:idx val="1"/>
          <c:order val="1"/>
          <c:tx>
            <c:strRef>
              <c:f>'地区-生产'!$AF$1</c:f>
              <c:strCache>
                <c:ptCount val="1"/>
                <c:pt idx="0">
                  <c:v>2022</c:v>
                </c:pt>
              </c:strCache>
            </c:strRef>
          </c:tx>
          <c:spPr>
            <a:solidFill>
              <a:schemeClr val="bg1">
                <a:lumMod val="50000"/>
              </a:schemeClr>
            </a:solidFill>
            <a:ln>
              <a:noFill/>
            </a:ln>
            <a:effectLst/>
          </c:spPr>
          <c:invertIfNegative val="0"/>
          <c:dLbls>
            <c:delete val="1"/>
          </c:dLbls>
          <c:cat>
            <c:strRef>
              <c:f>'地区-生产'!$AD$2:$AD$7</c:f>
              <c:strCache>
                <c:ptCount val="6"/>
                <c:pt idx="0">
                  <c:v>North America</c:v>
                </c:pt>
                <c:pt idx="1">
                  <c:v>Europe</c:v>
                </c:pt>
                <c:pt idx="2">
                  <c:v>China</c:v>
                </c:pt>
                <c:pt idx="3">
                  <c:v>Japan</c:v>
                </c:pt>
                <c:pt idx="4">
                  <c:v>South Korea</c:v>
                </c:pt>
                <c:pt idx="5">
                  <c:v>Others</c:v>
                </c:pt>
              </c:strCache>
            </c:strRef>
          </c:cat>
          <c:val>
            <c:numRef>
              <c:f>'地区-生产'!$AF$2:$AF$7</c:f>
              <c:numCache>
                <c:formatCode>#,##0_);[Red]\(#,##0\)</c:formatCode>
                <c:ptCount val="6"/>
                <c:pt idx="0">
                  <c:v>374.48</c:v>
                </c:pt>
                <c:pt idx="1">
                  <c:v>169.04</c:v>
                </c:pt>
                <c:pt idx="2">
                  <c:v>89.7</c:v>
                </c:pt>
                <c:pt idx="3">
                  <c:v>338.34</c:v>
                </c:pt>
                <c:pt idx="4">
                  <c:v>243.51</c:v>
                </c:pt>
                <c:pt idx="5">
                  <c:v>122.07</c:v>
                </c:pt>
              </c:numCache>
            </c:numRef>
          </c:val>
        </c:ser>
        <c:ser>
          <c:idx val="2"/>
          <c:order val="2"/>
          <c:tx>
            <c:strRef>
              <c:f>'地区-生产'!$AG$1</c:f>
              <c:strCache>
                <c:ptCount val="1"/>
                <c:pt idx="0">
                  <c:v>2029</c:v>
                </c:pt>
              </c:strCache>
            </c:strRef>
          </c:tx>
          <c:spPr>
            <a:solidFill>
              <a:srgbClr val="002060"/>
            </a:solidFill>
            <a:ln>
              <a:noFill/>
            </a:ln>
            <a:effectLst/>
          </c:spPr>
          <c:invertIfNegative val="0"/>
          <c:dLbls>
            <c:delete val="1"/>
          </c:dLbls>
          <c:cat>
            <c:strRef>
              <c:f>'地区-生产'!$AD$2:$AD$7</c:f>
              <c:strCache>
                <c:ptCount val="6"/>
                <c:pt idx="0">
                  <c:v>North America</c:v>
                </c:pt>
                <c:pt idx="1">
                  <c:v>Europe</c:v>
                </c:pt>
                <c:pt idx="2">
                  <c:v>China</c:v>
                </c:pt>
                <c:pt idx="3">
                  <c:v>Japan</c:v>
                </c:pt>
                <c:pt idx="4">
                  <c:v>South Korea</c:v>
                </c:pt>
                <c:pt idx="5">
                  <c:v>Others</c:v>
                </c:pt>
              </c:strCache>
            </c:strRef>
          </c:cat>
          <c:val>
            <c:numRef>
              <c:f>'地区-生产'!$AG$2:$AG$7</c:f>
              <c:numCache>
                <c:formatCode>#,##0_);[Red]\(#,##0\)</c:formatCode>
                <c:ptCount val="6"/>
                <c:pt idx="0">
                  <c:v>510.58</c:v>
                </c:pt>
                <c:pt idx="1">
                  <c:v>257.65</c:v>
                </c:pt>
                <c:pt idx="2">
                  <c:v>331.11</c:v>
                </c:pt>
                <c:pt idx="3">
                  <c:v>444.75</c:v>
                </c:pt>
                <c:pt idx="4">
                  <c:v>350.12</c:v>
                </c:pt>
                <c:pt idx="5">
                  <c:v>298.66</c:v>
                </c:pt>
              </c:numCache>
            </c:numRef>
          </c:val>
        </c:ser>
        <c:dLbls>
          <c:showLegendKey val="0"/>
          <c:showVal val="0"/>
          <c:showCatName val="0"/>
          <c:showSerName val="0"/>
          <c:showPercent val="0"/>
          <c:showBubbleSize val="0"/>
        </c:dLbls>
        <c:gapWidth val="75"/>
        <c:axId val="563284224"/>
        <c:axId val="563290112"/>
      </c:barChart>
      <c:catAx>
        <c:axId val="5632842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563290112"/>
        <c:crosses val="autoZero"/>
        <c:auto val="1"/>
        <c:lblAlgn val="ctr"/>
        <c:lblOffset val="100"/>
        <c:noMultiLvlLbl val="0"/>
      </c:catAx>
      <c:valAx>
        <c:axId val="563290112"/>
        <c:scaling>
          <c:orientation val="minMax"/>
        </c:scaling>
        <c:delete val="0"/>
        <c:axPos val="l"/>
        <c:majorGridlines>
          <c:spPr>
            <a:ln w="9525" cap="flat" cmpd="sng" algn="ctr">
              <a:noFill/>
              <a:prstDash val="solid"/>
              <a:round/>
            </a:ln>
            <a:effectLst/>
          </c:spPr>
        </c:majorGridlines>
        <c:numFmt formatCode="#,##0_);[Red]\(#,##0\)" sourceLinked="1"/>
        <c:majorTickMark val="none"/>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56328422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'地区-消费'!$A$2</c:f>
              <c:strCache>
                <c:ptCount val="1"/>
                <c:pt idx="0">
                  <c:v>North America</c:v>
                </c:pt>
              </c:strCache>
            </c:strRef>
          </c:tx>
          <c:spPr>
            <a:solidFill>
              <a:srgbClr val="00206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'地区-消费'!$B$2:$M$2</c:f>
              <c:numCache>
                <c:formatCode>#,##0_);[Red]\(#,##0\)</c:formatCode>
                <c:ptCount val="12"/>
                <c:pt idx="0">
                  <c:v>284.12</c:v>
                </c:pt>
                <c:pt idx="1">
                  <c:v>299.9</c:v>
                </c:pt>
                <c:pt idx="2">
                  <c:v>304.96</c:v>
                </c:pt>
                <c:pt idx="3">
                  <c:v>314.23</c:v>
                </c:pt>
                <c:pt idx="4">
                  <c:v>341.1</c:v>
                </c:pt>
                <c:pt idx="5">
                  <c:v>366.34</c:v>
                </c:pt>
                <c:pt idx="6">
                  <c:v>408.28</c:v>
                </c:pt>
                <c:pt idx="7">
                  <c:v>439.03</c:v>
                </c:pt>
                <c:pt idx="8">
                  <c:v>467.02</c:v>
                </c:pt>
                <c:pt idx="9">
                  <c:v>488.49</c:v>
                </c:pt>
                <c:pt idx="10">
                  <c:v>506.51</c:v>
                </c:pt>
                <c:pt idx="11">
                  <c:v>532.45</c:v>
                </c:pt>
              </c:numCache>
            </c:numRef>
          </c:val>
        </c:ser>
        <c:ser>
          <c:idx val="1"/>
          <c:order val="1"/>
          <c:tx>
            <c:strRef>
              <c:f>'地区-消费'!$A$3</c:f>
              <c:strCache>
                <c:ptCount val="1"/>
                <c:pt idx="0">
                  <c:v>Europe</c:v>
                </c:pt>
              </c:strCache>
            </c:strRef>
          </c:tx>
          <c:spPr>
            <a:solidFill>
              <a:schemeClr val="bg1">
                <a:lumMod val="50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'地区-消费'!$B$3:$M$3</c:f>
              <c:numCache>
                <c:formatCode>#,##0_);[Red]\(#,##0\)</c:formatCode>
                <c:ptCount val="12"/>
                <c:pt idx="0">
                  <c:v>105.29</c:v>
                </c:pt>
                <c:pt idx="1">
                  <c:v>110.22</c:v>
                </c:pt>
                <c:pt idx="2">
                  <c:v>108.78</c:v>
                </c:pt>
                <c:pt idx="3">
                  <c:v>110.92</c:v>
                </c:pt>
                <c:pt idx="4">
                  <c:v>119.87</c:v>
                </c:pt>
                <c:pt idx="5">
                  <c:v>127.77</c:v>
                </c:pt>
                <c:pt idx="6">
                  <c:v>137.47</c:v>
                </c:pt>
                <c:pt idx="7">
                  <c:v>148.07</c:v>
                </c:pt>
                <c:pt idx="8">
                  <c:v>158.49</c:v>
                </c:pt>
                <c:pt idx="9">
                  <c:v>164.91</c:v>
                </c:pt>
                <c:pt idx="10">
                  <c:v>168.26</c:v>
                </c:pt>
                <c:pt idx="11">
                  <c:v>174.82</c:v>
                </c:pt>
              </c:numCache>
            </c:numRef>
          </c:val>
        </c:ser>
        <c:ser>
          <c:idx val="2"/>
          <c:order val="2"/>
          <c:tx>
            <c:strRef>
              <c:f>'地区-消费'!$A$4</c:f>
              <c:strCache>
                <c:ptCount val="1"/>
                <c:pt idx="0">
                  <c:v>Asia-Pacific</c:v>
                </c:pt>
              </c:strCache>
            </c:strRef>
          </c:tx>
          <c:spPr>
            <a:solidFill>
              <a:srgbClr val="0070C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'地区-消费'!$B$4:$M$4</c:f>
              <c:numCache>
                <c:formatCode>#,##0_);[Red]\(#,##0\)</c:formatCode>
                <c:ptCount val="12"/>
                <c:pt idx="0">
                  <c:v>708.14</c:v>
                </c:pt>
                <c:pt idx="1">
                  <c:v>747.05</c:v>
                </c:pt>
                <c:pt idx="2">
                  <c:v>755.46</c:v>
                </c:pt>
                <c:pt idx="3">
                  <c:v>778.7</c:v>
                </c:pt>
                <c:pt idx="4">
                  <c:v>843.19</c:v>
                </c:pt>
                <c:pt idx="5">
                  <c:v>911.92</c:v>
                </c:pt>
                <c:pt idx="6">
                  <c:v>1020.85</c:v>
                </c:pt>
                <c:pt idx="7">
                  <c:v>1103.96</c:v>
                </c:pt>
                <c:pt idx="8">
                  <c:v>1187.14</c:v>
                </c:pt>
                <c:pt idx="9">
                  <c:v>1267.42</c:v>
                </c:pt>
                <c:pt idx="10">
                  <c:v>1329.09</c:v>
                </c:pt>
                <c:pt idx="11">
                  <c:v>1414.87</c:v>
                </c:pt>
              </c:numCache>
            </c:numRef>
          </c:val>
        </c:ser>
        <c:ser>
          <c:idx val="3"/>
          <c:order val="3"/>
          <c:tx>
            <c:strRef>
              <c:f>'地区-消费'!$A$5</c:f>
              <c:strCache>
                <c:ptCount val="1"/>
                <c:pt idx="0">
                  <c:v>South America</c:v>
                </c:pt>
              </c:strCache>
            </c:strRef>
          </c:tx>
          <c:spPr>
            <a:solidFill>
              <a:srgbClr val="FFC00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'地区-消费'!$B$5:$M$5</c:f>
              <c:numCache>
                <c:formatCode>#,##0_);[Red]\(#,##0\)</c:formatCode>
                <c:ptCount val="12"/>
                <c:pt idx="0">
                  <c:v>14.28</c:v>
                </c:pt>
                <c:pt idx="1">
                  <c:v>15.71</c:v>
                </c:pt>
                <c:pt idx="2">
                  <c:v>15.91</c:v>
                </c:pt>
                <c:pt idx="3">
                  <c:v>17.39</c:v>
                </c:pt>
                <c:pt idx="4">
                  <c:v>20.74</c:v>
                </c:pt>
                <c:pt idx="5">
                  <c:v>24.68</c:v>
                </c:pt>
                <c:pt idx="6">
                  <c:v>27.17</c:v>
                </c:pt>
                <c:pt idx="7">
                  <c:v>29.84</c:v>
                </c:pt>
                <c:pt idx="8">
                  <c:v>33.23</c:v>
                </c:pt>
                <c:pt idx="9">
                  <c:v>38.21</c:v>
                </c:pt>
                <c:pt idx="10">
                  <c:v>40.99</c:v>
                </c:pt>
                <c:pt idx="11">
                  <c:v>41.52</c:v>
                </c:pt>
              </c:numCache>
            </c:numRef>
          </c:val>
        </c:ser>
        <c:ser>
          <c:idx val="8"/>
          <c:order val="4"/>
          <c:tx>
            <c:strRef>
              <c:f>'地区-消费'!$A$6</c:f>
              <c:strCache>
                <c:ptCount val="1"/>
                <c:pt idx="0">
                  <c:v>Middle East and Africa</c:v>
                </c:pt>
              </c:strCache>
            </c:strRef>
          </c:tx>
          <c:spPr>
            <a:solidFill>
              <a:schemeClr val="accent6">
                <a:lumMod val="75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'地区-消费'!$B$6:$M$6</c:f>
              <c:numCache>
                <c:formatCode>#,##0_);[Red]\(#,##0\)</c:formatCode>
                <c:ptCount val="12"/>
                <c:pt idx="0">
                  <c:v>11.93</c:v>
                </c:pt>
                <c:pt idx="1">
                  <c:v>12.0600000000003</c:v>
                </c:pt>
                <c:pt idx="2">
                  <c:v>11.6799999999999</c:v>
                </c:pt>
                <c:pt idx="3">
                  <c:v>11.6399999999996</c:v>
                </c:pt>
                <c:pt idx="4">
                  <c:v>12.2400000000002</c:v>
                </c:pt>
                <c:pt idx="5">
                  <c:v>13.5599999999999</c:v>
                </c:pt>
                <c:pt idx="6">
                  <c:v>16.2699999999999</c:v>
                </c:pt>
                <c:pt idx="7">
                  <c:v>18.2700000000001</c:v>
                </c:pt>
                <c:pt idx="8">
                  <c:v>19.6399999999999</c:v>
                </c:pt>
                <c:pt idx="9">
                  <c:v>21.9400000000001</c:v>
                </c:pt>
                <c:pt idx="10">
                  <c:v>24.6900000000001</c:v>
                </c:pt>
                <c:pt idx="11">
                  <c:v>29.21</c:v>
                </c:pt>
              </c:numCache>
            </c:numRef>
          </c:val>
        </c:ser>
        <c:dLbls>
          <c:showLegendKey val="0"/>
          <c:showVal val="0"/>
          <c:showCatName val="0"/>
          <c:showSerName val="0"/>
          <c:showPercent val="0"/>
          <c:showBubbleSize val="0"/>
        </c:dLbls>
        <c:gapWidth val="45"/>
        <c:overlap val="100"/>
        <c:axId val="563324416"/>
        <c:axId val="563325952"/>
      </c:barChart>
      <c:catAx>
        <c:axId val="5633244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63325952"/>
        <c:crosses val="autoZero"/>
        <c:auto val="1"/>
        <c:lblAlgn val="ctr"/>
        <c:lblOffset val="100"/>
        <c:noMultiLvlLbl val="0"/>
      </c:catAx>
      <c:valAx>
        <c:axId val="563325952"/>
        <c:scaling>
          <c:orientation val="minMax"/>
        </c:scaling>
        <c:delete val="0"/>
        <c:axPos val="l"/>
        <c:majorGridlines>
          <c:spPr>
            <a:ln w="9525" cap="flat" cmpd="sng" algn="ctr">
              <a:noFill/>
              <a:prstDash val="solid"/>
              <a:round/>
            </a:ln>
            <a:effectLst/>
          </c:spPr>
        </c:majorGridlines>
        <c:numFmt formatCode="0%" sourceLinked="1"/>
        <c:majorTickMark val="none"/>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63324416"/>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2018 Vs 2022 VS 2029</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'地区-消费'!$AE$1</c:f>
              <c:strCache>
                <c:ptCount val="1"/>
                <c:pt idx="0">
                  <c:v>2018</c:v>
                </c:pt>
              </c:strCache>
            </c:strRef>
          </c:tx>
          <c:spPr>
            <a:solidFill>
              <a:srgbClr val="FFC000"/>
            </a:solidFill>
            <a:ln>
              <a:noFill/>
            </a:ln>
            <a:effectLst/>
          </c:spPr>
          <c:invertIfNegative val="0"/>
          <c:dLbls>
            <c:delete val="1"/>
          </c:dLbls>
          <c:cat>
            <c:strRef>
              <c:f>'地区-消费'!$AD$2:$AD$6</c:f>
              <c:strCache>
                <c:ptCount val="5"/>
                <c:pt idx="0">
                  <c:v>North America</c:v>
                </c:pt>
                <c:pt idx="1">
                  <c:v>Europe</c:v>
                </c:pt>
                <c:pt idx="2">
                  <c:v>Asia-Pacific</c:v>
                </c:pt>
                <c:pt idx="3">
                  <c:v>South America</c:v>
                </c:pt>
                <c:pt idx="4">
                  <c:v>Middle East and Africa</c:v>
                </c:pt>
              </c:strCache>
            </c:strRef>
          </c:cat>
          <c:val>
            <c:numRef>
              <c:f>'地区-消费'!$AE$2:$AE$6</c:f>
              <c:numCache>
                <c:formatCode>#,##0_);[Red]\(#,##0\)</c:formatCode>
                <c:ptCount val="5"/>
                <c:pt idx="0">
                  <c:v>284.12</c:v>
                </c:pt>
                <c:pt idx="1">
                  <c:v>105.29</c:v>
                </c:pt>
                <c:pt idx="2">
                  <c:v>708.14</c:v>
                </c:pt>
                <c:pt idx="3">
                  <c:v>14.28</c:v>
                </c:pt>
                <c:pt idx="4">
                  <c:v>11.93</c:v>
                </c:pt>
              </c:numCache>
            </c:numRef>
          </c:val>
        </c:ser>
        <c:ser>
          <c:idx val="1"/>
          <c:order val="1"/>
          <c:tx>
            <c:strRef>
              <c:f>'地区-消费'!$AF$1</c:f>
              <c:strCache>
                <c:ptCount val="1"/>
                <c:pt idx="0">
                  <c:v>2022</c:v>
                </c:pt>
              </c:strCache>
            </c:strRef>
          </c:tx>
          <c:spPr>
            <a:solidFill>
              <a:schemeClr val="bg1">
                <a:lumMod val="50000"/>
              </a:schemeClr>
            </a:solidFill>
            <a:ln>
              <a:noFill/>
            </a:ln>
            <a:effectLst/>
          </c:spPr>
          <c:invertIfNegative val="0"/>
          <c:dLbls>
            <c:delete val="1"/>
          </c:dLbls>
          <c:cat>
            <c:strRef>
              <c:f>'地区-消费'!$AD$2:$AD$6</c:f>
              <c:strCache>
                <c:ptCount val="5"/>
                <c:pt idx="0">
                  <c:v>North America</c:v>
                </c:pt>
                <c:pt idx="1">
                  <c:v>Europe</c:v>
                </c:pt>
                <c:pt idx="2">
                  <c:v>Asia-Pacific</c:v>
                </c:pt>
                <c:pt idx="3">
                  <c:v>South America</c:v>
                </c:pt>
                <c:pt idx="4">
                  <c:v>Middle East and Africa</c:v>
                </c:pt>
              </c:strCache>
            </c:strRef>
          </c:cat>
          <c:val>
            <c:numRef>
              <c:f>'地区-消费'!$AF$2:$AF$6</c:f>
              <c:numCache>
                <c:formatCode>#,##0_);[Red]\(#,##0\)</c:formatCode>
                <c:ptCount val="5"/>
                <c:pt idx="0">
                  <c:v>341.1</c:v>
                </c:pt>
                <c:pt idx="1">
                  <c:v>119.87</c:v>
                </c:pt>
                <c:pt idx="2">
                  <c:v>843.19</c:v>
                </c:pt>
                <c:pt idx="3">
                  <c:v>20.74</c:v>
                </c:pt>
                <c:pt idx="4">
                  <c:v>12.2400000000002</c:v>
                </c:pt>
              </c:numCache>
            </c:numRef>
          </c:val>
        </c:ser>
        <c:ser>
          <c:idx val="2"/>
          <c:order val="2"/>
          <c:tx>
            <c:strRef>
              <c:f>'地区-消费'!$AG$1</c:f>
              <c:strCache>
                <c:ptCount val="1"/>
                <c:pt idx="0">
                  <c:v>2029</c:v>
                </c:pt>
              </c:strCache>
            </c:strRef>
          </c:tx>
          <c:spPr>
            <a:solidFill>
              <a:srgbClr val="002060"/>
            </a:solidFill>
            <a:ln>
              <a:noFill/>
            </a:ln>
            <a:effectLst/>
          </c:spPr>
          <c:invertIfNegative val="0"/>
          <c:dLbls>
            <c:delete val="1"/>
          </c:dLbls>
          <c:cat>
            <c:strRef>
              <c:f>'地区-消费'!$AD$2:$AD$6</c:f>
              <c:strCache>
                <c:ptCount val="5"/>
                <c:pt idx="0">
                  <c:v>North America</c:v>
                </c:pt>
                <c:pt idx="1">
                  <c:v>Europe</c:v>
                </c:pt>
                <c:pt idx="2">
                  <c:v>Asia-Pacific</c:v>
                </c:pt>
                <c:pt idx="3">
                  <c:v>South America</c:v>
                </c:pt>
                <c:pt idx="4">
                  <c:v>Middle East and Africa</c:v>
                </c:pt>
              </c:strCache>
            </c:strRef>
          </c:cat>
          <c:val>
            <c:numRef>
              <c:f>'地区-消费'!$AG$2:$AG$6</c:f>
              <c:numCache>
                <c:formatCode>#,##0_);[Red]\(#,##0\)</c:formatCode>
                <c:ptCount val="5"/>
                <c:pt idx="0">
                  <c:v>532.45</c:v>
                </c:pt>
                <c:pt idx="1">
                  <c:v>174.82</c:v>
                </c:pt>
                <c:pt idx="2">
                  <c:v>1414.87</c:v>
                </c:pt>
                <c:pt idx="3">
                  <c:v>41.52</c:v>
                </c:pt>
                <c:pt idx="4">
                  <c:v>29.21</c:v>
                </c:pt>
              </c:numCache>
            </c:numRef>
          </c:val>
        </c:ser>
        <c:dLbls>
          <c:showLegendKey val="0"/>
          <c:showVal val="0"/>
          <c:showCatName val="0"/>
          <c:showSerName val="0"/>
          <c:showPercent val="0"/>
          <c:showBubbleSize val="0"/>
        </c:dLbls>
        <c:gapWidth val="75"/>
        <c:axId val="570910592"/>
        <c:axId val="570912128"/>
      </c:barChart>
      <c:catAx>
        <c:axId val="5709105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570912128"/>
        <c:crosses val="autoZero"/>
        <c:auto val="1"/>
        <c:lblAlgn val="ctr"/>
        <c:lblOffset val="100"/>
        <c:noMultiLvlLbl val="0"/>
      </c:catAx>
      <c:valAx>
        <c:axId val="570912128"/>
        <c:scaling>
          <c:orientation val="minMax"/>
        </c:scaling>
        <c:delete val="0"/>
        <c:axPos val="l"/>
        <c:majorGridlines>
          <c:spPr>
            <a:ln w="9525" cap="flat" cmpd="sng" algn="ctr">
              <a:noFill/>
              <a:prstDash val="solid"/>
              <a:round/>
            </a:ln>
            <a:effectLst/>
          </c:spPr>
        </c:majorGridlines>
        <c:numFmt formatCode="#,##0_);[Red]\(#,##0\)" sourceLinked="1"/>
        <c:majorTickMark val="none"/>
        <c:minorTickMark val="none"/>
        <c:tickLblPos val="none"/>
        <c:spPr>
          <a:noFill/>
          <a:ln w="6350"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570910592"/>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0.3424</cdr:x>
      <cdr:y>0.19487</cdr:y>
    </cdr:from>
    <cdr:to>
      <cdr:x>0.64472</cdr:x>
      <cdr:y>0.49438</cdr:y>
    </cdr:to>
    <cdr:grpSp>
      <cdr:nvGrpSpPr>
        <cdr:cNvPr id="2" name="组合 1"/>
        <cdr:cNvGrpSpPr/>
      </cdr:nvGrpSpPr>
      <cdr:grpSpPr xmlns:a="http://schemas.openxmlformats.org/drawingml/2006/main">
        <a:xfrm rot="439955">
          <a:off x="1878543" y="507963"/>
          <a:ext cx="1658648" cy="780725"/>
          <a:chOff x="2472076" y="803781"/>
          <a:chExt cx="1347825" cy="936531"/>
        </a:xfrm>
      </cdr:grpSpPr>
      <cdr:cxnSp>
        <cdr:nvCxnSpPr>
          <cdr:cNvPr id="3" name="直接箭头连接符 2"/>
          <cdr:cNvCxnSpPr/>
        </cdr:nvCxnSpPr>
        <cdr:spPr xmlns:a="http://schemas.openxmlformats.org/drawingml/2006/main">
          <a:xfrm xmlns:a="http://schemas.openxmlformats.org/drawingml/2006/main" rot="21160045" flipV="1">
            <a:off x="2472076" y="803781"/>
            <a:ext cx="1347825" cy="936531"/>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20012677">
            <a:off x="2758732" y="1132418"/>
            <a:ext cx="491455" cy="376547"/>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latin typeface="Book Antiqua" panose="02040602050305030304" pitchFamily="1" charset="0"/>
                <a:ea typeface="宋体" panose="02010600030101010101" charset="-122"/>
              </a:rPr>
              <a:t>7.2%</a:t>
            </a:r>
            <a:endParaRPr lang="zh-CN" baseline="0">
              <a:latin typeface="Book Antiqua" panose="02040602050305030304" pitchFamily="1" charset="0"/>
              <a:ea typeface="宋体" panose="02010600030101010101" charset="-122"/>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463F00-1224-47B2-A79E-8ADD7F6F7221}">
  <ds:schemaRefs/>
</ds:datastoreItem>
</file>

<file path=docProps/app.xml><?xml version="1.0" encoding="utf-8"?>
<Properties xmlns="http://schemas.openxmlformats.org/officeDocument/2006/extended-properties" xmlns:vt="http://schemas.openxmlformats.org/officeDocument/2006/docPropsVTypes">
  <Template>Normal</Template>
  <Pages>8</Pages>
  <Words>367</Words>
  <Characters>2093</Characters>
  <Lines>17</Lines>
  <Paragraphs>4</Paragraphs>
  <TotalTime>0</TotalTime>
  <ScaleCrop>false</ScaleCrop>
  <LinksUpToDate>false</LinksUpToDate>
  <CharactersWithSpaces>2456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2024-02-23T04:43:17Z</dcterms:modified>
  <cp:revision>816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6192CA3C66B84D30BE1FE93283B0D330_13</vt:lpwstr>
  </property>
</Properties>
</file>