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BD7FA3">
      <w:pPr>
        <w:adjustRightInd w:val="0"/>
        <w:snapToGrid w:val="0"/>
        <w:spacing w:line="400" w:lineRule="exact"/>
        <w:jc w:val="center"/>
        <w:rPr>
          <w:b/>
          <w:color w:val="auto"/>
          <w:sz w:val="48"/>
          <w:szCs w:val="48"/>
        </w:rPr>
      </w:pPr>
      <w:bookmarkStart w:id="0" w:name="_Toc77239801"/>
      <w:bookmarkStart w:id="1" w:name="_Toc192967081"/>
      <w:bookmarkStart w:id="2" w:name="_Toc77260836"/>
      <w:bookmarkStart w:id="3" w:name="_Toc77239774"/>
      <w:bookmarkStart w:id="4" w:name="_Toc88830380"/>
      <w:bookmarkStart w:id="5" w:name="_Toc77262186"/>
      <w:bookmarkStart w:id="6" w:name="_Toc88830493"/>
      <w:bookmarkStart w:id="7" w:name="_Toc77166477"/>
      <w:bookmarkStart w:id="8" w:name="_Toc77261018"/>
      <w:bookmarkStart w:id="9" w:name="_Toc77239679"/>
    </w:p>
    <w:p w14:paraId="0C03770D">
      <w:pPr>
        <w:adjustRightInd w:val="0"/>
        <w:snapToGrid w:val="0"/>
        <w:spacing w:line="400" w:lineRule="exact"/>
        <w:jc w:val="center"/>
        <w:rPr>
          <w:b/>
          <w:color w:val="auto"/>
          <w:sz w:val="48"/>
          <w:szCs w:val="48"/>
        </w:rPr>
      </w:pPr>
    </w:p>
    <w:p w14:paraId="634AAB70">
      <w:pPr>
        <w:adjustRightInd w:val="0"/>
        <w:snapToGrid w:val="0"/>
        <w:spacing w:line="360" w:lineRule="auto"/>
        <w:jc w:val="center"/>
        <w:rPr>
          <w:b/>
          <w:color w:val="auto"/>
          <w:sz w:val="48"/>
          <w:szCs w:val="48"/>
        </w:rPr>
      </w:pPr>
    </w:p>
    <w:p w14:paraId="1ACFA4DD">
      <w:pPr>
        <w:adjustRightInd w:val="0"/>
        <w:snapToGrid w:val="0"/>
        <w:spacing w:line="360" w:lineRule="auto"/>
        <w:jc w:val="center"/>
        <w:rPr>
          <w:b/>
          <w:color w:val="auto"/>
          <w:sz w:val="48"/>
          <w:szCs w:val="48"/>
        </w:rPr>
      </w:pPr>
      <w:r>
        <w:rPr>
          <w:b/>
          <w:color w:val="auto"/>
          <w:sz w:val="48"/>
          <w:szCs w:val="48"/>
        </w:rPr>
        <w:t>学术硕士学位论文</w:t>
      </w:r>
    </w:p>
    <w:p w14:paraId="2AF4647D">
      <w:pPr>
        <w:adjustRightInd w:val="0"/>
        <w:spacing w:before="240" w:line="400" w:lineRule="exact"/>
        <w:jc w:val="center"/>
        <w:rPr>
          <w:rFonts w:eastAsia="黑体"/>
          <w:color w:val="auto"/>
          <w:sz w:val="44"/>
          <w:szCs w:val="44"/>
        </w:rPr>
      </w:pPr>
      <w:r>
        <w:rPr>
          <w:rFonts w:eastAsia="黑体"/>
          <w:color w:val="auto"/>
          <w:sz w:val="44"/>
          <w:szCs w:val="44"/>
        </w:rPr>
        <w:t>新型电力系统背景下J电网项目投资智能决策优化研究</w:t>
      </w:r>
    </w:p>
    <w:p w14:paraId="7CBFDDB5">
      <w:pPr>
        <w:adjustRightInd w:val="0"/>
        <w:snapToGrid w:val="0"/>
        <w:spacing w:before="240" w:line="400" w:lineRule="exact"/>
        <w:jc w:val="center"/>
        <w:rPr>
          <w:rFonts w:eastAsia="黑体"/>
          <w:b/>
          <w:color w:val="auto"/>
          <w:sz w:val="36"/>
          <w:szCs w:val="36"/>
        </w:rPr>
      </w:pPr>
      <w:r>
        <w:rPr>
          <w:rFonts w:eastAsia="黑体"/>
          <w:b/>
          <w:color w:val="auto"/>
          <w:sz w:val="36"/>
          <w:szCs w:val="36"/>
        </w:rPr>
        <w:t>Research on Intelligent Decision-Making Optimization for J Power Grid Project Investment in the Context of the New Power System</w:t>
      </w:r>
    </w:p>
    <w:p w14:paraId="67A961D6">
      <w:pPr>
        <w:adjustRightInd w:val="0"/>
        <w:snapToGrid w:val="0"/>
        <w:spacing w:line="400" w:lineRule="exact"/>
        <w:jc w:val="center"/>
        <w:rPr>
          <w:b/>
          <w:color w:val="auto"/>
          <w:sz w:val="44"/>
          <w:szCs w:val="44"/>
        </w:rPr>
      </w:pPr>
    </w:p>
    <w:p w14:paraId="681B3CF6">
      <w:pPr>
        <w:adjustRightInd w:val="0"/>
        <w:snapToGrid w:val="0"/>
        <w:spacing w:line="400" w:lineRule="exact"/>
        <w:jc w:val="center"/>
        <w:rPr>
          <w:b/>
          <w:color w:val="auto"/>
          <w:sz w:val="44"/>
          <w:szCs w:val="44"/>
        </w:rPr>
      </w:pPr>
    </w:p>
    <w:p w14:paraId="77FE8A9F">
      <w:pPr>
        <w:adjustRightInd w:val="0"/>
        <w:snapToGrid w:val="0"/>
        <w:spacing w:line="400" w:lineRule="exact"/>
        <w:jc w:val="center"/>
        <w:rPr>
          <w:b/>
          <w:color w:val="auto"/>
          <w:sz w:val="44"/>
          <w:szCs w:val="44"/>
        </w:rPr>
      </w:pPr>
    </w:p>
    <w:p w14:paraId="064DA5BE">
      <w:pPr>
        <w:adjustRightInd w:val="0"/>
        <w:snapToGrid w:val="0"/>
        <w:spacing w:line="400" w:lineRule="exact"/>
        <w:jc w:val="center"/>
        <w:rPr>
          <w:b/>
          <w:color w:val="auto"/>
          <w:sz w:val="44"/>
          <w:szCs w:val="44"/>
        </w:rPr>
      </w:pPr>
    </w:p>
    <w:p w14:paraId="71CBF3DC">
      <w:pPr>
        <w:adjustRightInd w:val="0"/>
        <w:spacing w:line="400" w:lineRule="exact"/>
        <w:rPr>
          <w:color w:val="auto"/>
        </w:rPr>
        <w:sectPr>
          <w:pgSz w:w="11906" w:h="16838"/>
          <w:pgMar w:top="1701" w:right="1701" w:bottom="1531" w:left="1701" w:header="1304" w:footer="1304" w:gutter="0"/>
          <w:pgNumType w:start="21"/>
          <w:cols w:space="425" w:num="1"/>
          <w:docGrid w:type="linesAndChars" w:linePitch="400" w:charSpace="2072"/>
        </w:sectPr>
      </w:pPr>
    </w:p>
    <w:p w14:paraId="2A5DF5F6">
      <w:pPr>
        <w:pStyle w:val="2"/>
        <w:spacing w:line="400" w:lineRule="exact"/>
        <w:rPr>
          <w:color w:val="auto"/>
        </w:rPr>
      </w:pPr>
      <w:bookmarkStart w:id="10" w:name="_Toc192967079"/>
      <w:bookmarkStart w:id="11" w:name="_Toc193967316"/>
      <w:r>
        <w:rPr>
          <w:color w:val="auto"/>
        </w:rPr>
        <w:t>摘    要</w:t>
      </w:r>
      <w:bookmarkEnd w:id="10"/>
      <w:bookmarkEnd w:id="11"/>
      <w:r>
        <w:rPr>
          <w:color w:val="auto"/>
        </w:rPr>
        <w:t xml:space="preserve"> </w:t>
      </w:r>
    </w:p>
    <w:p w14:paraId="71B1A53F">
      <w:pPr>
        <w:pStyle w:val="8"/>
        <w:adjustRightInd w:val="0"/>
        <w:snapToGrid w:val="0"/>
        <w:spacing w:line="400" w:lineRule="exact"/>
        <w:ind w:firstLine="500" w:firstLineChars="200"/>
        <w:rPr>
          <w:rFonts w:ascii="Times New Roman" w:hAnsi="Times New Roman"/>
          <w:color w:val="auto"/>
          <w:szCs w:val="24"/>
        </w:rPr>
      </w:pPr>
      <w:r>
        <w:rPr>
          <w:rFonts w:ascii="Times New Roman" w:hAnsi="Times New Roman"/>
          <w:color w:val="auto"/>
          <w:szCs w:val="24"/>
        </w:rPr>
        <w:t>在</w:t>
      </w:r>
      <w:r>
        <w:rPr>
          <w:rFonts w:hint="eastAsia" w:ascii="Times New Roman" w:hAnsi="Times New Roman"/>
          <w:color w:val="auto"/>
          <w:szCs w:val="24"/>
        </w:rPr>
        <w:t>“</w:t>
      </w:r>
      <w:r>
        <w:rPr>
          <w:rFonts w:ascii="Times New Roman" w:hAnsi="Times New Roman"/>
          <w:color w:val="auto"/>
          <w:szCs w:val="24"/>
        </w:rPr>
        <w:t>双碳</w:t>
      </w:r>
      <w:r>
        <w:rPr>
          <w:rFonts w:hint="eastAsia" w:ascii="Times New Roman" w:hAnsi="Times New Roman"/>
          <w:color w:val="auto"/>
          <w:szCs w:val="24"/>
        </w:rPr>
        <w:t>”</w:t>
      </w:r>
      <w:r>
        <w:rPr>
          <w:rFonts w:ascii="Times New Roman" w:hAnsi="Times New Roman"/>
          <w:color w:val="auto"/>
          <w:szCs w:val="24"/>
        </w:rPr>
        <w:t>目标与能源转型趋势下，我国能源生产和消费结构</w:t>
      </w:r>
      <w:r>
        <w:rPr>
          <w:rFonts w:hint="eastAsia" w:ascii="Times New Roman" w:hAnsi="Times New Roman"/>
          <w:color w:val="auto"/>
          <w:szCs w:val="24"/>
        </w:rPr>
        <w:t>发生</w:t>
      </w:r>
      <w:r>
        <w:rPr>
          <w:rFonts w:ascii="Times New Roman" w:hAnsi="Times New Roman"/>
          <w:color w:val="auto"/>
          <w:szCs w:val="24"/>
        </w:rPr>
        <w:t>深刻变革，构建新型电力系统已成为国家能源战略的核心任务。</w:t>
      </w:r>
      <w:r>
        <w:rPr>
          <w:rFonts w:hint="eastAsia" w:ascii="Times New Roman" w:hAnsi="Times New Roman"/>
          <w:color w:val="auto"/>
          <w:szCs w:val="24"/>
        </w:rPr>
        <w:t>而电网作为新型电力系统的关键主体，电网需显著提升安全稳定运营能力以满足日益增长的负荷需求以及大规模新能源并网的容量需求。而在有限投资能力条件下，电网要避免盲目扩张性投资，进行更加科学有效的项目投资活动。而</w:t>
      </w:r>
      <w:r>
        <w:rPr>
          <w:rFonts w:ascii="Times New Roman" w:hAnsi="Times New Roman"/>
          <w:color w:val="auto"/>
          <w:szCs w:val="24"/>
        </w:rPr>
        <w:t>传统的电网项目投资决策方法已难以满足复杂多变的实际需求。因此，本文构建适用于新型电力系统背景下J电网项目投资智能决策优化</w:t>
      </w:r>
      <w:r>
        <w:rPr>
          <w:rFonts w:hint="eastAsia" w:ascii="Times New Roman" w:hAnsi="Times New Roman"/>
          <w:color w:val="auto"/>
          <w:szCs w:val="24"/>
        </w:rPr>
        <w:t>模型，旨在解决</w:t>
      </w:r>
      <w:r>
        <w:rPr>
          <w:rFonts w:ascii="Times New Roman" w:hAnsi="Times New Roman"/>
          <w:color w:val="auto"/>
          <w:szCs w:val="24"/>
        </w:rPr>
        <w:t>复杂多目标问题的求解</w:t>
      </w:r>
      <w:r>
        <w:rPr>
          <w:rFonts w:hint="eastAsia" w:ascii="Times New Roman" w:hAnsi="Times New Roman"/>
          <w:color w:val="auto"/>
          <w:szCs w:val="24"/>
        </w:rPr>
        <w:t>问题</w:t>
      </w:r>
      <w:r>
        <w:rPr>
          <w:rFonts w:ascii="Times New Roman" w:hAnsi="Times New Roman"/>
          <w:color w:val="auto"/>
          <w:szCs w:val="24"/>
        </w:rPr>
        <w:t>，</w:t>
      </w:r>
      <w:r>
        <w:rPr>
          <w:rFonts w:hint="eastAsia" w:ascii="Times New Roman" w:hAnsi="Times New Roman"/>
          <w:color w:val="auto"/>
          <w:szCs w:val="24"/>
        </w:rPr>
        <w:t>以及提高电网企业统筹决策的能力</w:t>
      </w:r>
      <w:r>
        <w:rPr>
          <w:rFonts w:ascii="Times New Roman" w:hAnsi="Times New Roman"/>
          <w:color w:val="auto"/>
          <w:szCs w:val="24"/>
        </w:rPr>
        <w:t>。</w:t>
      </w:r>
    </w:p>
    <w:p w14:paraId="4C51A939">
      <w:pPr>
        <w:pStyle w:val="8"/>
        <w:adjustRightInd w:val="0"/>
        <w:snapToGrid w:val="0"/>
        <w:spacing w:line="400" w:lineRule="exact"/>
        <w:ind w:firstLine="500" w:firstLineChars="200"/>
        <w:rPr>
          <w:rFonts w:ascii="Times New Roman" w:hAnsi="Times New Roman"/>
          <w:color w:val="auto"/>
          <w:szCs w:val="24"/>
        </w:rPr>
      </w:pPr>
      <w:r>
        <w:rPr>
          <w:rFonts w:ascii="Times New Roman" w:hAnsi="Times New Roman"/>
          <w:color w:val="auto"/>
          <w:szCs w:val="24"/>
        </w:rPr>
        <w:t>本文的研究内容包括</w:t>
      </w:r>
      <w:r>
        <w:rPr>
          <w:rFonts w:hint="eastAsia" w:ascii="Times New Roman" w:hAnsi="Times New Roman"/>
          <w:color w:val="auto"/>
          <w:szCs w:val="24"/>
        </w:rPr>
        <w:t>以下几</w:t>
      </w:r>
      <w:r>
        <w:rPr>
          <w:rFonts w:ascii="Times New Roman" w:hAnsi="Times New Roman"/>
          <w:color w:val="auto"/>
          <w:szCs w:val="24"/>
        </w:rPr>
        <w:t>个方面</w:t>
      </w:r>
      <w:r>
        <w:rPr>
          <w:rFonts w:hint="eastAsia" w:ascii="Times New Roman" w:hAnsi="Times New Roman"/>
          <w:color w:val="auto"/>
          <w:szCs w:val="24"/>
        </w:rPr>
        <w:t>：第一</w:t>
      </w:r>
      <w:r>
        <w:rPr>
          <w:rFonts w:ascii="Times New Roman" w:hAnsi="Times New Roman"/>
          <w:color w:val="auto"/>
          <w:szCs w:val="24"/>
        </w:rPr>
        <w:t>，构建了新型电力系统背景下电网项目技术经济评估体系，涵盖清洁低碳、安全</w:t>
      </w:r>
      <w:r>
        <w:rPr>
          <w:rFonts w:hint="eastAsia" w:ascii="Times New Roman" w:hAnsi="Times New Roman"/>
          <w:color w:val="auto"/>
          <w:szCs w:val="24"/>
        </w:rPr>
        <w:t>可控</w:t>
      </w:r>
      <w:r>
        <w:rPr>
          <w:rFonts w:ascii="Times New Roman" w:hAnsi="Times New Roman"/>
          <w:color w:val="auto"/>
          <w:szCs w:val="24"/>
        </w:rPr>
        <w:t>、经济高效、智能友好和开放互动五个一级指标，</w:t>
      </w:r>
      <w:r>
        <w:rPr>
          <w:rFonts w:hint="eastAsia" w:ascii="Times New Roman" w:hAnsi="Times New Roman"/>
          <w:color w:val="auto"/>
          <w:szCs w:val="24"/>
        </w:rPr>
        <w:t>并</w:t>
      </w:r>
      <w:r>
        <w:rPr>
          <w:rFonts w:ascii="Times New Roman" w:hAnsi="Times New Roman"/>
          <w:color w:val="auto"/>
          <w:szCs w:val="24"/>
        </w:rPr>
        <w:t>利用网络爬虫技术抓取大量相关</w:t>
      </w:r>
      <w:r>
        <w:rPr>
          <w:rFonts w:hint="eastAsia" w:ascii="Times New Roman" w:hAnsi="Times New Roman"/>
          <w:color w:val="auto"/>
          <w:szCs w:val="24"/>
        </w:rPr>
        <w:t>指标</w:t>
      </w:r>
      <w:r>
        <w:rPr>
          <w:rFonts w:ascii="Times New Roman" w:hAnsi="Times New Roman"/>
          <w:color w:val="auto"/>
          <w:szCs w:val="24"/>
        </w:rPr>
        <w:t>，</w:t>
      </w:r>
      <w:r>
        <w:rPr>
          <w:rFonts w:hint="eastAsia" w:ascii="Times New Roman" w:hAnsi="Times New Roman"/>
          <w:color w:val="auto"/>
          <w:szCs w:val="24"/>
        </w:rPr>
        <w:t>确定了</w:t>
      </w:r>
      <w:r>
        <w:rPr>
          <w:rFonts w:ascii="Times New Roman" w:hAnsi="Times New Roman"/>
          <w:color w:val="auto"/>
          <w:szCs w:val="24"/>
        </w:rPr>
        <w:t>共12个三级指标</w:t>
      </w:r>
      <w:r>
        <w:rPr>
          <w:rFonts w:hint="eastAsia" w:ascii="Times New Roman" w:hAnsi="Times New Roman"/>
          <w:color w:val="auto"/>
          <w:szCs w:val="24"/>
        </w:rPr>
        <w:t>，并通过</w:t>
      </w:r>
      <w:r>
        <w:rPr>
          <w:rFonts w:ascii="Times New Roman" w:hAnsi="Times New Roman"/>
          <w:color w:val="auto"/>
          <w:szCs w:val="24"/>
        </w:rPr>
        <w:t>主成分分</w:t>
      </w:r>
      <w:r>
        <w:rPr>
          <w:rFonts w:hint="eastAsia" w:ascii="Times New Roman" w:hAnsi="Times New Roman"/>
          <w:color w:val="auto"/>
          <w:szCs w:val="24"/>
        </w:rPr>
        <w:t>析进</w:t>
      </w:r>
      <w:r>
        <w:rPr>
          <w:rFonts w:ascii="Times New Roman" w:hAnsi="Times New Roman"/>
          <w:color w:val="auto"/>
          <w:szCs w:val="24"/>
        </w:rPr>
        <w:t>行量化分析和综合评估。</w:t>
      </w:r>
      <w:r>
        <w:rPr>
          <w:rFonts w:hint="eastAsia" w:ascii="Times New Roman" w:hAnsi="Times New Roman"/>
          <w:color w:val="auto"/>
          <w:szCs w:val="24"/>
        </w:rPr>
        <w:t>第二</w:t>
      </w:r>
      <w:r>
        <w:rPr>
          <w:rFonts w:ascii="Times New Roman" w:hAnsi="Times New Roman"/>
          <w:color w:val="auto"/>
          <w:szCs w:val="24"/>
        </w:rPr>
        <w:t>，</w:t>
      </w:r>
      <w:r>
        <w:rPr>
          <w:rFonts w:hint="eastAsia" w:ascii="Times New Roman" w:hAnsi="Times New Roman"/>
          <w:color w:val="auto"/>
          <w:szCs w:val="24"/>
        </w:rPr>
        <w:t>分析了</w:t>
      </w:r>
      <w:r>
        <w:rPr>
          <w:rFonts w:ascii="Times New Roman" w:hAnsi="Times New Roman"/>
          <w:color w:val="auto"/>
          <w:szCs w:val="24"/>
        </w:rPr>
        <w:t>新型电力系统</w:t>
      </w:r>
      <w:r>
        <w:rPr>
          <w:rFonts w:hint="eastAsia" w:ascii="Times New Roman" w:hAnsi="Times New Roman"/>
          <w:color w:val="auto"/>
          <w:szCs w:val="24"/>
        </w:rPr>
        <w:t>构建</w:t>
      </w:r>
      <w:r>
        <w:rPr>
          <w:rFonts w:ascii="Times New Roman" w:hAnsi="Times New Roman"/>
          <w:color w:val="auto"/>
          <w:szCs w:val="24"/>
        </w:rPr>
        <w:t>对电网投资能力</w:t>
      </w:r>
      <w:r>
        <w:rPr>
          <w:rFonts w:hint="eastAsia" w:ascii="Times New Roman" w:hAnsi="Times New Roman"/>
          <w:color w:val="auto"/>
          <w:szCs w:val="24"/>
        </w:rPr>
        <w:t>的</w:t>
      </w:r>
      <w:r>
        <w:rPr>
          <w:rFonts w:ascii="Times New Roman" w:hAnsi="Times New Roman"/>
          <w:color w:val="auto"/>
          <w:szCs w:val="24"/>
        </w:rPr>
        <w:t>影响</w:t>
      </w:r>
      <w:r>
        <w:rPr>
          <w:rFonts w:hint="eastAsia" w:ascii="Times New Roman" w:hAnsi="Times New Roman"/>
          <w:color w:val="auto"/>
          <w:szCs w:val="24"/>
        </w:rPr>
        <w:t>，通过鱼骨图进行详细分析；</w:t>
      </w:r>
      <w:r>
        <w:rPr>
          <w:rFonts w:ascii="Times New Roman" w:hAnsi="Times New Roman"/>
          <w:color w:val="auto"/>
          <w:szCs w:val="24"/>
        </w:rPr>
        <w:t>提取了经济效益因子、成本控制因子和长期运营因子等关键影响因素，引入机器学习和深度强化学习方法，构建了基于因子分析的</w:t>
      </w:r>
      <w:r>
        <w:rPr>
          <w:rFonts w:hint="eastAsia" w:ascii="Times New Roman" w:hAnsi="Times New Roman"/>
          <w:color w:val="auto"/>
          <w:szCs w:val="24"/>
        </w:rPr>
        <w:t>电网项目</w:t>
      </w:r>
      <w:r>
        <w:rPr>
          <w:rFonts w:ascii="Times New Roman" w:hAnsi="Times New Roman"/>
          <w:color w:val="auto"/>
          <w:szCs w:val="24"/>
        </w:rPr>
        <w:t>投资能力测算模型。</w:t>
      </w:r>
      <w:r>
        <w:rPr>
          <w:rFonts w:hint="eastAsia" w:ascii="Times New Roman" w:hAnsi="Times New Roman"/>
          <w:color w:val="auto"/>
          <w:szCs w:val="24"/>
        </w:rPr>
        <w:t>第三</w:t>
      </w:r>
      <w:r>
        <w:rPr>
          <w:rFonts w:ascii="Times New Roman" w:hAnsi="Times New Roman"/>
          <w:color w:val="auto"/>
          <w:szCs w:val="24"/>
        </w:rPr>
        <w:t>，构建</w:t>
      </w:r>
      <w:r>
        <w:rPr>
          <w:rFonts w:hint="eastAsia" w:ascii="Times New Roman" w:hAnsi="Times New Roman"/>
          <w:color w:val="auto"/>
          <w:szCs w:val="24"/>
        </w:rPr>
        <w:t>了</w:t>
      </w:r>
      <w:r>
        <w:rPr>
          <w:rFonts w:ascii="Times New Roman" w:hAnsi="Times New Roman"/>
          <w:color w:val="auto"/>
          <w:szCs w:val="24"/>
        </w:rPr>
        <w:t>基于增广Lagrange乘子法的</w:t>
      </w:r>
      <w:bookmarkStart w:id="12" w:name="_Hlk193125629"/>
      <w:r>
        <w:rPr>
          <w:rFonts w:hint="eastAsia" w:ascii="Times New Roman" w:hAnsi="Times New Roman"/>
          <w:color w:val="auto"/>
          <w:szCs w:val="24"/>
        </w:rPr>
        <w:t>电网项目投资</w:t>
      </w:r>
      <w:r>
        <w:rPr>
          <w:rFonts w:ascii="Times New Roman" w:hAnsi="Times New Roman"/>
          <w:color w:val="auto"/>
          <w:szCs w:val="24"/>
        </w:rPr>
        <w:t>智能决策混合灰狼优化（LHWGWO）</w:t>
      </w:r>
      <w:bookmarkEnd w:id="12"/>
      <w:r>
        <w:rPr>
          <w:rFonts w:ascii="Times New Roman" w:hAnsi="Times New Roman"/>
          <w:color w:val="auto"/>
          <w:szCs w:val="24"/>
        </w:rPr>
        <w:t>模型。模型设定了</w:t>
      </w:r>
      <w:r>
        <w:rPr>
          <w:rFonts w:hint="eastAsia" w:ascii="Times New Roman" w:hAnsi="Times New Roman"/>
          <w:color w:val="auto"/>
          <w:szCs w:val="24"/>
        </w:rPr>
        <w:t>适应新型电力系统特征的目标函数和</w:t>
      </w:r>
      <w:r>
        <w:rPr>
          <w:rFonts w:ascii="Times New Roman" w:hAnsi="Times New Roman"/>
          <w:color w:val="auto"/>
          <w:szCs w:val="24"/>
        </w:rPr>
        <w:t>约束条件</w:t>
      </w:r>
      <w:r>
        <w:rPr>
          <w:rFonts w:hint="eastAsia" w:ascii="Times New Roman" w:hAnsi="Times New Roman"/>
          <w:color w:val="auto"/>
          <w:szCs w:val="24"/>
        </w:rPr>
        <w:t>，并进行实例分析</w:t>
      </w:r>
      <w:r>
        <w:rPr>
          <w:rFonts w:ascii="Times New Roman" w:hAnsi="Times New Roman"/>
          <w:color w:val="auto"/>
          <w:szCs w:val="24"/>
        </w:rPr>
        <w:t>。</w:t>
      </w:r>
      <w:r>
        <w:rPr>
          <w:rFonts w:hint="eastAsia" w:ascii="Times New Roman" w:hAnsi="Times New Roman"/>
          <w:color w:val="auto"/>
          <w:szCs w:val="24"/>
        </w:rPr>
        <w:t>第四，针对J电网项目投资现状，提出具有针对性、有效性的投资建议，以提升J电网未来的投资决策水平和经营管理效益。</w:t>
      </w:r>
      <w:r>
        <w:rPr>
          <w:rFonts w:ascii="Times New Roman" w:hAnsi="Times New Roman"/>
          <w:color w:val="auto"/>
          <w:szCs w:val="24"/>
        </w:rPr>
        <w:t>为了达成研究目的，在研究方法上，本文采用了文献研究法、模型构建法、算法优化法和实证分析法。通过文献研究法梳理国内外相关研究</w:t>
      </w:r>
      <w:r>
        <w:rPr>
          <w:rFonts w:hint="eastAsia" w:ascii="Times New Roman" w:hAnsi="Times New Roman"/>
          <w:color w:val="auto"/>
          <w:szCs w:val="24"/>
        </w:rPr>
        <w:t>动态</w:t>
      </w:r>
      <w:r>
        <w:rPr>
          <w:rFonts w:ascii="Times New Roman" w:hAnsi="Times New Roman"/>
          <w:color w:val="auto"/>
          <w:szCs w:val="24"/>
        </w:rPr>
        <w:t>。模型构建法构建技术经济评估体系与投资能力测算模型。算法优化法引入多目标优化及机器学习等</w:t>
      </w:r>
      <w:r>
        <w:rPr>
          <w:rFonts w:hint="eastAsia" w:ascii="Times New Roman" w:hAnsi="Times New Roman"/>
          <w:color w:val="auto"/>
          <w:szCs w:val="24"/>
        </w:rPr>
        <w:t>算法</w:t>
      </w:r>
      <w:r>
        <w:rPr>
          <w:rFonts w:ascii="Times New Roman" w:hAnsi="Times New Roman"/>
          <w:color w:val="auto"/>
          <w:szCs w:val="24"/>
        </w:rPr>
        <w:t>，提升</w:t>
      </w:r>
      <w:r>
        <w:rPr>
          <w:rFonts w:hint="eastAsia" w:ascii="Times New Roman" w:hAnsi="Times New Roman"/>
          <w:color w:val="auto"/>
          <w:szCs w:val="24"/>
        </w:rPr>
        <w:t>电网项目投资决策</w:t>
      </w:r>
      <w:r>
        <w:rPr>
          <w:rFonts w:ascii="Times New Roman" w:hAnsi="Times New Roman"/>
          <w:color w:val="auto"/>
          <w:szCs w:val="24"/>
        </w:rPr>
        <w:t>复杂多目标问题的求解效率。实证分析法基于构建的模型和算法，进行实证分析</w:t>
      </w:r>
      <w:r>
        <w:rPr>
          <w:rFonts w:hint="eastAsia" w:ascii="Times New Roman" w:hAnsi="Times New Roman"/>
          <w:color w:val="auto"/>
          <w:szCs w:val="24"/>
        </w:rPr>
        <w:t>以验证模型方法的有效性</w:t>
      </w:r>
      <w:r>
        <w:rPr>
          <w:rFonts w:ascii="Times New Roman" w:hAnsi="Times New Roman"/>
          <w:color w:val="auto"/>
          <w:szCs w:val="24"/>
        </w:rPr>
        <w:t>。</w:t>
      </w:r>
    </w:p>
    <w:p w14:paraId="73D5D934">
      <w:pPr>
        <w:pStyle w:val="8"/>
        <w:adjustRightInd w:val="0"/>
        <w:snapToGrid w:val="0"/>
        <w:spacing w:line="400" w:lineRule="exact"/>
        <w:ind w:firstLine="500" w:firstLineChars="200"/>
        <w:rPr>
          <w:rFonts w:ascii="Times New Roman" w:hAnsi="Times New Roman"/>
          <w:color w:val="auto"/>
          <w:szCs w:val="24"/>
        </w:rPr>
      </w:pPr>
      <w:r>
        <w:rPr>
          <w:rFonts w:ascii="Times New Roman" w:hAnsi="Times New Roman"/>
          <w:color w:val="auto"/>
          <w:szCs w:val="24"/>
        </w:rPr>
        <w:t>研究结论表明，所构建的技术经济评估体系能够有效</w:t>
      </w:r>
      <w:r>
        <w:rPr>
          <w:rFonts w:hint="eastAsia" w:ascii="Times New Roman" w:hAnsi="Times New Roman"/>
          <w:color w:val="auto"/>
          <w:szCs w:val="24"/>
        </w:rPr>
        <w:t>评估</w:t>
      </w:r>
      <w:r>
        <w:rPr>
          <w:rFonts w:ascii="Times New Roman" w:hAnsi="Times New Roman"/>
          <w:color w:val="auto"/>
          <w:szCs w:val="24"/>
        </w:rPr>
        <w:t>电网项目</w:t>
      </w:r>
      <w:r>
        <w:rPr>
          <w:rFonts w:hint="eastAsia" w:ascii="Times New Roman" w:hAnsi="Times New Roman"/>
          <w:color w:val="auto"/>
          <w:szCs w:val="24"/>
        </w:rPr>
        <w:t>投资潜力</w:t>
      </w:r>
      <w:r>
        <w:rPr>
          <w:rFonts w:ascii="Times New Roman" w:hAnsi="Times New Roman"/>
          <w:color w:val="auto"/>
          <w:szCs w:val="24"/>
        </w:rPr>
        <w:t>，投资能力测算模型</w:t>
      </w:r>
      <w:r>
        <w:rPr>
          <w:rFonts w:hint="eastAsia" w:ascii="Times New Roman" w:hAnsi="Times New Roman"/>
          <w:color w:val="auto"/>
          <w:szCs w:val="24"/>
        </w:rPr>
        <w:t>能够较为准确地测算电网投资能力</w:t>
      </w:r>
      <w:r>
        <w:rPr>
          <w:rFonts w:ascii="Times New Roman" w:hAnsi="Times New Roman"/>
          <w:color w:val="auto"/>
          <w:szCs w:val="24"/>
        </w:rPr>
        <w:t>，</w:t>
      </w:r>
      <w:r>
        <w:rPr>
          <w:rFonts w:hint="eastAsia" w:ascii="Times New Roman" w:hAnsi="Times New Roman"/>
          <w:color w:val="auto"/>
          <w:szCs w:val="24"/>
        </w:rPr>
        <w:t>所建立的</w:t>
      </w:r>
      <w:bookmarkStart w:id="13" w:name="_Hlk193119112"/>
      <w:r>
        <w:rPr>
          <w:rFonts w:ascii="Times New Roman" w:hAnsi="Times New Roman"/>
          <w:color w:val="auto"/>
          <w:szCs w:val="24"/>
        </w:rPr>
        <w:t>LHWGWO</w:t>
      </w:r>
      <w:r>
        <w:rPr>
          <w:rFonts w:hint="eastAsia" w:ascii="Times New Roman" w:hAnsi="Times New Roman"/>
          <w:color w:val="auto"/>
          <w:szCs w:val="24"/>
        </w:rPr>
        <w:t>优化</w:t>
      </w:r>
      <w:r>
        <w:rPr>
          <w:rFonts w:ascii="Times New Roman" w:hAnsi="Times New Roman"/>
          <w:color w:val="auto"/>
          <w:szCs w:val="24"/>
        </w:rPr>
        <w:t>算法</w:t>
      </w:r>
      <w:bookmarkEnd w:id="13"/>
      <w:r>
        <w:rPr>
          <w:rFonts w:hint="eastAsia" w:ascii="Times New Roman" w:hAnsi="Times New Roman"/>
          <w:color w:val="auto"/>
          <w:szCs w:val="24"/>
        </w:rPr>
        <w:t>能够有效提升</w:t>
      </w:r>
      <w:r>
        <w:rPr>
          <w:rFonts w:ascii="Times New Roman" w:hAnsi="Times New Roman"/>
          <w:color w:val="auto"/>
          <w:szCs w:val="24"/>
        </w:rPr>
        <w:t>电网</w:t>
      </w:r>
      <w:r>
        <w:rPr>
          <w:rFonts w:hint="eastAsia" w:ascii="Times New Roman" w:hAnsi="Times New Roman"/>
          <w:color w:val="auto"/>
          <w:szCs w:val="24"/>
        </w:rPr>
        <w:t>企业</w:t>
      </w:r>
      <w:r>
        <w:rPr>
          <w:rFonts w:ascii="Times New Roman" w:hAnsi="Times New Roman"/>
          <w:color w:val="auto"/>
          <w:szCs w:val="24"/>
        </w:rPr>
        <w:t>项目投资决策</w:t>
      </w:r>
      <w:r>
        <w:rPr>
          <w:rFonts w:hint="eastAsia" w:ascii="Times New Roman" w:hAnsi="Times New Roman"/>
          <w:color w:val="auto"/>
          <w:szCs w:val="24"/>
        </w:rPr>
        <w:t>效率</w:t>
      </w:r>
      <w:r>
        <w:rPr>
          <w:rFonts w:ascii="Times New Roman" w:hAnsi="Times New Roman"/>
          <w:color w:val="auto"/>
          <w:szCs w:val="24"/>
        </w:rPr>
        <w:t>。通过</w:t>
      </w:r>
      <w:r>
        <w:rPr>
          <w:rFonts w:hint="eastAsia" w:ascii="Times New Roman" w:hAnsi="Times New Roman"/>
          <w:color w:val="auto"/>
          <w:szCs w:val="24"/>
        </w:rPr>
        <w:t>以上</w:t>
      </w:r>
      <w:r>
        <w:rPr>
          <w:rFonts w:ascii="Times New Roman" w:hAnsi="Times New Roman"/>
          <w:color w:val="auto"/>
          <w:szCs w:val="24"/>
        </w:rPr>
        <w:t>研究，为J电网的高质量建设与可持续发展提供了支撑，同时也为其他类型的电网项目投资决策提供了有益的参考和借鉴。</w:t>
      </w:r>
    </w:p>
    <w:p w14:paraId="6DFA9680">
      <w:pPr>
        <w:pStyle w:val="8"/>
        <w:adjustRightInd w:val="0"/>
        <w:snapToGrid w:val="0"/>
        <w:spacing w:line="400" w:lineRule="exact"/>
        <w:rPr>
          <w:rFonts w:ascii="Times New Roman" w:hAnsi="Times New Roman"/>
          <w:color w:val="auto"/>
          <w:szCs w:val="24"/>
        </w:rPr>
      </w:pPr>
    </w:p>
    <w:p w14:paraId="7E83E5A8">
      <w:pPr>
        <w:pStyle w:val="8"/>
        <w:adjustRightInd w:val="0"/>
        <w:snapToGrid w:val="0"/>
        <w:spacing w:line="400" w:lineRule="exact"/>
        <w:rPr>
          <w:rFonts w:ascii="Times New Roman" w:hAnsi="Times New Roman"/>
          <w:color w:val="auto"/>
          <w:szCs w:val="24"/>
        </w:rPr>
        <w:sectPr>
          <w:headerReference r:id="rId5" w:type="default"/>
          <w:footerReference r:id="rId6" w:type="default"/>
          <w:pgSz w:w="11906" w:h="16838"/>
          <w:pgMar w:top="1701" w:right="1701" w:bottom="1531" w:left="1701" w:header="1304" w:footer="1304" w:gutter="0"/>
          <w:pgNumType w:fmt="upperRoman" w:start="1"/>
          <w:cols w:space="425" w:num="1"/>
          <w:docGrid w:type="linesAndChars" w:linePitch="400" w:charSpace="2072"/>
        </w:sectPr>
      </w:pPr>
      <w:r>
        <w:rPr>
          <w:rFonts w:ascii="Times New Roman" w:hAnsi="Times New Roman" w:eastAsia="黑体"/>
          <w:color w:val="auto"/>
          <w:szCs w:val="24"/>
        </w:rPr>
        <w:t>关键词</w:t>
      </w:r>
      <w:r>
        <w:rPr>
          <w:rFonts w:ascii="Times New Roman" w:hAnsi="Times New Roman"/>
          <w:color w:val="auto"/>
          <w:szCs w:val="24"/>
        </w:rPr>
        <w:t>：新型电力系统；</w:t>
      </w:r>
      <w:r>
        <w:rPr>
          <w:rFonts w:hint="eastAsia" w:ascii="Times New Roman" w:hAnsi="Times New Roman"/>
          <w:color w:val="auto"/>
          <w:szCs w:val="24"/>
        </w:rPr>
        <w:t>电网</w:t>
      </w:r>
      <w:r>
        <w:rPr>
          <w:rFonts w:ascii="Times New Roman" w:hAnsi="Times New Roman"/>
          <w:color w:val="auto"/>
          <w:szCs w:val="24"/>
        </w:rPr>
        <w:t>项目投资；技术经济评估</w:t>
      </w:r>
      <w:r>
        <w:rPr>
          <w:rFonts w:hint="eastAsia" w:ascii="Times New Roman" w:hAnsi="Times New Roman"/>
          <w:color w:val="auto"/>
          <w:szCs w:val="24"/>
        </w:rPr>
        <w:t>、投资能力、</w:t>
      </w:r>
      <w:r>
        <w:rPr>
          <w:rFonts w:ascii="Times New Roman" w:hAnsi="Times New Roman"/>
          <w:color w:val="auto"/>
          <w:szCs w:val="24"/>
        </w:rPr>
        <w:t>LHWGWO</w:t>
      </w:r>
    </w:p>
    <w:sdt>
      <w:sdtPr>
        <w:rPr>
          <w:rFonts w:ascii="Times New Roman" w:hAnsi="Times New Roman" w:cs="Times New Roman" w:eastAsiaTheme="minorEastAsia"/>
          <w:color w:val="auto"/>
          <w:kern w:val="2"/>
          <w:sz w:val="21"/>
          <w:szCs w:val="24"/>
          <w:lang w:val="zh-CN"/>
        </w:rPr>
        <w:id w:val="1327863767"/>
        <w:docPartObj>
          <w:docPartGallery w:val="Table of Contents"/>
          <w:docPartUnique/>
        </w:docPartObj>
      </w:sdtPr>
      <w:sdtEndPr>
        <w:rPr>
          <w:rFonts w:ascii="Times New Roman" w:hAnsi="Times New Roman" w:eastAsia="宋体" w:cs="Times New Roman"/>
          <w:b/>
          <w:bCs/>
          <w:color w:val="auto"/>
          <w:kern w:val="2"/>
          <w:sz w:val="24"/>
          <w:szCs w:val="24"/>
          <w:lang w:val="zh-CN"/>
        </w:rPr>
      </w:sdtEndPr>
      <w:sdtContent>
        <w:p w14:paraId="35D83CD6">
          <w:pPr>
            <w:pStyle w:val="28"/>
            <w:spacing w:line="400" w:lineRule="exact"/>
            <w:jc w:val="center"/>
            <w:rPr>
              <w:color w:val="auto"/>
            </w:rPr>
          </w:pPr>
          <w:r>
            <w:rPr>
              <w:rFonts w:ascii="Times New Roman" w:hAnsi="Times New Roman" w:eastAsia="黑体" w:cs="Times New Roman"/>
              <w:color w:val="auto"/>
              <w:sz w:val="36"/>
              <w:szCs w:val="36"/>
              <w:lang w:val="zh-CN"/>
            </w:rPr>
            <w:t>目  录</w:t>
          </w:r>
          <w:r>
            <w:rPr>
              <w:rFonts w:ascii="Times New Roman" w:hAnsi="Times New Roman" w:cs="Times New Roman"/>
              <w:color w:val="auto"/>
            </w:rPr>
            <w:fldChar w:fldCharType="begin"/>
          </w:r>
          <w:r>
            <w:rPr>
              <w:rFonts w:ascii="Times New Roman" w:hAnsi="Times New Roman" w:cs="Times New Roman"/>
              <w:color w:val="auto"/>
            </w:rPr>
            <w:instrText xml:space="preserve"> TOC \o "1-3" \h \z \u </w:instrText>
          </w:r>
          <w:r>
            <w:rPr>
              <w:rFonts w:ascii="Times New Roman" w:hAnsi="Times New Roman" w:cs="Times New Roman"/>
              <w:color w:val="auto"/>
            </w:rPr>
            <w:fldChar w:fldCharType="separate"/>
          </w:r>
        </w:p>
        <w:p w14:paraId="43A2A633">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"_Toc193967316" </w:instrText>
          </w:r>
          <w:r>
            <w:rPr>
              <w:color w:val="auto"/>
            </w:rPr>
            <w:fldChar w:fldCharType="separate"/>
          </w:r>
          <w:r>
            <w:rPr>
              <w:rStyle w:val="22"/>
              <w:rFonts w:hint="eastAsia"/>
              <w:color w:val="auto"/>
            </w:rPr>
            <w:t>摘    要</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_Toc193967316 \h</w:instrText>
          </w:r>
          <w:r>
            <w:rPr>
              <w:rFonts w:hint="eastAsia"/>
              <w:color w:val="auto"/>
            </w:rPr>
            <w:instrText xml:space="preserve"> </w:instrText>
          </w:r>
          <w:r>
            <w:rPr>
              <w:color w:val="auto"/>
            </w:rPr>
            <w:fldChar w:fldCharType="separate"/>
          </w:r>
          <w:r>
            <w:rPr>
              <w:color w:val="auto"/>
            </w:rPr>
            <w:t>I</w:t>
          </w:r>
          <w:r>
            <w:rPr>
              <w:rFonts w:hint="eastAsia"/>
              <w:color w:val="auto"/>
            </w:rPr>
            <w:fldChar w:fldCharType="end"/>
          </w:r>
          <w:r>
            <w:rPr>
              <w:rFonts w:hint="eastAsia"/>
              <w:color w:val="auto"/>
            </w:rPr>
            <w:fldChar w:fldCharType="end"/>
          </w:r>
        </w:p>
        <w:p w14:paraId="51CED5CE">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"_Toc193967317" </w:instrText>
          </w:r>
          <w:r>
            <w:rPr>
              <w:color w:val="auto"/>
            </w:rPr>
            <w:fldChar w:fldCharType="separate"/>
          </w:r>
          <w:r>
            <w:rPr>
              <w:rStyle w:val="22"/>
              <w:rFonts w:hint="eastAsia"/>
              <w:color w:val="auto"/>
            </w:rPr>
            <w:t>Abstract</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_Toc193967317 \h</w:instrText>
          </w:r>
          <w:r>
            <w:rPr>
              <w:rFonts w:hint="eastAsia"/>
              <w:color w:val="auto"/>
            </w:rPr>
            <w:instrText xml:space="preserve"> </w:instrText>
          </w:r>
          <w:r>
            <w:rPr>
              <w:color w:val="auto"/>
            </w:rPr>
            <w:fldChar w:fldCharType="separate"/>
          </w:r>
          <w:r>
            <w:rPr>
              <w:color w:val="auto"/>
            </w:rPr>
            <w:t>II</w:t>
          </w:r>
          <w:r>
            <w:rPr>
              <w:rFonts w:hint="eastAsia"/>
              <w:color w:val="auto"/>
            </w:rPr>
            <w:fldChar w:fldCharType="end"/>
          </w:r>
          <w:r>
            <w:rPr>
              <w:rFonts w:hint="eastAsia"/>
              <w:color w:val="auto"/>
            </w:rPr>
            <w:fldChar w:fldCharType="end"/>
          </w:r>
        </w:p>
        <w:p w14:paraId="06ED3387">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"_Toc193967318" </w:instrText>
          </w:r>
          <w:r>
            <w:rPr>
              <w:color w:val="auto"/>
            </w:rPr>
            <w:fldChar w:fldCharType="separate"/>
          </w:r>
          <w:r>
            <w:rPr>
              <w:rStyle w:val="22"/>
              <w:rFonts w:hint="eastAsia"/>
              <w:color w:val="auto"/>
            </w:rPr>
            <w:t>第1章 绪 论</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_Toc193967318 \h</w:instrText>
          </w:r>
          <w:r>
            <w:rPr>
              <w:rFonts w:hint="eastAsia"/>
              <w:color w:val="auto"/>
            </w:rPr>
            <w:instrText xml:space="preserve"> </w:instrText>
          </w:r>
          <w:r>
            <w:rPr>
              <w:color w:val="auto"/>
            </w:rPr>
            <w:fldChar w:fldCharType="separate"/>
          </w:r>
          <w:r>
            <w:rPr>
              <w:color w:val="auto"/>
            </w:rPr>
            <w:t>1</w:t>
          </w:r>
          <w:r>
            <w:rPr>
              <w:rFonts w:hint="eastAsia"/>
              <w:color w:val="auto"/>
            </w:rPr>
            <w:fldChar w:fldCharType="end"/>
          </w:r>
          <w:r>
            <w:rPr>
              <w:rFonts w:hint="eastAsia"/>
              <w:color w:val="auto"/>
            </w:rPr>
            <w:fldChar w:fldCharType="end"/>
          </w:r>
        </w:p>
        <w:p w14:paraId="54DE86E7">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"_Toc193967319" </w:instrText>
          </w:r>
          <w:r>
            <w:rPr>
              <w:color w:val="auto"/>
            </w:rPr>
            <w:fldChar w:fldCharType="separate"/>
          </w:r>
          <w:r>
            <w:rPr>
              <w:rStyle w:val="22"/>
              <w:rFonts w:hint="eastAsia" w:ascii="Times New Roman" w:hAnsi="Times New Roman"/>
              <w:color w:val="auto"/>
            </w:rPr>
            <w:t>1.1 研究背景与意义</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_Toc193967319 \h</w:instrText>
          </w:r>
          <w:r>
            <w:rPr>
              <w:rFonts w:hint="eastAsia"/>
              <w:color w:val="auto"/>
            </w:rPr>
            <w:instrText xml:space="preserve"> </w:instrText>
          </w:r>
          <w:r>
            <w:rPr>
              <w:rFonts w:hint="eastAsia"/>
              <w:color w:val="auto"/>
            </w:rPr>
            <w:fldChar w:fldCharType="separate"/>
          </w:r>
          <w:r>
            <w:rPr>
              <w:rFonts w:hint="eastAsia"/>
              <w:color w:val="auto"/>
            </w:rPr>
            <w:t>1</w:t>
          </w:r>
          <w:r>
            <w:rPr>
              <w:rFonts w:hint="eastAsia"/>
              <w:color w:val="auto"/>
            </w:rPr>
            <w:fldChar w:fldCharType="end"/>
          </w:r>
          <w:r>
            <w:rPr>
              <w:rFonts w:hint="eastAsia"/>
              <w:color w:val="auto"/>
            </w:rPr>
            <w:fldChar w:fldCharType="end"/>
          </w:r>
        </w:p>
        <w:p w14:paraId="77EA22FB">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"_Toc193967320" </w:instrText>
          </w:r>
          <w:r>
            <w:rPr>
              <w:color w:val="auto"/>
            </w:rPr>
            <w:fldChar w:fldCharType="separate"/>
          </w:r>
          <w:r>
            <w:rPr>
              <w:rStyle w:val="22"/>
              <w:rFonts w:hint="eastAsia"/>
              <w:color w:val="auto"/>
            </w:rPr>
            <w:t>1.1.1 研究背景</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_Toc193967320 \h</w:instrText>
          </w:r>
          <w:r>
            <w:rPr>
              <w:rFonts w:hint="eastAsia"/>
              <w:color w:val="auto"/>
            </w:rPr>
            <w:instrText xml:space="preserve"> </w:instrText>
          </w:r>
          <w:r>
            <w:rPr>
              <w:color w:val="auto"/>
            </w:rPr>
            <w:fldChar w:fldCharType="separate"/>
          </w:r>
          <w:r>
            <w:rPr>
              <w:color w:val="auto"/>
            </w:rPr>
            <w:t>1</w:t>
          </w:r>
          <w:r>
            <w:rPr>
              <w:rFonts w:hint="eastAsia"/>
              <w:color w:val="auto"/>
            </w:rPr>
            <w:fldChar w:fldCharType="end"/>
          </w:r>
          <w:r>
            <w:rPr>
              <w:rFonts w:hint="eastAsia"/>
              <w:color w:val="auto"/>
            </w:rPr>
            <w:fldChar w:fldCharType="end"/>
          </w:r>
        </w:p>
        <w:p w14:paraId="6C4CF9EE">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"_Toc193967321" </w:instrText>
          </w:r>
          <w:r>
            <w:rPr>
              <w:color w:val="auto"/>
            </w:rPr>
            <w:fldChar w:fldCharType="separate"/>
          </w:r>
          <w:r>
            <w:rPr>
              <w:rStyle w:val="22"/>
              <w:rFonts w:hint="eastAsia"/>
              <w:color w:val="auto"/>
            </w:rPr>
            <w:t>1.1.2 研究意义</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_Toc193967321 \h</w:instrText>
          </w:r>
          <w:r>
            <w:rPr>
              <w:rFonts w:hint="eastAsia"/>
              <w:color w:val="auto"/>
            </w:rPr>
            <w:instrText xml:space="preserve"> </w:instrText>
          </w:r>
          <w:r>
            <w:rPr>
              <w:color w:val="auto"/>
            </w:rPr>
            <w:fldChar w:fldCharType="separate"/>
          </w:r>
          <w:r>
            <w:rPr>
              <w:color w:val="auto"/>
            </w:rPr>
            <w:t>2</w:t>
          </w:r>
          <w:r>
            <w:rPr>
              <w:rFonts w:hint="eastAsia"/>
              <w:color w:val="auto"/>
            </w:rPr>
            <w:fldChar w:fldCharType="end"/>
          </w:r>
          <w:r>
            <w:rPr>
              <w:rFonts w:hint="eastAsia"/>
              <w:color w:val="auto"/>
            </w:rPr>
            <w:fldChar w:fldCharType="end"/>
          </w:r>
        </w:p>
        <w:p w14:paraId="601D1E50">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"_Toc193967322" </w:instrText>
          </w:r>
          <w:r>
            <w:rPr>
              <w:color w:val="auto"/>
            </w:rPr>
            <w:fldChar w:fldCharType="separate"/>
          </w:r>
          <w:r>
            <w:rPr>
              <w:rStyle w:val="22"/>
              <w:rFonts w:hint="eastAsia" w:eastAsia="黑体"/>
              <w:color w:val="auto"/>
            </w:rPr>
            <w:t>1.2 国内外研究现状</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_Toc193967322 \h</w:instrText>
          </w:r>
          <w:r>
            <w:rPr>
              <w:rFonts w:hint="eastAsia"/>
              <w:color w:val="auto"/>
            </w:rPr>
            <w:instrText xml:space="preserve"> </w:instrText>
          </w:r>
          <w:r>
            <w:rPr>
              <w:rFonts w:hint="eastAsia"/>
              <w:color w:val="auto"/>
            </w:rPr>
            <w:fldChar w:fldCharType="separate"/>
          </w:r>
          <w:r>
            <w:rPr>
              <w:rFonts w:hint="eastAsia"/>
              <w:color w:val="auto"/>
            </w:rPr>
            <w:t>2</w:t>
          </w:r>
          <w:r>
            <w:rPr>
              <w:rFonts w:hint="eastAsia"/>
              <w:color w:val="auto"/>
            </w:rPr>
            <w:fldChar w:fldCharType="end"/>
          </w:r>
          <w:r>
            <w:rPr>
              <w:rFonts w:hint="eastAsia"/>
              <w:color w:val="auto"/>
            </w:rPr>
            <w:fldChar w:fldCharType="end"/>
          </w:r>
        </w:p>
        <w:p w14:paraId="5820D0D5">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"_Toc193967323" </w:instrText>
          </w:r>
          <w:r>
            <w:rPr>
              <w:color w:val="auto"/>
            </w:rPr>
            <w:fldChar w:fldCharType="separate"/>
          </w:r>
          <w:r>
            <w:rPr>
              <w:rStyle w:val="22"/>
              <w:rFonts w:hint="eastAsia"/>
              <w:color w:val="auto"/>
            </w:rPr>
            <w:t>1.2.1 新型电力系统研究现状</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_Toc193967323 \h</w:instrText>
          </w:r>
          <w:r>
            <w:rPr>
              <w:rFonts w:hint="eastAsia"/>
              <w:color w:val="auto"/>
            </w:rPr>
            <w:instrText xml:space="preserve"> </w:instrText>
          </w:r>
          <w:r>
            <w:rPr>
              <w:color w:val="auto"/>
            </w:rPr>
            <w:fldChar w:fldCharType="separate"/>
          </w:r>
          <w:r>
            <w:rPr>
              <w:color w:val="auto"/>
            </w:rPr>
            <w:t>2</w:t>
          </w:r>
          <w:r>
            <w:rPr>
              <w:rFonts w:hint="eastAsia"/>
              <w:color w:val="auto"/>
            </w:rPr>
            <w:fldChar w:fldCharType="end"/>
          </w:r>
          <w:r>
            <w:rPr>
              <w:rFonts w:hint="eastAsia"/>
              <w:color w:val="auto"/>
            </w:rPr>
            <w:fldChar w:fldCharType="end"/>
          </w:r>
        </w:p>
        <w:p w14:paraId="7DF85930">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"_Toc193967324" </w:instrText>
          </w:r>
          <w:r>
            <w:rPr>
              <w:color w:val="auto"/>
            </w:rPr>
            <w:fldChar w:fldCharType="separate"/>
          </w:r>
          <w:r>
            <w:rPr>
              <w:rStyle w:val="22"/>
              <w:rFonts w:hint="eastAsia"/>
              <w:color w:val="auto"/>
            </w:rPr>
            <w:t>1.2.2 电网项目综合评估研究现状</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_Toc193967324 \h</w:instrText>
          </w:r>
          <w:r>
            <w:rPr>
              <w:rFonts w:hint="eastAsia"/>
              <w:color w:val="auto"/>
            </w:rPr>
            <w:instrText xml:space="preserve"> </w:instrText>
          </w:r>
          <w:r>
            <w:rPr>
              <w:color w:val="auto"/>
            </w:rPr>
            <w:fldChar w:fldCharType="separate"/>
          </w:r>
          <w:r>
            <w:rPr>
              <w:color w:val="auto"/>
            </w:rPr>
            <w:t>4</w:t>
          </w:r>
          <w:r>
            <w:rPr>
              <w:rFonts w:hint="eastAsia"/>
              <w:color w:val="auto"/>
            </w:rPr>
            <w:fldChar w:fldCharType="end"/>
          </w:r>
          <w:r>
            <w:rPr>
              <w:rFonts w:hint="eastAsia"/>
              <w:color w:val="auto"/>
            </w:rPr>
            <w:fldChar w:fldCharType="end"/>
          </w:r>
        </w:p>
        <w:p w14:paraId="3B827029">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"_Toc193967325" </w:instrText>
          </w:r>
          <w:r>
            <w:rPr>
              <w:color w:val="auto"/>
            </w:rPr>
            <w:fldChar w:fldCharType="separate"/>
          </w:r>
          <w:r>
            <w:rPr>
              <w:rStyle w:val="22"/>
              <w:rFonts w:hint="eastAsia"/>
              <w:color w:val="auto"/>
            </w:rPr>
            <w:t>1.2.3电网投资能力测算研究现状</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_Toc193967325 \h</w:instrText>
          </w:r>
          <w:r>
            <w:rPr>
              <w:rFonts w:hint="eastAsia"/>
              <w:color w:val="auto"/>
            </w:rPr>
            <w:instrText xml:space="preserve"> </w:instrText>
          </w:r>
          <w:r>
            <w:rPr>
              <w:color w:val="auto"/>
            </w:rPr>
            <w:fldChar w:fldCharType="separate"/>
          </w:r>
          <w:r>
            <w:rPr>
              <w:color w:val="auto"/>
            </w:rPr>
            <w:t>5</w:t>
          </w:r>
          <w:r>
            <w:rPr>
              <w:rFonts w:hint="eastAsia"/>
              <w:color w:val="auto"/>
            </w:rPr>
            <w:fldChar w:fldCharType="end"/>
          </w:r>
          <w:r>
            <w:rPr>
              <w:rFonts w:hint="eastAsia"/>
              <w:color w:val="auto"/>
            </w:rPr>
            <w:fldChar w:fldCharType="end"/>
          </w:r>
        </w:p>
        <w:p w14:paraId="1615BA20">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"_Toc193967326" </w:instrText>
          </w:r>
          <w:r>
            <w:rPr>
              <w:color w:val="auto"/>
            </w:rPr>
            <w:fldChar w:fldCharType="separate"/>
          </w:r>
          <w:r>
            <w:rPr>
              <w:rStyle w:val="22"/>
              <w:rFonts w:hint="eastAsia"/>
              <w:color w:val="auto"/>
            </w:rPr>
            <w:t>1.2.4电网项目投资决策研究现状</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_Toc193967326 \h</w:instrText>
          </w:r>
          <w:r>
            <w:rPr>
              <w:rFonts w:hint="eastAsia"/>
              <w:color w:val="auto"/>
            </w:rPr>
            <w:instrText xml:space="preserve"> </w:instrText>
          </w:r>
          <w:r>
            <w:rPr>
              <w:color w:val="auto"/>
            </w:rPr>
            <w:fldChar w:fldCharType="separate"/>
          </w:r>
          <w:r>
            <w:rPr>
              <w:color w:val="auto"/>
            </w:rPr>
            <w:t>5</w:t>
          </w:r>
          <w:r>
            <w:rPr>
              <w:rFonts w:hint="eastAsia"/>
              <w:color w:val="auto"/>
            </w:rPr>
            <w:fldChar w:fldCharType="end"/>
          </w:r>
          <w:r>
            <w:rPr>
              <w:rFonts w:hint="eastAsia"/>
              <w:color w:val="auto"/>
            </w:rPr>
            <w:fldChar w:fldCharType="end"/>
          </w:r>
        </w:p>
        <w:p w14:paraId="5A92204F">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"_Toc193967327" </w:instrText>
          </w:r>
          <w:r>
            <w:rPr>
              <w:color w:val="auto"/>
            </w:rPr>
            <w:fldChar w:fldCharType="separate"/>
          </w:r>
          <w:r>
            <w:rPr>
              <w:rStyle w:val="22"/>
              <w:rFonts w:hint="eastAsia"/>
              <w:color w:val="auto"/>
            </w:rPr>
            <w:t>1.2.3 文献述评</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_Toc193967327 \h</w:instrText>
          </w:r>
          <w:r>
            <w:rPr>
              <w:rFonts w:hint="eastAsia"/>
              <w:color w:val="auto"/>
            </w:rPr>
            <w:instrText xml:space="preserve"> </w:instrText>
          </w:r>
          <w:r>
            <w:rPr>
              <w:color w:val="auto"/>
            </w:rPr>
            <w:fldChar w:fldCharType="separate"/>
          </w:r>
          <w:r>
            <w:rPr>
              <w:color w:val="auto"/>
            </w:rPr>
            <w:t>7</w:t>
          </w:r>
          <w:r>
            <w:rPr>
              <w:rFonts w:hint="eastAsia"/>
              <w:color w:val="auto"/>
            </w:rPr>
            <w:fldChar w:fldCharType="end"/>
          </w:r>
          <w:r>
            <w:rPr>
              <w:rFonts w:hint="eastAsia"/>
              <w:color w:val="auto"/>
            </w:rPr>
            <w:fldChar w:fldCharType="end"/>
          </w:r>
        </w:p>
        <w:p w14:paraId="32EE69DD">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"_Toc193967328" </w:instrText>
          </w:r>
          <w:r>
            <w:rPr>
              <w:color w:val="auto"/>
            </w:rPr>
            <w:fldChar w:fldCharType="separate"/>
          </w:r>
          <w:r>
            <w:rPr>
              <w:rStyle w:val="22"/>
              <w:rFonts w:hint="eastAsia" w:eastAsia="黑体"/>
              <w:color w:val="auto"/>
            </w:rPr>
            <w:t>1.3 研究目的与方法</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_Toc193967328 \h</w:instrText>
          </w:r>
          <w:r>
            <w:rPr>
              <w:rFonts w:hint="eastAsia"/>
              <w:color w:val="auto"/>
            </w:rPr>
            <w:instrText xml:space="preserve"> </w:instrText>
          </w:r>
          <w:r>
            <w:rPr>
              <w:rFonts w:hint="eastAsia"/>
              <w:color w:val="auto"/>
            </w:rPr>
            <w:fldChar w:fldCharType="separate"/>
          </w:r>
          <w:r>
            <w:rPr>
              <w:rFonts w:hint="eastAsia"/>
              <w:color w:val="auto"/>
            </w:rPr>
            <w:t>7</w:t>
          </w:r>
          <w:r>
            <w:rPr>
              <w:rFonts w:hint="eastAsia"/>
              <w:color w:val="auto"/>
            </w:rPr>
            <w:fldChar w:fldCharType="end"/>
          </w:r>
          <w:r>
            <w:rPr>
              <w:rFonts w:hint="eastAsia"/>
              <w:color w:val="auto"/>
            </w:rPr>
            <w:fldChar w:fldCharType="end"/>
          </w:r>
        </w:p>
        <w:p w14:paraId="7F602417">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"_Toc193967329" </w:instrText>
          </w:r>
          <w:r>
            <w:rPr>
              <w:color w:val="auto"/>
            </w:rPr>
            <w:fldChar w:fldCharType="separate"/>
          </w:r>
          <w:r>
            <w:rPr>
              <w:rStyle w:val="22"/>
              <w:rFonts w:hint="eastAsia"/>
              <w:color w:val="auto"/>
            </w:rPr>
            <w:t>1.3.1 研究目的</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_Toc193967329 \h</w:instrText>
          </w:r>
          <w:r>
            <w:rPr>
              <w:rFonts w:hint="eastAsia"/>
              <w:color w:val="auto"/>
            </w:rPr>
            <w:instrText xml:space="preserve"> </w:instrText>
          </w:r>
          <w:r>
            <w:rPr>
              <w:color w:val="auto"/>
            </w:rPr>
            <w:fldChar w:fldCharType="separate"/>
          </w:r>
          <w:r>
            <w:rPr>
              <w:color w:val="auto"/>
            </w:rPr>
            <w:t>7</w:t>
          </w:r>
          <w:r>
            <w:rPr>
              <w:rFonts w:hint="eastAsia"/>
              <w:color w:val="auto"/>
            </w:rPr>
            <w:fldChar w:fldCharType="end"/>
          </w:r>
          <w:r>
            <w:rPr>
              <w:rFonts w:hint="eastAsia"/>
              <w:color w:val="auto"/>
            </w:rPr>
            <w:fldChar w:fldCharType="end"/>
          </w:r>
        </w:p>
        <w:p w14:paraId="26557A45">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"_Toc193967330" </w:instrText>
          </w:r>
          <w:r>
            <w:rPr>
              <w:color w:val="auto"/>
            </w:rPr>
            <w:fldChar w:fldCharType="separate"/>
          </w:r>
          <w:r>
            <w:rPr>
              <w:rStyle w:val="22"/>
              <w:rFonts w:hint="eastAsia"/>
              <w:color w:val="auto"/>
            </w:rPr>
            <w:t>1.3.2 研究方法</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_Toc193967330 \h</w:instrText>
          </w:r>
          <w:r>
            <w:rPr>
              <w:rFonts w:hint="eastAsia"/>
              <w:color w:val="auto"/>
            </w:rPr>
            <w:instrText xml:space="preserve"> </w:instrText>
          </w:r>
          <w:r>
            <w:rPr>
              <w:color w:val="auto"/>
            </w:rPr>
            <w:fldChar w:fldCharType="separate"/>
          </w:r>
          <w:r>
            <w:rPr>
              <w:color w:val="auto"/>
            </w:rPr>
            <w:t>7</w:t>
          </w:r>
          <w:r>
            <w:rPr>
              <w:rFonts w:hint="eastAsia"/>
              <w:color w:val="auto"/>
            </w:rPr>
            <w:fldChar w:fldCharType="end"/>
          </w:r>
          <w:r>
            <w:rPr>
              <w:rFonts w:hint="eastAsia"/>
              <w:color w:val="auto"/>
            </w:rPr>
            <w:fldChar w:fldCharType="end"/>
          </w:r>
        </w:p>
        <w:p w14:paraId="384082E8">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"_Toc193967331" </w:instrText>
          </w:r>
          <w:r>
            <w:rPr>
              <w:color w:val="auto"/>
            </w:rPr>
            <w:fldChar w:fldCharType="separate"/>
          </w:r>
          <w:r>
            <w:rPr>
              <w:rStyle w:val="22"/>
              <w:rFonts w:hint="eastAsia" w:eastAsia="黑体"/>
              <w:color w:val="auto"/>
            </w:rPr>
            <w:t>1.4 研究内容与技术路线</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_Toc193967331 \h</w:instrText>
          </w:r>
          <w:r>
            <w:rPr>
              <w:rFonts w:hint="eastAsia"/>
              <w:color w:val="auto"/>
            </w:rPr>
            <w:instrText xml:space="preserve"> </w:instrText>
          </w:r>
          <w:r>
            <w:rPr>
              <w:rFonts w:hint="eastAsia"/>
              <w:color w:val="auto"/>
            </w:rPr>
            <w:fldChar w:fldCharType="separate"/>
          </w:r>
          <w:r>
            <w:rPr>
              <w:rFonts w:hint="eastAsia"/>
              <w:color w:val="auto"/>
            </w:rPr>
            <w:t>8</w:t>
          </w:r>
          <w:r>
            <w:rPr>
              <w:rFonts w:hint="eastAsia"/>
              <w:color w:val="auto"/>
            </w:rPr>
            <w:fldChar w:fldCharType="end"/>
          </w:r>
          <w:r>
            <w:rPr>
              <w:rFonts w:hint="eastAsia"/>
              <w:color w:val="auto"/>
            </w:rPr>
            <w:fldChar w:fldCharType="end"/>
          </w:r>
        </w:p>
        <w:p w14:paraId="1DEACFF5">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"_Toc193967332" </w:instrText>
          </w:r>
          <w:r>
            <w:rPr>
              <w:color w:val="auto"/>
            </w:rPr>
            <w:fldChar w:fldCharType="separate"/>
          </w:r>
          <w:r>
            <w:rPr>
              <w:rStyle w:val="22"/>
              <w:rFonts w:hint="eastAsia"/>
              <w:color w:val="auto"/>
            </w:rPr>
            <w:t>1.4.1 研究内容</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_Toc193967332 \h</w:instrText>
          </w:r>
          <w:r>
            <w:rPr>
              <w:rFonts w:hint="eastAsia"/>
              <w:color w:val="auto"/>
            </w:rPr>
            <w:instrText xml:space="preserve"> </w:instrText>
          </w:r>
          <w:r>
            <w:rPr>
              <w:color w:val="auto"/>
            </w:rPr>
            <w:fldChar w:fldCharType="separate"/>
          </w:r>
          <w:r>
            <w:rPr>
              <w:color w:val="auto"/>
            </w:rPr>
            <w:t>8</w:t>
          </w:r>
          <w:r>
            <w:rPr>
              <w:rFonts w:hint="eastAsia"/>
              <w:color w:val="auto"/>
            </w:rPr>
            <w:fldChar w:fldCharType="end"/>
          </w:r>
          <w:r>
            <w:rPr>
              <w:rFonts w:hint="eastAsia"/>
              <w:color w:val="auto"/>
            </w:rPr>
            <w:fldChar w:fldCharType="end"/>
          </w:r>
        </w:p>
        <w:p w14:paraId="54389D07">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"_Toc193967333" </w:instrText>
          </w:r>
          <w:r>
            <w:rPr>
              <w:color w:val="auto"/>
            </w:rPr>
            <w:fldChar w:fldCharType="separate"/>
          </w:r>
          <w:r>
            <w:rPr>
              <w:rStyle w:val="22"/>
              <w:rFonts w:hint="eastAsia"/>
              <w:color w:val="auto"/>
            </w:rPr>
            <w:t>1.4.2 技术路线</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_Toc193967333 \h</w:instrText>
          </w:r>
          <w:r>
            <w:rPr>
              <w:rFonts w:hint="eastAsia"/>
              <w:color w:val="auto"/>
            </w:rPr>
            <w:instrText xml:space="preserve"> </w:instrText>
          </w:r>
          <w:r>
            <w:rPr>
              <w:color w:val="auto"/>
            </w:rPr>
            <w:fldChar w:fldCharType="separate"/>
          </w:r>
          <w:r>
            <w:rPr>
              <w:color w:val="auto"/>
            </w:rPr>
            <w:t>8</w:t>
          </w:r>
          <w:r>
            <w:rPr>
              <w:rFonts w:hint="eastAsia"/>
              <w:color w:val="auto"/>
            </w:rPr>
            <w:fldChar w:fldCharType="end"/>
          </w:r>
          <w:r>
            <w:rPr>
              <w:rFonts w:hint="eastAsia"/>
              <w:color w:val="auto"/>
            </w:rPr>
            <w:fldChar w:fldCharType="end"/>
          </w:r>
        </w:p>
        <w:p w14:paraId="1AED0A22">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"_Toc193967334" </w:instrText>
          </w:r>
          <w:r>
            <w:rPr>
              <w:color w:val="auto"/>
            </w:rPr>
            <w:fldChar w:fldCharType="separate"/>
          </w:r>
          <w:r>
            <w:rPr>
              <w:rStyle w:val="22"/>
              <w:rFonts w:hint="eastAsia" w:eastAsia="黑体"/>
              <w:color w:val="auto"/>
            </w:rPr>
            <w:t>1.5 研究的创新点</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_Toc193967334 \h</w:instrText>
          </w:r>
          <w:r>
            <w:rPr>
              <w:rFonts w:hint="eastAsia"/>
              <w:color w:val="auto"/>
            </w:rPr>
            <w:instrText xml:space="preserve"> </w:instrText>
          </w:r>
          <w:r>
            <w:rPr>
              <w:rFonts w:hint="eastAsia"/>
              <w:color w:val="auto"/>
            </w:rPr>
            <w:fldChar w:fldCharType="separate"/>
          </w:r>
          <w:r>
            <w:rPr>
              <w:rFonts w:hint="eastAsia"/>
              <w:color w:val="auto"/>
            </w:rPr>
            <w:t>10</w:t>
          </w:r>
          <w:r>
            <w:rPr>
              <w:rFonts w:hint="eastAsia"/>
              <w:color w:val="auto"/>
            </w:rPr>
            <w:fldChar w:fldCharType="end"/>
          </w:r>
          <w:r>
            <w:rPr>
              <w:rFonts w:hint="eastAsia"/>
              <w:color w:val="auto"/>
            </w:rPr>
            <w:fldChar w:fldCharType="end"/>
          </w:r>
        </w:p>
        <w:p w14:paraId="12AA861B">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"_Toc193967335" </w:instrText>
          </w:r>
          <w:r>
            <w:rPr>
              <w:color w:val="auto"/>
            </w:rPr>
            <w:fldChar w:fldCharType="separate"/>
          </w:r>
          <w:r>
            <w:rPr>
              <w:rStyle w:val="22"/>
              <w:rFonts w:hint="eastAsia" w:eastAsia="黑体"/>
              <w:color w:val="auto"/>
            </w:rPr>
            <w:t>第2章 相关理论基础</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_Toc193967335 \h</w:instrText>
          </w:r>
          <w:r>
            <w:rPr>
              <w:rFonts w:hint="eastAsia"/>
              <w:color w:val="auto"/>
            </w:rPr>
            <w:instrText xml:space="preserve"> </w:instrText>
          </w:r>
          <w:r>
            <w:rPr>
              <w:color w:val="auto"/>
            </w:rPr>
            <w:fldChar w:fldCharType="separate"/>
          </w:r>
          <w:r>
            <w:rPr>
              <w:color w:val="auto"/>
            </w:rPr>
            <w:t>11</w:t>
          </w:r>
          <w:r>
            <w:rPr>
              <w:rFonts w:hint="eastAsia"/>
              <w:color w:val="auto"/>
            </w:rPr>
            <w:fldChar w:fldCharType="end"/>
          </w:r>
          <w:r>
            <w:rPr>
              <w:rFonts w:hint="eastAsia"/>
              <w:color w:val="auto"/>
            </w:rPr>
            <w:fldChar w:fldCharType="end"/>
          </w:r>
        </w:p>
        <w:p w14:paraId="32E785C9">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"_Toc193967336" </w:instrText>
          </w:r>
          <w:r>
            <w:rPr>
              <w:color w:val="auto"/>
            </w:rPr>
            <w:fldChar w:fldCharType="separate"/>
          </w:r>
          <w:r>
            <w:rPr>
              <w:rStyle w:val="22"/>
              <w:rFonts w:hint="eastAsia" w:eastAsia="黑体"/>
              <w:color w:val="auto"/>
            </w:rPr>
            <w:t>2.1 新型电力系统相关理论</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_Toc193967336 \h</w:instrText>
          </w:r>
          <w:r>
            <w:rPr>
              <w:rFonts w:hint="eastAsia"/>
              <w:color w:val="auto"/>
            </w:rPr>
            <w:instrText xml:space="preserve"> </w:instrText>
          </w:r>
          <w:r>
            <w:rPr>
              <w:rFonts w:hint="eastAsia"/>
              <w:color w:val="auto"/>
            </w:rPr>
            <w:fldChar w:fldCharType="separate"/>
          </w:r>
          <w:r>
            <w:rPr>
              <w:rFonts w:hint="eastAsia"/>
              <w:color w:val="auto"/>
            </w:rPr>
            <w:t>11</w:t>
          </w:r>
          <w:r>
            <w:rPr>
              <w:rFonts w:hint="eastAsia"/>
              <w:color w:val="auto"/>
            </w:rPr>
            <w:fldChar w:fldCharType="end"/>
          </w:r>
          <w:r>
            <w:rPr>
              <w:rFonts w:hint="eastAsia"/>
              <w:color w:val="auto"/>
            </w:rPr>
            <w:fldChar w:fldCharType="end"/>
          </w:r>
        </w:p>
        <w:p w14:paraId="770450E6">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"_Toc193967337" </w:instrText>
          </w:r>
          <w:r>
            <w:rPr>
              <w:color w:val="auto"/>
            </w:rPr>
            <w:fldChar w:fldCharType="separate"/>
          </w:r>
          <w:r>
            <w:rPr>
              <w:rStyle w:val="22"/>
              <w:rFonts w:hint="eastAsia"/>
              <w:color w:val="auto"/>
            </w:rPr>
            <w:t>2.1.1 新型电力系统特征</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_Toc193967337 \h</w:instrText>
          </w:r>
          <w:r>
            <w:rPr>
              <w:rFonts w:hint="eastAsia"/>
              <w:color w:val="auto"/>
            </w:rPr>
            <w:instrText xml:space="preserve"> </w:instrText>
          </w:r>
          <w:r>
            <w:rPr>
              <w:color w:val="auto"/>
            </w:rPr>
            <w:fldChar w:fldCharType="separate"/>
          </w:r>
          <w:r>
            <w:rPr>
              <w:color w:val="auto"/>
            </w:rPr>
            <w:t>11</w:t>
          </w:r>
          <w:r>
            <w:rPr>
              <w:rFonts w:hint="eastAsia"/>
              <w:color w:val="auto"/>
            </w:rPr>
            <w:fldChar w:fldCharType="end"/>
          </w:r>
          <w:r>
            <w:rPr>
              <w:rFonts w:hint="eastAsia"/>
              <w:color w:val="auto"/>
            </w:rPr>
            <w:fldChar w:fldCharType="end"/>
          </w:r>
        </w:p>
        <w:p w14:paraId="7BA0826F">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"_Toc193967338" </w:instrText>
          </w:r>
          <w:r>
            <w:rPr>
              <w:color w:val="auto"/>
            </w:rPr>
            <w:fldChar w:fldCharType="separate"/>
          </w:r>
          <w:r>
            <w:rPr>
              <w:rStyle w:val="22"/>
              <w:rFonts w:hint="eastAsia"/>
              <w:color w:val="auto"/>
            </w:rPr>
            <w:t>2.1.2 新型电力系统内涵</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_Toc193967338 \h</w:instrText>
          </w:r>
          <w:r>
            <w:rPr>
              <w:rFonts w:hint="eastAsia"/>
              <w:color w:val="auto"/>
            </w:rPr>
            <w:instrText xml:space="preserve"> </w:instrText>
          </w:r>
          <w:r>
            <w:rPr>
              <w:color w:val="auto"/>
            </w:rPr>
            <w:fldChar w:fldCharType="separate"/>
          </w:r>
          <w:r>
            <w:rPr>
              <w:color w:val="auto"/>
            </w:rPr>
            <w:t>11</w:t>
          </w:r>
          <w:r>
            <w:rPr>
              <w:rFonts w:hint="eastAsia"/>
              <w:color w:val="auto"/>
            </w:rPr>
            <w:fldChar w:fldCharType="end"/>
          </w:r>
          <w:r>
            <w:rPr>
              <w:rFonts w:hint="eastAsia"/>
              <w:color w:val="auto"/>
            </w:rPr>
            <w:fldChar w:fldCharType="end"/>
          </w:r>
        </w:p>
        <w:p w14:paraId="57B8D854">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"_Toc193967339" </w:instrText>
          </w:r>
          <w:r>
            <w:rPr>
              <w:color w:val="auto"/>
            </w:rPr>
            <w:fldChar w:fldCharType="separate"/>
          </w:r>
          <w:r>
            <w:rPr>
              <w:rStyle w:val="22"/>
              <w:rFonts w:hint="eastAsia" w:eastAsia="黑体"/>
              <w:color w:val="auto"/>
            </w:rPr>
            <w:t>2.2 电网项目投资决策理论概述</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_Toc193967339 \h</w:instrText>
          </w:r>
          <w:r>
            <w:rPr>
              <w:rFonts w:hint="eastAsia"/>
              <w:color w:val="auto"/>
            </w:rPr>
            <w:instrText xml:space="preserve"> </w:instrText>
          </w:r>
          <w:r>
            <w:rPr>
              <w:rFonts w:hint="eastAsia"/>
              <w:color w:val="auto"/>
            </w:rPr>
            <w:fldChar w:fldCharType="separate"/>
          </w:r>
          <w:r>
            <w:rPr>
              <w:rFonts w:hint="eastAsia"/>
              <w:color w:val="auto"/>
            </w:rPr>
            <w:t>12</w:t>
          </w:r>
          <w:r>
            <w:rPr>
              <w:rFonts w:hint="eastAsia"/>
              <w:color w:val="auto"/>
            </w:rPr>
            <w:fldChar w:fldCharType="end"/>
          </w:r>
          <w:r>
            <w:rPr>
              <w:rFonts w:hint="eastAsia"/>
              <w:color w:val="auto"/>
            </w:rPr>
            <w:fldChar w:fldCharType="end"/>
          </w:r>
        </w:p>
        <w:p w14:paraId="69500008">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"_Toc193967340" </w:instrText>
          </w:r>
          <w:r>
            <w:rPr>
              <w:color w:val="auto"/>
            </w:rPr>
            <w:fldChar w:fldCharType="separate"/>
          </w:r>
          <w:r>
            <w:rPr>
              <w:rStyle w:val="22"/>
              <w:rFonts w:hint="eastAsia"/>
              <w:color w:val="auto"/>
            </w:rPr>
            <w:t>2.2.1 电网项目投资理论介绍</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_Toc193967340 \h</w:instrText>
          </w:r>
          <w:r>
            <w:rPr>
              <w:rFonts w:hint="eastAsia"/>
              <w:color w:val="auto"/>
            </w:rPr>
            <w:instrText xml:space="preserve"> </w:instrText>
          </w:r>
          <w:r>
            <w:rPr>
              <w:color w:val="auto"/>
            </w:rPr>
            <w:fldChar w:fldCharType="separate"/>
          </w:r>
          <w:r>
            <w:rPr>
              <w:color w:val="auto"/>
            </w:rPr>
            <w:t>12</w:t>
          </w:r>
          <w:r>
            <w:rPr>
              <w:rFonts w:hint="eastAsia"/>
              <w:color w:val="auto"/>
            </w:rPr>
            <w:fldChar w:fldCharType="end"/>
          </w:r>
          <w:r>
            <w:rPr>
              <w:rFonts w:hint="eastAsia"/>
              <w:color w:val="auto"/>
            </w:rPr>
            <w:fldChar w:fldCharType="end"/>
          </w:r>
        </w:p>
        <w:p w14:paraId="3D1E13DD">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"_Toc193967341" </w:instrText>
          </w:r>
          <w:r>
            <w:rPr>
              <w:color w:val="auto"/>
            </w:rPr>
            <w:fldChar w:fldCharType="separate"/>
          </w:r>
          <w:r>
            <w:rPr>
              <w:rStyle w:val="22"/>
              <w:rFonts w:hint="eastAsia"/>
              <w:color w:val="auto"/>
            </w:rPr>
            <w:t>2.2.2 电网项目投资决策理论介绍</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_Toc193967341 \h</w:instrText>
          </w:r>
          <w:r>
            <w:rPr>
              <w:rFonts w:hint="eastAsia"/>
              <w:color w:val="auto"/>
            </w:rPr>
            <w:instrText xml:space="preserve"> </w:instrText>
          </w:r>
          <w:r>
            <w:rPr>
              <w:color w:val="auto"/>
            </w:rPr>
            <w:fldChar w:fldCharType="separate"/>
          </w:r>
          <w:r>
            <w:rPr>
              <w:color w:val="auto"/>
            </w:rPr>
            <w:t>12</w:t>
          </w:r>
          <w:r>
            <w:rPr>
              <w:rFonts w:hint="eastAsia"/>
              <w:color w:val="auto"/>
            </w:rPr>
            <w:fldChar w:fldCharType="end"/>
          </w:r>
          <w:r>
            <w:rPr>
              <w:rFonts w:hint="eastAsia"/>
              <w:color w:val="auto"/>
            </w:rPr>
            <w:fldChar w:fldCharType="end"/>
          </w:r>
        </w:p>
        <w:p w14:paraId="45ECE0C6">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"_Toc193967342" </w:instrText>
          </w:r>
          <w:r>
            <w:rPr>
              <w:color w:val="auto"/>
            </w:rPr>
            <w:fldChar w:fldCharType="separate"/>
          </w:r>
          <w:r>
            <w:rPr>
              <w:rStyle w:val="22"/>
              <w:rFonts w:hint="eastAsia"/>
              <w:color w:val="auto"/>
            </w:rPr>
            <w:t>2.2.3电网项目投资决策方法演进</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_Toc193967342 \h</w:instrText>
          </w:r>
          <w:r>
            <w:rPr>
              <w:rFonts w:hint="eastAsia"/>
              <w:color w:val="auto"/>
            </w:rPr>
            <w:instrText xml:space="preserve"> </w:instrText>
          </w:r>
          <w:r>
            <w:rPr>
              <w:color w:val="auto"/>
            </w:rPr>
            <w:fldChar w:fldCharType="separate"/>
          </w:r>
          <w:r>
            <w:rPr>
              <w:color w:val="auto"/>
            </w:rPr>
            <w:t>13</w:t>
          </w:r>
          <w:r>
            <w:rPr>
              <w:rFonts w:hint="eastAsia"/>
              <w:color w:val="auto"/>
            </w:rPr>
            <w:fldChar w:fldCharType="end"/>
          </w:r>
          <w:r>
            <w:rPr>
              <w:rFonts w:hint="eastAsia"/>
              <w:color w:val="auto"/>
            </w:rPr>
            <w:fldChar w:fldCharType="end"/>
          </w:r>
        </w:p>
        <w:p w14:paraId="2B77DD74">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"_Toc193967343" </w:instrText>
          </w:r>
          <w:r>
            <w:rPr>
              <w:color w:val="auto"/>
            </w:rPr>
            <w:fldChar w:fldCharType="separate"/>
          </w:r>
          <w:r>
            <w:rPr>
              <w:rStyle w:val="22"/>
              <w:rFonts w:hint="eastAsia" w:eastAsia="黑体"/>
              <w:color w:val="auto"/>
            </w:rPr>
            <w:t>2.3本章小结</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_Toc193967343 \h</w:instrText>
          </w:r>
          <w:r>
            <w:rPr>
              <w:rFonts w:hint="eastAsia"/>
              <w:color w:val="auto"/>
            </w:rPr>
            <w:instrText xml:space="preserve"> </w:instrText>
          </w:r>
          <w:r>
            <w:rPr>
              <w:rFonts w:hint="eastAsia"/>
              <w:color w:val="auto"/>
            </w:rPr>
            <w:fldChar w:fldCharType="separate"/>
          </w:r>
          <w:r>
            <w:rPr>
              <w:rFonts w:hint="eastAsia"/>
              <w:color w:val="auto"/>
            </w:rPr>
            <w:t>14</w:t>
          </w:r>
          <w:r>
            <w:rPr>
              <w:rFonts w:hint="eastAsia"/>
              <w:color w:val="auto"/>
            </w:rPr>
            <w:fldChar w:fldCharType="end"/>
          </w:r>
          <w:r>
            <w:rPr>
              <w:rFonts w:hint="eastAsia"/>
              <w:color w:val="auto"/>
            </w:rPr>
            <w:fldChar w:fldCharType="end"/>
          </w:r>
        </w:p>
        <w:p w14:paraId="30777698">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"_Toc193967344" </w:instrText>
          </w:r>
          <w:r>
            <w:rPr>
              <w:color w:val="auto"/>
            </w:rPr>
            <w:fldChar w:fldCharType="separate"/>
          </w:r>
          <w:r>
            <w:rPr>
              <w:rStyle w:val="22"/>
              <w:rFonts w:hint="eastAsia" w:eastAsia="黑体"/>
              <w:color w:val="auto"/>
            </w:rPr>
            <w:t>第3章 新型电力系统背景下J电网项目技术经济评估体系构建</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_Toc193967344 \h</w:instrText>
          </w:r>
          <w:r>
            <w:rPr>
              <w:rFonts w:hint="eastAsia"/>
              <w:color w:val="auto"/>
            </w:rPr>
            <w:instrText xml:space="preserve"> </w:instrText>
          </w:r>
          <w:r>
            <w:rPr>
              <w:color w:val="auto"/>
            </w:rPr>
            <w:fldChar w:fldCharType="separate"/>
          </w:r>
          <w:r>
            <w:rPr>
              <w:color w:val="auto"/>
            </w:rPr>
            <w:t>15</w:t>
          </w:r>
          <w:r>
            <w:rPr>
              <w:rFonts w:hint="eastAsia"/>
              <w:color w:val="auto"/>
            </w:rPr>
            <w:fldChar w:fldCharType="end"/>
          </w:r>
          <w:r>
            <w:rPr>
              <w:rFonts w:hint="eastAsia"/>
              <w:color w:val="auto"/>
            </w:rPr>
            <w:fldChar w:fldCharType="end"/>
          </w:r>
        </w:p>
        <w:p w14:paraId="720D7BAF">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"_Toc193967345" </w:instrText>
          </w:r>
          <w:r>
            <w:rPr>
              <w:color w:val="auto"/>
            </w:rPr>
            <w:fldChar w:fldCharType="separate"/>
          </w:r>
          <w:r>
            <w:rPr>
              <w:rStyle w:val="22"/>
              <w:rFonts w:hint="eastAsia" w:eastAsia="黑体"/>
              <w:color w:val="auto"/>
            </w:rPr>
            <w:t>3.1 J电网项目投资现状分析</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_Toc193967345 \h</w:instrText>
          </w:r>
          <w:r>
            <w:rPr>
              <w:rFonts w:hint="eastAsia"/>
              <w:color w:val="auto"/>
            </w:rPr>
            <w:instrText xml:space="preserve"> </w:instrText>
          </w:r>
          <w:r>
            <w:rPr>
              <w:rFonts w:hint="eastAsia"/>
              <w:color w:val="auto"/>
            </w:rPr>
            <w:fldChar w:fldCharType="separate"/>
          </w:r>
          <w:r>
            <w:rPr>
              <w:rFonts w:hint="eastAsia"/>
              <w:color w:val="auto"/>
            </w:rPr>
            <w:t>15</w:t>
          </w:r>
          <w:r>
            <w:rPr>
              <w:rFonts w:hint="eastAsia"/>
              <w:color w:val="auto"/>
            </w:rPr>
            <w:fldChar w:fldCharType="end"/>
          </w:r>
          <w:r>
            <w:rPr>
              <w:rFonts w:hint="eastAsia"/>
              <w:color w:val="auto"/>
            </w:rPr>
            <w:fldChar w:fldCharType="end"/>
          </w:r>
        </w:p>
        <w:p w14:paraId="0A4ED9F2">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"_Toc193967346" </w:instrText>
          </w:r>
          <w:r>
            <w:rPr>
              <w:color w:val="auto"/>
            </w:rPr>
            <w:fldChar w:fldCharType="separate"/>
          </w:r>
          <w:r>
            <w:rPr>
              <w:rStyle w:val="22"/>
              <w:rFonts w:hint="eastAsia"/>
              <w:color w:val="auto"/>
            </w:rPr>
            <w:t>3.1.1 J电网投资项目分类</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_Toc193967346 \h</w:instrText>
          </w:r>
          <w:r>
            <w:rPr>
              <w:rFonts w:hint="eastAsia"/>
              <w:color w:val="auto"/>
            </w:rPr>
            <w:instrText xml:space="preserve"> </w:instrText>
          </w:r>
          <w:r>
            <w:rPr>
              <w:color w:val="auto"/>
            </w:rPr>
            <w:fldChar w:fldCharType="separate"/>
          </w:r>
          <w:r>
            <w:rPr>
              <w:color w:val="auto"/>
            </w:rPr>
            <w:t>15</w:t>
          </w:r>
          <w:r>
            <w:rPr>
              <w:rFonts w:hint="eastAsia"/>
              <w:color w:val="auto"/>
            </w:rPr>
            <w:fldChar w:fldCharType="end"/>
          </w:r>
          <w:r>
            <w:rPr>
              <w:rFonts w:hint="eastAsia"/>
              <w:color w:val="auto"/>
            </w:rPr>
            <w:fldChar w:fldCharType="end"/>
          </w:r>
        </w:p>
        <w:p w14:paraId="0E0BC5A6">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"_Toc193967347" </w:instrText>
          </w:r>
          <w:r>
            <w:rPr>
              <w:color w:val="auto"/>
            </w:rPr>
            <w:fldChar w:fldCharType="separate"/>
          </w:r>
          <w:r>
            <w:rPr>
              <w:rStyle w:val="22"/>
              <w:rFonts w:hint="eastAsia" w:eastAsia="黑体"/>
              <w:color w:val="auto"/>
            </w:rPr>
            <w:t>3.2 J电网项目技术经济评估指标体系构建</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_Toc193967347 \h</w:instrText>
          </w:r>
          <w:r>
            <w:rPr>
              <w:rFonts w:hint="eastAsia"/>
              <w:color w:val="auto"/>
            </w:rPr>
            <w:instrText xml:space="preserve"> </w:instrText>
          </w:r>
          <w:r>
            <w:rPr>
              <w:rFonts w:hint="eastAsia"/>
              <w:color w:val="auto"/>
            </w:rPr>
            <w:fldChar w:fldCharType="separate"/>
          </w:r>
          <w:r>
            <w:rPr>
              <w:rFonts w:hint="eastAsia"/>
              <w:color w:val="auto"/>
            </w:rPr>
            <w:t>16</w:t>
          </w:r>
          <w:r>
            <w:rPr>
              <w:rFonts w:hint="eastAsia"/>
              <w:color w:val="auto"/>
            </w:rPr>
            <w:fldChar w:fldCharType="end"/>
          </w:r>
          <w:r>
            <w:rPr>
              <w:rFonts w:hint="eastAsia"/>
              <w:color w:val="auto"/>
            </w:rPr>
            <w:fldChar w:fldCharType="end"/>
          </w:r>
        </w:p>
        <w:p w14:paraId="74AA35A3">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"_Toc193967348" </w:instrText>
          </w:r>
          <w:r>
            <w:rPr>
              <w:color w:val="auto"/>
            </w:rPr>
            <w:fldChar w:fldCharType="separate"/>
          </w:r>
          <w:r>
            <w:rPr>
              <w:rStyle w:val="22"/>
              <w:rFonts w:hint="eastAsia"/>
              <w:color w:val="auto"/>
            </w:rPr>
            <w:t>3.2.1 评估指标选取原则</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_Toc193967348 \h</w:instrText>
          </w:r>
          <w:r>
            <w:rPr>
              <w:rFonts w:hint="eastAsia"/>
              <w:color w:val="auto"/>
            </w:rPr>
            <w:instrText xml:space="preserve"> </w:instrText>
          </w:r>
          <w:r>
            <w:rPr>
              <w:color w:val="auto"/>
            </w:rPr>
            <w:fldChar w:fldCharType="separate"/>
          </w:r>
          <w:r>
            <w:rPr>
              <w:color w:val="auto"/>
            </w:rPr>
            <w:t>16</w:t>
          </w:r>
          <w:r>
            <w:rPr>
              <w:rFonts w:hint="eastAsia"/>
              <w:color w:val="auto"/>
            </w:rPr>
            <w:fldChar w:fldCharType="end"/>
          </w:r>
          <w:r>
            <w:rPr>
              <w:rFonts w:hint="eastAsia"/>
              <w:color w:val="auto"/>
            </w:rPr>
            <w:fldChar w:fldCharType="end"/>
          </w:r>
        </w:p>
        <w:p w14:paraId="40D8A13B">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"_Toc193967349" </w:instrText>
          </w:r>
          <w:r>
            <w:rPr>
              <w:color w:val="auto"/>
            </w:rPr>
            <w:fldChar w:fldCharType="separate"/>
          </w:r>
          <w:r>
            <w:rPr>
              <w:rStyle w:val="22"/>
              <w:rFonts w:hint="eastAsia"/>
              <w:color w:val="auto"/>
            </w:rPr>
            <w:t>3.2.2 评估指标体系框架</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_Toc193967349 \h</w:instrText>
          </w:r>
          <w:r>
            <w:rPr>
              <w:rFonts w:hint="eastAsia"/>
              <w:color w:val="auto"/>
            </w:rPr>
            <w:instrText xml:space="preserve"> </w:instrText>
          </w:r>
          <w:r>
            <w:rPr>
              <w:color w:val="auto"/>
            </w:rPr>
            <w:fldChar w:fldCharType="separate"/>
          </w:r>
          <w:r>
            <w:rPr>
              <w:color w:val="auto"/>
            </w:rPr>
            <w:t>17</w:t>
          </w:r>
          <w:r>
            <w:rPr>
              <w:rFonts w:hint="eastAsia"/>
              <w:color w:val="auto"/>
            </w:rPr>
            <w:fldChar w:fldCharType="end"/>
          </w:r>
          <w:r>
            <w:rPr>
              <w:rFonts w:hint="eastAsia"/>
              <w:color w:val="auto"/>
            </w:rPr>
            <w:fldChar w:fldCharType="end"/>
          </w:r>
        </w:p>
        <w:p w14:paraId="51AE2761">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"_Toc193967350" </w:instrText>
          </w:r>
          <w:r>
            <w:rPr>
              <w:color w:val="auto"/>
            </w:rPr>
            <w:fldChar w:fldCharType="separate"/>
          </w:r>
          <w:r>
            <w:rPr>
              <w:rStyle w:val="22"/>
              <w:rFonts w:hint="eastAsia" w:eastAsia="黑体"/>
              <w:color w:val="auto"/>
            </w:rPr>
            <w:t>3.3 评估指标的数据抓取与量化分析及综合评估</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_Toc193967350 \h</w:instrText>
          </w:r>
          <w:r>
            <w:rPr>
              <w:rFonts w:hint="eastAsia"/>
              <w:color w:val="auto"/>
            </w:rPr>
            <w:instrText xml:space="preserve"> </w:instrText>
          </w:r>
          <w:r>
            <w:rPr>
              <w:rFonts w:hint="eastAsia"/>
              <w:color w:val="auto"/>
            </w:rPr>
            <w:fldChar w:fldCharType="separate"/>
          </w:r>
          <w:r>
            <w:rPr>
              <w:rFonts w:hint="eastAsia"/>
              <w:color w:val="auto"/>
            </w:rPr>
            <w:t>19</w:t>
          </w:r>
          <w:r>
            <w:rPr>
              <w:rFonts w:hint="eastAsia"/>
              <w:color w:val="auto"/>
            </w:rPr>
            <w:fldChar w:fldCharType="end"/>
          </w:r>
          <w:r>
            <w:rPr>
              <w:rFonts w:hint="eastAsia"/>
              <w:color w:val="auto"/>
            </w:rPr>
            <w:fldChar w:fldCharType="end"/>
          </w:r>
        </w:p>
        <w:p w14:paraId="21299100">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"_Toc193967351" </w:instrText>
          </w:r>
          <w:r>
            <w:rPr>
              <w:color w:val="auto"/>
            </w:rPr>
            <w:fldChar w:fldCharType="separate"/>
          </w:r>
          <w:r>
            <w:rPr>
              <w:rStyle w:val="22"/>
              <w:rFonts w:hint="eastAsia"/>
              <w:color w:val="auto"/>
            </w:rPr>
            <w:t>3.3.1 数据抓取</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_Toc193967351 \h</w:instrText>
          </w:r>
          <w:r>
            <w:rPr>
              <w:rFonts w:hint="eastAsia"/>
              <w:color w:val="auto"/>
            </w:rPr>
            <w:instrText xml:space="preserve"> </w:instrText>
          </w:r>
          <w:r>
            <w:rPr>
              <w:color w:val="auto"/>
            </w:rPr>
            <w:fldChar w:fldCharType="separate"/>
          </w:r>
          <w:r>
            <w:rPr>
              <w:color w:val="auto"/>
            </w:rPr>
            <w:t>19</w:t>
          </w:r>
          <w:r>
            <w:rPr>
              <w:rFonts w:hint="eastAsia"/>
              <w:color w:val="auto"/>
            </w:rPr>
            <w:fldChar w:fldCharType="end"/>
          </w:r>
          <w:r>
            <w:rPr>
              <w:rFonts w:hint="eastAsia"/>
              <w:color w:val="auto"/>
            </w:rPr>
            <w:fldChar w:fldCharType="end"/>
          </w:r>
        </w:p>
        <w:p w14:paraId="52AC81E5">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"_Toc193967352" </w:instrText>
          </w:r>
          <w:r>
            <w:rPr>
              <w:color w:val="auto"/>
            </w:rPr>
            <w:fldChar w:fldCharType="separate"/>
          </w:r>
          <w:r>
            <w:rPr>
              <w:rStyle w:val="22"/>
              <w:rFonts w:hint="eastAsia"/>
              <w:color w:val="auto"/>
            </w:rPr>
            <w:t>3.3.2 主成分分析</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_Toc193967352 \h</w:instrText>
          </w:r>
          <w:r>
            <w:rPr>
              <w:rFonts w:hint="eastAsia"/>
              <w:color w:val="auto"/>
            </w:rPr>
            <w:instrText xml:space="preserve"> </w:instrText>
          </w:r>
          <w:r>
            <w:rPr>
              <w:color w:val="auto"/>
            </w:rPr>
            <w:fldChar w:fldCharType="separate"/>
          </w:r>
          <w:r>
            <w:rPr>
              <w:color w:val="auto"/>
            </w:rPr>
            <w:t>20</w:t>
          </w:r>
          <w:r>
            <w:rPr>
              <w:rFonts w:hint="eastAsia"/>
              <w:color w:val="auto"/>
            </w:rPr>
            <w:fldChar w:fldCharType="end"/>
          </w:r>
          <w:r>
            <w:rPr>
              <w:rFonts w:hint="eastAsia"/>
              <w:color w:val="auto"/>
            </w:rPr>
            <w:fldChar w:fldCharType="end"/>
          </w:r>
        </w:p>
        <w:p w14:paraId="3F000050">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"_Toc193967353" </w:instrText>
          </w:r>
          <w:r>
            <w:rPr>
              <w:color w:val="auto"/>
            </w:rPr>
            <w:fldChar w:fldCharType="separate"/>
          </w:r>
          <w:r>
            <w:rPr>
              <w:rStyle w:val="22"/>
              <w:rFonts w:hint="eastAsia"/>
              <w:color w:val="auto"/>
            </w:rPr>
            <w:t>3.3.3 模糊综合评估</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_Toc193967353 \h</w:instrText>
          </w:r>
          <w:r>
            <w:rPr>
              <w:rFonts w:hint="eastAsia"/>
              <w:color w:val="auto"/>
            </w:rPr>
            <w:instrText xml:space="preserve"> </w:instrText>
          </w:r>
          <w:r>
            <w:rPr>
              <w:color w:val="auto"/>
            </w:rPr>
            <w:fldChar w:fldCharType="separate"/>
          </w:r>
          <w:r>
            <w:rPr>
              <w:color w:val="auto"/>
            </w:rPr>
            <w:t>23</w:t>
          </w:r>
          <w:r>
            <w:rPr>
              <w:rFonts w:hint="eastAsia"/>
              <w:color w:val="auto"/>
            </w:rPr>
            <w:fldChar w:fldCharType="end"/>
          </w:r>
          <w:r>
            <w:rPr>
              <w:rFonts w:hint="eastAsia"/>
              <w:color w:val="auto"/>
            </w:rPr>
            <w:fldChar w:fldCharType="end"/>
          </w:r>
        </w:p>
        <w:p w14:paraId="7E18D9E5">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"_Toc193967354" </w:instrText>
          </w:r>
          <w:r>
            <w:rPr>
              <w:color w:val="auto"/>
            </w:rPr>
            <w:fldChar w:fldCharType="separate"/>
          </w:r>
          <w:r>
            <w:rPr>
              <w:rStyle w:val="22"/>
              <w:rFonts w:hint="eastAsia" w:eastAsia="黑体"/>
              <w:color w:val="auto"/>
            </w:rPr>
            <w:t>3.4  基于评估指标体系的电网项目技术经济评估</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_Toc193967354 \h</w:instrText>
          </w:r>
          <w:r>
            <w:rPr>
              <w:rFonts w:hint="eastAsia"/>
              <w:color w:val="auto"/>
            </w:rPr>
            <w:instrText xml:space="preserve"> </w:instrText>
          </w:r>
          <w:r>
            <w:rPr>
              <w:rFonts w:hint="eastAsia"/>
              <w:color w:val="auto"/>
            </w:rPr>
            <w:fldChar w:fldCharType="separate"/>
          </w:r>
          <w:r>
            <w:rPr>
              <w:rFonts w:hint="eastAsia"/>
              <w:color w:val="auto"/>
            </w:rPr>
            <w:t>27</w:t>
          </w:r>
          <w:r>
            <w:rPr>
              <w:rFonts w:hint="eastAsia"/>
              <w:color w:val="auto"/>
            </w:rPr>
            <w:fldChar w:fldCharType="end"/>
          </w:r>
          <w:r>
            <w:rPr>
              <w:rFonts w:hint="eastAsia"/>
              <w:color w:val="auto"/>
            </w:rPr>
            <w:fldChar w:fldCharType="end"/>
          </w:r>
        </w:p>
        <w:p w14:paraId="1A6C286B">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"_Toc193967355" </w:instrText>
          </w:r>
          <w:r>
            <w:rPr>
              <w:color w:val="auto"/>
            </w:rPr>
            <w:fldChar w:fldCharType="separate"/>
          </w:r>
          <w:r>
            <w:rPr>
              <w:rStyle w:val="22"/>
              <w:rFonts w:hint="eastAsia"/>
              <w:color w:val="auto"/>
            </w:rPr>
            <w:t>3.4.1 典型项目评估案例分析</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_Toc193967355 \h</w:instrText>
          </w:r>
          <w:r>
            <w:rPr>
              <w:rFonts w:hint="eastAsia"/>
              <w:color w:val="auto"/>
            </w:rPr>
            <w:instrText xml:space="preserve"> </w:instrText>
          </w:r>
          <w:r>
            <w:rPr>
              <w:color w:val="auto"/>
            </w:rPr>
            <w:fldChar w:fldCharType="separate"/>
          </w:r>
          <w:r>
            <w:rPr>
              <w:color w:val="auto"/>
            </w:rPr>
            <w:t>27</w:t>
          </w:r>
          <w:r>
            <w:rPr>
              <w:rFonts w:hint="eastAsia"/>
              <w:color w:val="auto"/>
            </w:rPr>
            <w:fldChar w:fldCharType="end"/>
          </w:r>
          <w:r>
            <w:rPr>
              <w:rFonts w:hint="eastAsia"/>
              <w:color w:val="auto"/>
            </w:rPr>
            <w:fldChar w:fldCharType="end"/>
          </w:r>
        </w:p>
        <w:p w14:paraId="42575F06">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"_Toc193967356" </w:instrText>
          </w:r>
          <w:r>
            <w:rPr>
              <w:color w:val="auto"/>
            </w:rPr>
            <w:fldChar w:fldCharType="separate"/>
          </w:r>
          <w:r>
            <w:rPr>
              <w:rStyle w:val="22"/>
              <w:rFonts w:hint="eastAsia"/>
              <w:color w:val="auto"/>
            </w:rPr>
            <w:t>3.4.2 评估决策支持与投资优先级排序</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_Toc193967356 \h</w:instrText>
          </w:r>
          <w:r>
            <w:rPr>
              <w:rFonts w:hint="eastAsia"/>
              <w:color w:val="auto"/>
            </w:rPr>
            <w:instrText xml:space="preserve"> </w:instrText>
          </w:r>
          <w:r>
            <w:rPr>
              <w:color w:val="auto"/>
            </w:rPr>
            <w:fldChar w:fldCharType="separate"/>
          </w:r>
          <w:r>
            <w:rPr>
              <w:color w:val="auto"/>
            </w:rPr>
            <w:t>30</w:t>
          </w:r>
          <w:r>
            <w:rPr>
              <w:rFonts w:hint="eastAsia"/>
              <w:color w:val="auto"/>
            </w:rPr>
            <w:fldChar w:fldCharType="end"/>
          </w:r>
          <w:r>
            <w:rPr>
              <w:rFonts w:hint="eastAsia"/>
              <w:color w:val="auto"/>
            </w:rPr>
            <w:fldChar w:fldCharType="end"/>
          </w:r>
        </w:p>
        <w:p w14:paraId="2CE52DF7">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"_Toc193967357" </w:instrText>
          </w:r>
          <w:r>
            <w:rPr>
              <w:color w:val="auto"/>
            </w:rPr>
            <w:fldChar w:fldCharType="separate"/>
          </w:r>
          <w:r>
            <w:rPr>
              <w:rStyle w:val="22"/>
              <w:rFonts w:hint="eastAsia" w:eastAsia="黑体"/>
              <w:color w:val="auto"/>
            </w:rPr>
            <w:t>3.5本章小结</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_Toc193967357 \h</w:instrText>
          </w:r>
          <w:r>
            <w:rPr>
              <w:rFonts w:hint="eastAsia"/>
              <w:color w:val="auto"/>
            </w:rPr>
            <w:instrText xml:space="preserve"> </w:instrText>
          </w:r>
          <w:r>
            <w:rPr>
              <w:rFonts w:hint="eastAsia"/>
              <w:color w:val="auto"/>
            </w:rPr>
            <w:fldChar w:fldCharType="separate"/>
          </w:r>
          <w:r>
            <w:rPr>
              <w:rFonts w:hint="eastAsia"/>
              <w:color w:val="auto"/>
            </w:rPr>
            <w:t>30</w:t>
          </w:r>
          <w:r>
            <w:rPr>
              <w:rFonts w:hint="eastAsia"/>
              <w:color w:val="auto"/>
            </w:rPr>
            <w:fldChar w:fldCharType="end"/>
          </w:r>
          <w:r>
            <w:rPr>
              <w:rFonts w:hint="eastAsia"/>
              <w:color w:val="auto"/>
            </w:rPr>
            <w:fldChar w:fldCharType="end"/>
          </w:r>
        </w:p>
        <w:p w14:paraId="6F212CD4">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"_Toc193967358" </w:instrText>
          </w:r>
          <w:r>
            <w:rPr>
              <w:color w:val="auto"/>
            </w:rPr>
            <w:fldChar w:fldCharType="separate"/>
          </w:r>
          <w:r>
            <w:rPr>
              <w:rStyle w:val="22"/>
              <w:rFonts w:hint="eastAsia" w:eastAsia="黑体"/>
              <w:color w:val="auto"/>
            </w:rPr>
            <w:t>第4章 新型电力系统下J电网项目投资能力测算</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_Toc193967358 \h</w:instrText>
          </w:r>
          <w:r>
            <w:rPr>
              <w:rFonts w:hint="eastAsia"/>
              <w:color w:val="auto"/>
            </w:rPr>
            <w:instrText xml:space="preserve"> </w:instrText>
          </w:r>
          <w:r>
            <w:rPr>
              <w:color w:val="auto"/>
            </w:rPr>
            <w:fldChar w:fldCharType="separate"/>
          </w:r>
          <w:r>
            <w:rPr>
              <w:color w:val="auto"/>
            </w:rPr>
            <w:t>32</w:t>
          </w:r>
          <w:r>
            <w:rPr>
              <w:rFonts w:hint="eastAsia"/>
              <w:color w:val="auto"/>
            </w:rPr>
            <w:fldChar w:fldCharType="end"/>
          </w:r>
          <w:r>
            <w:rPr>
              <w:rFonts w:hint="eastAsia"/>
              <w:color w:val="auto"/>
            </w:rPr>
            <w:fldChar w:fldCharType="end"/>
          </w:r>
        </w:p>
        <w:p w14:paraId="66C1A185">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"_Toc193967359" </w:instrText>
          </w:r>
          <w:r>
            <w:rPr>
              <w:color w:val="auto"/>
            </w:rPr>
            <w:fldChar w:fldCharType="separate"/>
          </w:r>
          <w:r>
            <w:rPr>
              <w:rStyle w:val="22"/>
              <w:rFonts w:hint="eastAsia" w:eastAsia="黑体"/>
              <w:color w:val="auto"/>
            </w:rPr>
            <w:t>4.1 新型电力系统对J电网项目投资能力的影响分析</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_Toc193967359 \h</w:instrText>
          </w:r>
          <w:r>
            <w:rPr>
              <w:rFonts w:hint="eastAsia"/>
              <w:color w:val="auto"/>
            </w:rPr>
            <w:instrText xml:space="preserve"> </w:instrText>
          </w:r>
          <w:r>
            <w:rPr>
              <w:rFonts w:hint="eastAsia"/>
              <w:color w:val="auto"/>
            </w:rPr>
            <w:fldChar w:fldCharType="separate"/>
          </w:r>
          <w:r>
            <w:rPr>
              <w:rFonts w:hint="eastAsia"/>
              <w:color w:val="auto"/>
            </w:rPr>
            <w:t>32</w:t>
          </w:r>
          <w:r>
            <w:rPr>
              <w:rFonts w:hint="eastAsia"/>
              <w:color w:val="auto"/>
            </w:rPr>
            <w:fldChar w:fldCharType="end"/>
          </w:r>
          <w:r>
            <w:rPr>
              <w:rFonts w:hint="eastAsia"/>
              <w:color w:val="auto"/>
            </w:rPr>
            <w:fldChar w:fldCharType="end"/>
          </w:r>
        </w:p>
        <w:p w14:paraId="2D5E69B9">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"_Toc193967360" </w:instrText>
          </w:r>
          <w:r>
            <w:rPr>
              <w:color w:val="auto"/>
            </w:rPr>
            <w:fldChar w:fldCharType="separate"/>
          </w:r>
          <w:r>
            <w:rPr>
              <w:rStyle w:val="22"/>
              <w:rFonts w:hint="eastAsia"/>
              <w:color w:val="auto"/>
            </w:rPr>
            <w:t>4.1.1 能源结构变化的影响</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_Toc193967360 \h</w:instrText>
          </w:r>
          <w:r>
            <w:rPr>
              <w:rFonts w:hint="eastAsia"/>
              <w:color w:val="auto"/>
            </w:rPr>
            <w:instrText xml:space="preserve"> </w:instrText>
          </w:r>
          <w:r>
            <w:rPr>
              <w:color w:val="auto"/>
            </w:rPr>
            <w:fldChar w:fldCharType="separate"/>
          </w:r>
          <w:r>
            <w:rPr>
              <w:color w:val="auto"/>
            </w:rPr>
            <w:t>32</w:t>
          </w:r>
          <w:r>
            <w:rPr>
              <w:rFonts w:hint="eastAsia"/>
              <w:color w:val="auto"/>
            </w:rPr>
            <w:fldChar w:fldCharType="end"/>
          </w:r>
          <w:r>
            <w:rPr>
              <w:rFonts w:hint="eastAsia"/>
              <w:color w:val="auto"/>
            </w:rPr>
            <w:fldChar w:fldCharType="end"/>
          </w:r>
        </w:p>
        <w:p w14:paraId="1A0AA218">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"_Toc193967361" </w:instrText>
          </w:r>
          <w:r>
            <w:rPr>
              <w:color w:val="auto"/>
            </w:rPr>
            <w:fldChar w:fldCharType="separate"/>
          </w:r>
          <w:r>
            <w:rPr>
              <w:rStyle w:val="22"/>
              <w:rFonts w:hint="eastAsia"/>
              <w:color w:val="auto"/>
            </w:rPr>
            <w:t>4.1.2 新型主体入市的影响</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_Toc193967361 \h</w:instrText>
          </w:r>
          <w:r>
            <w:rPr>
              <w:rFonts w:hint="eastAsia"/>
              <w:color w:val="auto"/>
            </w:rPr>
            <w:instrText xml:space="preserve"> </w:instrText>
          </w:r>
          <w:r>
            <w:rPr>
              <w:color w:val="auto"/>
            </w:rPr>
            <w:fldChar w:fldCharType="separate"/>
          </w:r>
          <w:r>
            <w:rPr>
              <w:color w:val="auto"/>
            </w:rPr>
            <w:t>32</w:t>
          </w:r>
          <w:r>
            <w:rPr>
              <w:rFonts w:hint="eastAsia"/>
              <w:color w:val="auto"/>
            </w:rPr>
            <w:fldChar w:fldCharType="end"/>
          </w:r>
          <w:r>
            <w:rPr>
              <w:rFonts w:hint="eastAsia"/>
              <w:color w:val="auto"/>
            </w:rPr>
            <w:fldChar w:fldCharType="end"/>
          </w:r>
        </w:p>
        <w:p w14:paraId="24F93BED">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"_Toc193967362" </w:instrText>
          </w:r>
          <w:r>
            <w:rPr>
              <w:color w:val="auto"/>
            </w:rPr>
            <w:fldChar w:fldCharType="separate"/>
          </w:r>
          <w:r>
            <w:rPr>
              <w:rStyle w:val="22"/>
              <w:rFonts w:hint="eastAsia"/>
              <w:color w:val="auto"/>
            </w:rPr>
            <w:t>4.1.3 技术创新的影响</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_Toc193967362 \h</w:instrText>
          </w:r>
          <w:r>
            <w:rPr>
              <w:rFonts w:hint="eastAsia"/>
              <w:color w:val="auto"/>
            </w:rPr>
            <w:instrText xml:space="preserve"> </w:instrText>
          </w:r>
          <w:r>
            <w:rPr>
              <w:color w:val="auto"/>
            </w:rPr>
            <w:fldChar w:fldCharType="separate"/>
          </w:r>
          <w:r>
            <w:rPr>
              <w:color w:val="auto"/>
            </w:rPr>
            <w:t>33</w:t>
          </w:r>
          <w:r>
            <w:rPr>
              <w:rFonts w:hint="eastAsia"/>
              <w:color w:val="auto"/>
            </w:rPr>
            <w:fldChar w:fldCharType="end"/>
          </w:r>
          <w:r>
            <w:rPr>
              <w:rFonts w:hint="eastAsia"/>
              <w:color w:val="auto"/>
            </w:rPr>
            <w:fldChar w:fldCharType="end"/>
          </w:r>
        </w:p>
        <w:p w14:paraId="087CB856">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"_Toc193967363" </w:instrText>
          </w:r>
          <w:r>
            <w:rPr>
              <w:color w:val="auto"/>
            </w:rPr>
            <w:fldChar w:fldCharType="separate"/>
          </w:r>
          <w:r>
            <w:rPr>
              <w:rStyle w:val="22"/>
              <w:rFonts w:hint="eastAsia" w:eastAsia="黑体"/>
              <w:color w:val="auto"/>
            </w:rPr>
            <w:t>4.2 电网投资能力测算模型建立</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_Toc193967363 \h</w:instrText>
          </w:r>
          <w:r>
            <w:rPr>
              <w:rFonts w:hint="eastAsia"/>
              <w:color w:val="auto"/>
            </w:rPr>
            <w:instrText xml:space="preserve"> </w:instrText>
          </w:r>
          <w:r>
            <w:rPr>
              <w:rFonts w:hint="eastAsia"/>
              <w:color w:val="auto"/>
            </w:rPr>
            <w:fldChar w:fldCharType="separate"/>
          </w:r>
          <w:r>
            <w:rPr>
              <w:rFonts w:hint="eastAsia"/>
              <w:color w:val="auto"/>
            </w:rPr>
            <w:t>33</w:t>
          </w:r>
          <w:r>
            <w:rPr>
              <w:rFonts w:hint="eastAsia"/>
              <w:color w:val="auto"/>
            </w:rPr>
            <w:fldChar w:fldCharType="end"/>
          </w:r>
          <w:r>
            <w:rPr>
              <w:rFonts w:hint="eastAsia"/>
              <w:color w:val="auto"/>
            </w:rPr>
            <w:fldChar w:fldCharType="end"/>
          </w:r>
        </w:p>
        <w:p w14:paraId="33B8686D">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"_Toc193967364" </w:instrText>
          </w:r>
          <w:r>
            <w:rPr>
              <w:color w:val="auto"/>
            </w:rPr>
            <w:fldChar w:fldCharType="separate"/>
          </w:r>
          <w:r>
            <w:rPr>
              <w:rStyle w:val="22"/>
              <w:rFonts w:hint="eastAsia"/>
              <w:color w:val="auto"/>
            </w:rPr>
            <w:t>4.2.1 基于因子分析的影响因素识别与筛选</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_Toc193967364 \h</w:instrText>
          </w:r>
          <w:r>
            <w:rPr>
              <w:rFonts w:hint="eastAsia"/>
              <w:color w:val="auto"/>
            </w:rPr>
            <w:instrText xml:space="preserve"> </w:instrText>
          </w:r>
          <w:r>
            <w:rPr>
              <w:color w:val="auto"/>
            </w:rPr>
            <w:fldChar w:fldCharType="separate"/>
          </w:r>
          <w:r>
            <w:rPr>
              <w:color w:val="auto"/>
            </w:rPr>
            <w:t>33</w:t>
          </w:r>
          <w:r>
            <w:rPr>
              <w:rFonts w:hint="eastAsia"/>
              <w:color w:val="auto"/>
            </w:rPr>
            <w:fldChar w:fldCharType="end"/>
          </w:r>
          <w:r>
            <w:rPr>
              <w:rFonts w:hint="eastAsia"/>
              <w:color w:val="auto"/>
            </w:rPr>
            <w:fldChar w:fldCharType="end"/>
          </w:r>
        </w:p>
        <w:p w14:paraId="448AE561">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"_Toc193967365" </w:instrText>
          </w:r>
          <w:r>
            <w:rPr>
              <w:color w:val="auto"/>
            </w:rPr>
            <w:fldChar w:fldCharType="separate"/>
          </w:r>
          <w:r>
            <w:rPr>
              <w:rStyle w:val="22"/>
              <w:rFonts w:hint="eastAsia"/>
              <w:color w:val="auto"/>
            </w:rPr>
            <w:t>4.2.2 投资能力测算模型建立</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_Toc193967365 \h</w:instrText>
          </w:r>
          <w:r>
            <w:rPr>
              <w:rFonts w:hint="eastAsia"/>
              <w:color w:val="auto"/>
            </w:rPr>
            <w:instrText xml:space="preserve"> </w:instrText>
          </w:r>
          <w:r>
            <w:rPr>
              <w:color w:val="auto"/>
            </w:rPr>
            <w:fldChar w:fldCharType="separate"/>
          </w:r>
          <w:r>
            <w:rPr>
              <w:color w:val="auto"/>
            </w:rPr>
            <w:t>36</w:t>
          </w:r>
          <w:r>
            <w:rPr>
              <w:rFonts w:hint="eastAsia"/>
              <w:color w:val="auto"/>
            </w:rPr>
            <w:fldChar w:fldCharType="end"/>
          </w:r>
          <w:r>
            <w:rPr>
              <w:rFonts w:hint="eastAsia"/>
              <w:color w:val="auto"/>
            </w:rPr>
            <w:fldChar w:fldCharType="end"/>
          </w:r>
        </w:p>
        <w:p w14:paraId="1F8E9487">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"_Toc193967366" </w:instrText>
          </w:r>
          <w:r>
            <w:rPr>
              <w:color w:val="auto"/>
            </w:rPr>
            <w:fldChar w:fldCharType="separate"/>
          </w:r>
          <w:r>
            <w:rPr>
              <w:rStyle w:val="22"/>
              <w:rFonts w:hint="eastAsia" w:eastAsia="黑体"/>
              <w:color w:val="auto"/>
            </w:rPr>
            <w:t>4.3 实例分析与结果验证</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_Toc193967366 \h</w:instrText>
          </w:r>
          <w:r>
            <w:rPr>
              <w:rFonts w:hint="eastAsia"/>
              <w:color w:val="auto"/>
            </w:rPr>
            <w:instrText xml:space="preserve"> </w:instrText>
          </w:r>
          <w:r>
            <w:rPr>
              <w:rFonts w:hint="eastAsia"/>
              <w:color w:val="auto"/>
            </w:rPr>
            <w:fldChar w:fldCharType="separate"/>
          </w:r>
          <w:r>
            <w:rPr>
              <w:rFonts w:hint="eastAsia"/>
              <w:color w:val="auto"/>
            </w:rPr>
            <w:t>38</w:t>
          </w:r>
          <w:r>
            <w:rPr>
              <w:rFonts w:hint="eastAsia"/>
              <w:color w:val="auto"/>
            </w:rPr>
            <w:fldChar w:fldCharType="end"/>
          </w:r>
          <w:r>
            <w:rPr>
              <w:rFonts w:hint="eastAsia"/>
              <w:color w:val="auto"/>
            </w:rPr>
            <w:fldChar w:fldCharType="end"/>
          </w:r>
        </w:p>
        <w:p w14:paraId="3BE4D429">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"_Toc193967367" </w:instrText>
          </w:r>
          <w:r>
            <w:rPr>
              <w:color w:val="auto"/>
            </w:rPr>
            <w:fldChar w:fldCharType="separate"/>
          </w:r>
          <w:r>
            <w:rPr>
              <w:rStyle w:val="22"/>
              <w:rFonts w:hint="eastAsia"/>
              <w:color w:val="auto"/>
            </w:rPr>
            <w:t>4.3.1 数据收集与预处理</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_Toc193967367 \h</w:instrText>
          </w:r>
          <w:r>
            <w:rPr>
              <w:rFonts w:hint="eastAsia"/>
              <w:color w:val="auto"/>
            </w:rPr>
            <w:instrText xml:space="preserve"> </w:instrText>
          </w:r>
          <w:r>
            <w:rPr>
              <w:color w:val="auto"/>
            </w:rPr>
            <w:fldChar w:fldCharType="separate"/>
          </w:r>
          <w:r>
            <w:rPr>
              <w:color w:val="auto"/>
            </w:rPr>
            <w:t>38</w:t>
          </w:r>
          <w:r>
            <w:rPr>
              <w:rFonts w:hint="eastAsia"/>
              <w:color w:val="auto"/>
            </w:rPr>
            <w:fldChar w:fldCharType="end"/>
          </w:r>
          <w:r>
            <w:rPr>
              <w:rFonts w:hint="eastAsia"/>
              <w:color w:val="auto"/>
            </w:rPr>
            <w:fldChar w:fldCharType="end"/>
          </w:r>
        </w:p>
        <w:p w14:paraId="54AC0FEC">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"_Toc193967368" </w:instrText>
          </w:r>
          <w:r>
            <w:rPr>
              <w:color w:val="auto"/>
            </w:rPr>
            <w:fldChar w:fldCharType="separate"/>
          </w:r>
          <w:r>
            <w:rPr>
              <w:rStyle w:val="22"/>
              <w:rFonts w:hint="eastAsia"/>
              <w:color w:val="auto"/>
            </w:rPr>
            <w:t>4.3.2 模型应用与结果分析</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_Toc193967368 \h</w:instrText>
          </w:r>
          <w:r>
            <w:rPr>
              <w:rFonts w:hint="eastAsia"/>
              <w:color w:val="auto"/>
            </w:rPr>
            <w:instrText xml:space="preserve"> </w:instrText>
          </w:r>
          <w:r>
            <w:rPr>
              <w:color w:val="auto"/>
            </w:rPr>
            <w:fldChar w:fldCharType="separate"/>
          </w:r>
          <w:r>
            <w:rPr>
              <w:color w:val="auto"/>
            </w:rPr>
            <w:t>38</w:t>
          </w:r>
          <w:r>
            <w:rPr>
              <w:rFonts w:hint="eastAsia"/>
              <w:color w:val="auto"/>
            </w:rPr>
            <w:fldChar w:fldCharType="end"/>
          </w:r>
          <w:r>
            <w:rPr>
              <w:rFonts w:hint="eastAsia"/>
              <w:color w:val="auto"/>
            </w:rPr>
            <w:fldChar w:fldCharType="end"/>
          </w:r>
        </w:p>
        <w:p w14:paraId="67EBA135">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"_Toc193967369" </w:instrText>
          </w:r>
          <w:r>
            <w:rPr>
              <w:color w:val="auto"/>
            </w:rPr>
            <w:fldChar w:fldCharType="separate"/>
          </w:r>
          <w:r>
            <w:rPr>
              <w:rStyle w:val="22"/>
              <w:rFonts w:hint="eastAsia" w:eastAsia="黑体"/>
              <w:color w:val="auto"/>
            </w:rPr>
            <w:t>4.4本章小结</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_Toc193967369 \h</w:instrText>
          </w:r>
          <w:r>
            <w:rPr>
              <w:rFonts w:hint="eastAsia"/>
              <w:color w:val="auto"/>
            </w:rPr>
            <w:instrText xml:space="preserve"> </w:instrText>
          </w:r>
          <w:r>
            <w:rPr>
              <w:rFonts w:hint="eastAsia"/>
              <w:color w:val="auto"/>
            </w:rPr>
            <w:fldChar w:fldCharType="separate"/>
          </w:r>
          <w:r>
            <w:rPr>
              <w:rFonts w:hint="eastAsia"/>
              <w:color w:val="auto"/>
            </w:rPr>
            <w:t>43</w:t>
          </w:r>
          <w:r>
            <w:rPr>
              <w:rFonts w:hint="eastAsia"/>
              <w:color w:val="auto"/>
            </w:rPr>
            <w:fldChar w:fldCharType="end"/>
          </w:r>
          <w:r>
            <w:rPr>
              <w:rFonts w:hint="eastAsia"/>
              <w:color w:val="auto"/>
            </w:rPr>
            <w:fldChar w:fldCharType="end"/>
          </w:r>
        </w:p>
        <w:p w14:paraId="55944B3D">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"_Toc193967370" </w:instrText>
          </w:r>
          <w:r>
            <w:rPr>
              <w:color w:val="auto"/>
            </w:rPr>
            <w:fldChar w:fldCharType="separate"/>
          </w:r>
          <w:r>
            <w:rPr>
              <w:rStyle w:val="22"/>
              <w:rFonts w:hint="eastAsia" w:eastAsia="黑体"/>
              <w:color w:val="auto"/>
            </w:rPr>
            <w:t>第5章 新型电力系统背景下J电网项目智能投资决策优化模型</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_Toc193967370 \h</w:instrText>
          </w:r>
          <w:r>
            <w:rPr>
              <w:rFonts w:hint="eastAsia"/>
              <w:color w:val="auto"/>
            </w:rPr>
            <w:instrText xml:space="preserve"> </w:instrText>
          </w:r>
          <w:r>
            <w:rPr>
              <w:color w:val="auto"/>
            </w:rPr>
            <w:fldChar w:fldCharType="separate"/>
          </w:r>
          <w:r>
            <w:rPr>
              <w:color w:val="auto"/>
            </w:rPr>
            <w:t>45</w:t>
          </w:r>
          <w:r>
            <w:rPr>
              <w:rFonts w:hint="eastAsia"/>
              <w:color w:val="auto"/>
            </w:rPr>
            <w:fldChar w:fldCharType="end"/>
          </w:r>
          <w:r>
            <w:rPr>
              <w:rFonts w:hint="eastAsia"/>
              <w:color w:val="auto"/>
            </w:rPr>
            <w:fldChar w:fldCharType="end"/>
          </w:r>
        </w:p>
        <w:p w14:paraId="35174CF6">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"_Toc193967371" </w:instrText>
          </w:r>
          <w:r>
            <w:rPr>
              <w:color w:val="auto"/>
            </w:rPr>
            <w:fldChar w:fldCharType="separate"/>
          </w:r>
          <w:r>
            <w:rPr>
              <w:rStyle w:val="22"/>
              <w:rFonts w:hint="eastAsia" w:eastAsia="黑体"/>
              <w:color w:val="auto"/>
            </w:rPr>
            <w:t>5.1 基于增广Lagrange乘子法的混合灰狼优化算法介绍</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_Toc193967371 \h</w:instrText>
          </w:r>
          <w:r>
            <w:rPr>
              <w:rFonts w:hint="eastAsia"/>
              <w:color w:val="auto"/>
            </w:rPr>
            <w:instrText xml:space="preserve"> </w:instrText>
          </w:r>
          <w:r>
            <w:rPr>
              <w:rFonts w:hint="eastAsia"/>
              <w:color w:val="auto"/>
            </w:rPr>
            <w:fldChar w:fldCharType="separate"/>
          </w:r>
          <w:r>
            <w:rPr>
              <w:rFonts w:hint="eastAsia"/>
              <w:color w:val="auto"/>
            </w:rPr>
            <w:t>45</w:t>
          </w:r>
          <w:r>
            <w:rPr>
              <w:rFonts w:hint="eastAsia"/>
              <w:color w:val="auto"/>
            </w:rPr>
            <w:fldChar w:fldCharType="end"/>
          </w:r>
          <w:r>
            <w:rPr>
              <w:rFonts w:hint="eastAsia"/>
              <w:color w:val="auto"/>
            </w:rPr>
            <w:fldChar w:fldCharType="end"/>
          </w:r>
        </w:p>
        <w:p w14:paraId="59F03F20">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"_Toc193967372" </w:instrText>
          </w:r>
          <w:r>
            <w:rPr>
              <w:color w:val="auto"/>
            </w:rPr>
            <w:fldChar w:fldCharType="separate"/>
          </w:r>
          <w:r>
            <w:rPr>
              <w:rStyle w:val="22"/>
              <w:rFonts w:hint="eastAsia"/>
              <w:color w:val="auto"/>
            </w:rPr>
            <w:t>5.1.1 增广Lagrange乘子法原理</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_Toc193967372 \h</w:instrText>
          </w:r>
          <w:r>
            <w:rPr>
              <w:rFonts w:hint="eastAsia"/>
              <w:color w:val="auto"/>
            </w:rPr>
            <w:instrText xml:space="preserve"> </w:instrText>
          </w:r>
          <w:r>
            <w:rPr>
              <w:color w:val="auto"/>
            </w:rPr>
            <w:fldChar w:fldCharType="separate"/>
          </w:r>
          <w:r>
            <w:rPr>
              <w:color w:val="auto"/>
            </w:rPr>
            <w:t>45</w:t>
          </w:r>
          <w:r>
            <w:rPr>
              <w:rFonts w:hint="eastAsia"/>
              <w:color w:val="auto"/>
            </w:rPr>
            <w:fldChar w:fldCharType="end"/>
          </w:r>
          <w:r>
            <w:rPr>
              <w:rFonts w:hint="eastAsia"/>
              <w:color w:val="auto"/>
            </w:rPr>
            <w:fldChar w:fldCharType="end"/>
          </w:r>
        </w:p>
        <w:p w14:paraId="70B28C95">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"_Toc193967373" </w:instrText>
          </w:r>
          <w:r>
            <w:rPr>
              <w:color w:val="auto"/>
            </w:rPr>
            <w:fldChar w:fldCharType="separate"/>
          </w:r>
          <w:r>
            <w:rPr>
              <w:rStyle w:val="22"/>
              <w:rFonts w:hint="eastAsia"/>
              <w:color w:val="auto"/>
            </w:rPr>
            <w:t>5.1.2 LHWGWO算法步骤及流程</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_Toc193967373 \h</w:instrText>
          </w:r>
          <w:r>
            <w:rPr>
              <w:rFonts w:hint="eastAsia"/>
              <w:color w:val="auto"/>
            </w:rPr>
            <w:instrText xml:space="preserve"> </w:instrText>
          </w:r>
          <w:r>
            <w:rPr>
              <w:color w:val="auto"/>
            </w:rPr>
            <w:fldChar w:fldCharType="separate"/>
          </w:r>
          <w:r>
            <w:rPr>
              <w:color w:val="auto"/>
            </w:rPr>
            <w:t>46</w:t>
          </w:r>
          <w:r>
            <w:rPr>
              <w:rFonts w:hint="eastAsia"/>
              <w:color w:val="auto"/>
            </w:rPr>
            <w:fldChar w:fldCharType="end"/>
          </w:r>
          <w:r>
            <w:rPr>
              <w:rFonts w:hint="eastAsia"/>
              <w:color w:val="auto"/>
            </w:rPr>
            <w:fldChar w:fldCharType="end"/>
          </w:r>
        </w:p>
        <w:p w14:paraId="0CC827CB">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"_Toc193967374" </w:instrText>
          </w:r>
          <w:r>
            <w:rPr>
              <w:color w:val="auto"/>
            </w:rPr>
            <w:fldChar w:fldCharType="separate"/>
          </w:r>
          <w:r>
            <w:rPr>
              <w:rStyle w:val="22"/>
              <w:rFonts w:hint="eastAsia" w:eastAsia="黑体"/>
              <w:color w:val="auto"/>
            </w:rPr>
            <w:t>5.2 目标函数与约束条件设定</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_Toc193967374 \h</w:instrText>
          </w:r>
          <w:r>
            <w:rPr>
              <w:rFonts w:hint="eastAsia"/>
              <w:color w:val="auto"/>
            </w:rPr>
            <w:instrText xml:space="preserve"> </w:instrText>
          </w:r>
          <w:r>
            <w:rPr>
              <w:rFonts w:hint="eastAsia"/>
              <w:color w:val="auto"/>
            </w:rPr>
            <w:fldChar w:fldCharType="separate"/>
          </w:r>
          <w:r>
            <w:rPr>
              <w:rFonts w:hint="eastAsia"/>
              <w:color w:val="auto"/>
            </w:rPr>
            <w:t>47</w:t>
          </w:r>
          <w:r>
            <w:rPr>
              <w:rFonts w:hint="eastAsia"/>
              <w:color w:val="auto"/>
            </w:rPr>
            <w:fldChar w:fldCharType="end"/>
          </w:r>
          <w:r>
            <w:rPr>
              <w:rFonts w:hint="eastAsia"/>
              <w:color w:val="auto"/>
            </w:rPr>
            <w:fldChar w:fldCharType="end"/>
          </w:r>
        </w:p>
        <w:p w14:paraId="75AB4D5E">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"_Toc193967375" </w:instrText>
          </w:r>
          <w:r>
            <w:rPr>
              <w:color w:val="auto"/>
            </w:rPr>
            <w:fldChar w:fldCharType="separate"/>
          </w:r>
          <w:r>
            <w:rPr>
              <w:rStyle w:val="22"/>
              <w:rFonts w:hint="eastAsia"/>
              <w:color w:val="auto"/>
            </w:rPr>
            <w:t>5.2.1目标函数建立</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_Toc193967375 \h</w:instrText>
          </w:r>
          <w:r>
            <w:rPr>
              <w:rFonts w:hint="eastAsia"/>
              <w:color w:val="auto"/>
            </w:rPr>
            <w:instrText xml:space="preserve"> </w:instrText>
          </w:r>
          <w:r>
            <w:rPr>
              <w:color w:val="auto"/>
            </w:rPr>
            <w:fldChar w:fldCharType="separate"/>
          </w:r>
          <w:r>
            <w:rPr>
              <w:color w:val="auto"/>
            </w:rPr>
            <w:t>47</w:t>
          </w:r>
          <w:r>
            <w:rPr>
              <w:rFonts w:hint="eastAsia"/>
              <w:color w:val="auto"/>
            </w:rPr>
            <w:fldChar w:fldCharType="end"/>
          </w:r>
          <w:r>
            <w:rPr>
              <w:rFonts w:hint="eastAsia"/>
              <w:color w:val="auto"/>
            </w:rPr>
            <w:fldChar w:fldCharType="end"/>
          </w:r>
        </w:p>
        <w:p w14:paraId="47C3F8F2">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"_Toc193967376" </w:instrText>
          </w:r>
          <w:r>
            <w:rPr>
              <w:color w:val="auto"/>
            </w:rPr>
            <w:fldChar w:fldCharType="separate"/>
          </w:r>
          <w:r>
            <w:rPr>
              <w:rStyle w:val="22"/>
              <w:rFonts w:hint="eastAsia"/>
              <w:color w:val="auto"/>
            </w:rPr>
            <w:t>5.2.2约束条件设定</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_Toc193967376 \h</w:instrText>
          </w:r>
          <w:r>
            <w:rPr>
              <w:rFonts w:hint="eastAsia"/>
              <w:color w:val="auto"/>
            </w:rPr>
            <w:instrText xml:space="preserve"> </w:instrText>
          </w:r>
          <w:r>
            <w:rPr>
              <w:color w:val="auto"/>
            </w:rPr>
            <w:fldChar w:fldCharType="separate"/>
          </w:r>
          <w:r>
            <w:rPr>
              <w:color w:val="auto"/>
            </w:rPr>
            <w:t>47</w:t>
          </w:r>
          <w:r>
            <w:rPr>
              <w:rFonts w:hint="eastAsia"/>
              <w:color w:val="auto"/>
            </w:rPr>
            <w:fldChar w:fldCharType="end"/>
          </w:r>
          <w:r>
            <w:rPr>
              <w:rFonts w:hint="eastAsia"/>
              <w:color w:val="auto"/>
            </w:rPr>
            <w:fldChar w:fldCharType="end"/>
          </w:r>
        </w:p>
        <w:p w14:paraId="44324809">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"_Toc193967377" </w:instrText>
          </w:r>
          <w:r>
            <w:rPr>
              <w:color w:val="auto"/>
            </w:rPr>
            <w:fldChar w:fldCharType="separate"/>
          </w:r>
          <w:r>
            <w:rPr>
              <w:rStyle w:val="22"/>
              <w:rFonts w:hint="eastAsia"/>
              <w:color w:val="auto"/>
            </w:rPr>
            <w:t>5.2.3 基于LHWGWO的模型求解</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_Toc193967377 \h</w:instrText>
          </w:r>
          <w:r>
            <w:rPr>
              <w:rFonts w:hint="eastAsia"/>
              <w:color w:val="auto"/>
            </w:rPr>
            <w:instrText xml:space="preserve"> </w:instrText>
          </w:r>
          <w:r>
            <w:rPr>
              <w:color w:val="auto"/>
            </w:rPr>
            <w:fldChar w:fldCharType="separate"/>
          </w:r>
          <w:r>
            <w:rPr>
              <w:color w:val="auto"/>
            </w:rPr>
            <w:t>49</w:t>
          </w:r>
          <w:r>
            <w:rPr>
              <w:rFonts w:hint="eastAsia"/>
              <w:color w:val="auto"/>
            </w:rPr>
            <w:fldChar w:fldCharType="end"/>
          </w:r>
          <w:r>
            <w:rPr>
              <w:rFonts w:hint="eastAsia"/>
              <w:color w:val="auto"/>
            </w:rPr>
            <w:fldChar w:fldCharType="end"/>
          </w:r>
        </w:p>
        <w:p w14:paraId="58025F3A">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"_Toc193967378" </w:instrText>
          </w:r>
          <w:r>
            <w:rPr>
              <w:color w:val="auto"/>
            </w:rPr>
            <w:fldChar w:fldCharType="separate"/>
          </w:r>
          <w:r>
            <w:rPr>
              <w:rStyle w:val="22"/>
              <w:rFonts w:hint="eastAsia" w:eastAsia="黑体"/>
              <w:color w:val="auto"/>
            </w:rPr>
            <w:t>5.3 实例分析</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_Toc193967378 \h</w:instrText>
          </w:r>
          <w:r>
            <w:rPr>
              <w:rFonts w:hint="eastAsia"/>
              <w:color w:val="auto"/>
            </w:rPr>
            <w:instrText xml:space="preserve"> </w:instrText>
          </w:r>
          <w:r>
            <w:rPr>
              <w:rFonts w:hint="eastAsia"/>
              <w:color w:val="auto"/>
            </w:rPr>
            <w:fldChar w:fldCharType="separate"/>
          </w:r>
          <w:r>
            <w:rPr>
              <w:rFonts w:hint="eastAsia"/>
              <w:color w:val="auto"/>
            </w:rPr>
            <w:t>51</w:t>
          </w:r>
          <w:r>
            <w:rPr>
              <w:rFonts w:hint="eastAsia"/>
              <w:color w:val="auto"/>
            </w:rPr>
            <w:fldChar w:fldCharType="end"/>
          </w:r>
          <w:r>
            <w:rPr>
              <w:rFonts w:hint="eastAsia"/>
              <w:color w:val="auto"/>
            </w:rPr>
            <w:fldChar w:fldCharType="end"/>
          </w:r>
        </w:p>
        <w:p w14:paraId="6E0C2BBA">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"_Toc193967379" </w:instrText>
          </w:r>
          <w:r>
            <w:rPr>
              <w:color w:val="auto"/>
            </w:rPr>
            <w:fldChar w:fldCharType="separate"/>
          </w:r>
          <w:r>
            <w:rPr>
              <w:rStyle w:val="22"/>
              <w:rFonts w:hint="eastAsia"/>
              <w:color w:val="auto"/>
            </w:rPr>
            <w:t>5.3.1 数据准备与初始条件设定</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_Toc193967379 \h</w:instrText>
          </w:r>
          <w:r>
            <w:rPr>
              <w:rFonts w:hint="eastAsia"/>
              <w:color w:val="auto"/>
            </w:rPr>
            <w:instrText xml:space="preserve"> </w:instrText>
          </w:r>
          <w:r>
            <w:rPr>
              <w:color w:val="auto"/>
            </w:rPr>
            <w:fldChar w:fldCharType="separate"/>
          </w:r>
          <w:r>
            <w:rPr>
              <w:color w:val="auto"/>
            </w:rPr>
            <w:t>51</w:t>
          </w:r>
          <w:r>
            <w:rPr>
              <w:rFonts w:hint="eastAsia"/>
              <w:color w:val="auto"/>
            </w:rPr>
            <w:fldChar w:fldCharType="end"/>
          </w:r>
          <w:r>
            <w:rPr>
              <w:rFonts w:hint="eastAsia"/>
              <w:color w:val="auto"/>
            </w:rPr>
            <w:fldChar w:fldCharType="end"/>
          </w:r>
        </w:p>
        <w:p w14:paraId="63F681D8">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"_Toc193967380" </w:instrText>
          </w:r>
          <w:r>
            <w:rPr>
              <w:color w:val="auto"/>
            </w:rPr>
            <w:fldChar w:fldCharType="separate"/>
          </w:r>
          <w:r>
            <w:rPr>
              <w:rStyle w:val="22"/>
              <w:rFonts w:hint="eastAsia"/>
              <w:color w:val="auto"/>
            </w:rPr>
            <w:t>5.3.2 基于模型应用的结果分析</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_Toc193967380 \h</w:instrText>
          </w:r>
          <w:r>
            <w:rPr>
              <w:rFonts w:hint="eastAsia"/>
              <w:color w:val="auto"/>
            </w:rPr>
            <w:instrText xml:space="preserve"> </w:instrText>
          </w:r>
          <w:r>
            <w:rPr>
              <w:color w:val="auto"/>
            </w:rPr>
            <w:fldChar w:fldCharType="separate"/>
          </w:r>
          <w:r>
            <w:rPr>
              <w:color w:val="auto"/>
            </w:rPr>
            <w:t>51</w:t>
          </w:r>
          <w:r>
            <w:rPr>
              <w:rFonts w:hint="eastAsia"/>
              <w:color w:val="auto"/>
            </w:rPr>
            <w:fldChar w:fldCharType="end"/>
          </w:r>
          <w:r>
            <w:rPr>
              <w:rFonts w:hint="eastAsia"/>
              <w:color w:val="auto"/>
            </w:rPr>
            <w:fldChar w:fldCharType="end"/>
          </w:r>
        </w:p>
        <w:p w14:paraId="02E01E4E">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"_Toc193967381" </w:instrText>
          </w:r>
          <w:r>
            <w:rPr>
              <w:color w:val="auto"/>
            </w:rPr>
            <w:fldChar w:fldCharType="separate"/>
          </w:r>
          <w:r>
            <w:rPr>
              <w:rStyle w:val="22"/>
              <w:rFonts w:hint="eastAsia" w:eastAsia="黑体"/>
              <w:color w:val="auto"/>
            </w:rPr>
            <w:t>5.4本章小结</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_Toc193967381 \h</w:instrText>
          </w:r>
          <w:r>
            <w:rPr>
              <w:rFonts w:hint="eastAsia"/>
              <w:color w:val="auto"/>
            </w:rPr>
            <w:instrText xml:space="preserve"> </w:instrText>
          </w:r>
          <w:r>
            <w:rPr>
              <w:rFonts w:hint="eastAsia"/>
              <w:color w:val="auto"/>
            </w:rPr>
            <w:fldChar w:fldCharType="separate"/>
          </w:r>
          <w:r>
            <w:rPr>
              <w:rFonts w:hint="eastAsia"/>
              <w:color w:val="auto"/>
            </w:rPr>
            <w:t>56</w:t>
          </w:r>
          <w:r>
            <w:rPr>
              <w:rFonts w:hint="eastAsia"/>
              <w:color w:val="auto"/>
            </w:rPr>
            <w:fldChar w:fldCharType="end"/>
          </w:r>
          <w:r>
            <w:rPr>
              <w:rFonts w:hint="eastAsia"/>
              <w:color w:val="auto"/>
            </w:rPr>
            <w:fldChar w:fldCharType="end"/>
          </w:r>
        </w:p>
        <w:p w14:paraId="6AF739DA">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"_Toc193967382" </w:instrText>
          </w:r>
          <w:r>
            <w:rPr>
              <w:color w:val="auto"/>
            </w:rPr>
            <w:fldChar w:fldCharType="separate"/>
          </w:r>
          <w:r>
            <w:rPr>
              <w:rStyle w:val="22"/>
              <w:rFonts w:hint="eastAsia" w:eastAsia="黑体"/>
              <w:color w:val="auto"/>
            </w:rPr>
            <w:t>第6章 J电网项目投资决策优化建议</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_Toc193967382 \h</w:instrText>
          </w:r>
          <w:r>
            <w:rPr>
              <w:rFonts w:hint="eastAsia"/>
              <w:color w:val="auto"/>
            </w:rPr>
            <w:instrText xml:space="preserve"> </w:instrText>
          </w:r>
          <w:r>
            <w:rPr>
              <w:color w:val="auto"/>
            </w:rPr>
            <w:fldChar w:fldCharType="separate"/>
          </w:r>
          <w:r>
            <w:rPr>
              <w:color w:val="auto"/>
            </w:rPr>
            <w:t>58</w:t>
          </w:r>
          <w:r>
            <w:rPr>
              <w:rFonts w:hint="eastAsia"/>
              <w:color w:val="auto"/>
            </w:rPr>
            <w:fldChar w:fldCharType="end"/>
          </w:r>
          <w:r>
            <w:rPr>
              <w:rFonts w:hint="eastAsia"/>
              <w:color w:val="auto"/>
            </w:rPr>
            <w:fldChar w:fldCharType="end"/>
          </w:r>
        </w:p>
        <w:p w14:paraId="29733DC9">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"_Toc193967383" </w:instrText>
          </w:r>
          <w:r>
            <w:rPr>
              <w:color w:val="auto"/>
            </w:rPr>
            <w:fldChar w:fldCharType="separate"/>
          </w:r>
          <w:r>
            <w:rPr>
              <w:rStyle w:val="22"/>
              <w:rFonts w:hint="eastAsia" w:eastAsia="黑体"/>
              <w:color w:val="auto"/>
            </w:rPr>
            <w:t>6.1 J电网项目投资现存问题分析</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_Toc193967383 \h</w:instrText>
          </w:r>
          <w:r>
            <w:rPr>
              <w:rFonts w:hint="eastAsia"/>
              <w:color w:val="auto"/>
            </w:rPr>
            <w:instrText xml:space="preserve"> </w:instrText>
          </w:r>
          <w:r>
            <w:rPr>
              <w:rFonts w:hint="eastAsia"/>
              <w:color w:val="auto"/>
            </w:rPr>
            <w:fldChar w:fldCharType="separate"/>
          </w:r>
          <w:r>
            <w:rPr>
              <w:rFonts w:hint="eastAsia"/>
              <w:color w:val="auto"/>
            </w:rPr>
            <w:t>58</w:t>
          </w:r>
          <w:r>
            <w:rPr>
              <w:rFonts w:hint="eastAsia"/>
              <w:color w:val="auto"/>
            </w:rPr>
            <w:fldChar w:fldCharType="end"/>
          </w:r>
          <w:r>
            <w:rPr>
              <w:rFonts w:hint="eastAsia"/>
              <w:color w:val="auto"/>
            </w:rPr>
            <w:fldChar w:fldCharType="end"/>
          </w:r>
        </w:p>
        <w:p w14:paraId="45160D7A">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"_Toc193967384" </w:instrText>
          </w:r>
          <w:r>
            <w:rPr>
              <w:color w:val="auto"/>
            </w:rPr>
            <w:fldChar w:fldCharType="separate"/>
          </w:r>
          <w:r>
            <w:rPr>
              <w:rStyle w:val="22"/>
              <w:rFonts w:hint="eastAsia"/>
              <w:color w:val="auto"/>
            </w:rPr>
            <w:t>6.1.1新能源消纳能力不足</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_Toc193967384 \h</w:instrText>
          </w:r>
          <w:r>
            <w:rPr>
              <w:rFonts w:hint="eastAsia"/>
              <w:color w:val="auto"/>
            </w:rPr>
            <w:instrText xml:space="preserve"> </w:instrText>
          </w:r>
          <w:r>
            <w:rPr>
              <w:color w:val="auto"/>
            </w:rPr>
            <w:fldChar w:fldCharType="separate"/>
          </w:r>
          <w:r>
            <w:rPr>
              <w:color w:val="auto"/>
            </w:rPr>
            <w:t>58</w:t>
          </w:r>
          <w:r>
            <w:rPr>
              <w:rFonts w:hint="eastAsia"/>
              <w:color w:val="auto"/>
            </w:rPr>
            <w:fldChar w:fldCharType="end"/>
          </w:r>
          <w:r>
            <w:rPr>
              <w:rFonts w:hint="eastAsia"/>
              <w:color w:val="auto"/>
            </w:rPr>
            <w:fldChar w:fldCharType="end"/>
          </w:r>
        </w:p>
        <w:p w14:paraId="7A0FE9C4">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"_Toc193967385" </w:instrText>
          </w:r>
          <w:r>
            <w:rPr>
              <w:color w:val="auto"/>
            </w:rPr>
            <w:fldChar w:fldCharType="separate"/>
          </w:r>
          <w:r>
            <w:rPr>
              <w:rStyle w:val="22"/>
              <w:rFonts w:hint="eastAsia"/>
              <w:color w:val="auto"/>
            </w:rPr>
            <w:t>6.1.2区域电网投资不均衡</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_Toc193967385 \h</w:instrText>
          </w:r>
          <w:r>
            <w:rPr>
              <w:rFonts w:hint="eastAsia"/>
              <w:color w:val="auto"/>
            </w:rPr>
            <w:instrText xml:space="preserve"> </w:instrText>
          </w:r>
          <w:r>
            <w:rPr>
              <w:color w:val="auto"/>
            </w:rPr>
            <w:fldChar w:fldCharType="separate"/>
          </w:r>
          <w:r>
            <w:rPr>
              <w:color w:val="auto"/>
            </w:rPr>
            <w:t>58</w:t>
          </w:r>
          <w:r>
            <w:rPr>
              <w:rFonts w:hint="eastAsia"/>
              <w:color w:val="auto"/>
            </w:rPr>
            <w:fldChar w:fldCharType="end"/>
          </w:r>
          <w:r>
            <w:rPr>
              <w:rFonts w:hint="eastAsia"/>
              <w:color w:val="auto"/>
            </w:rPr>
            <w:fldChar w:fldCharType="end"/>
          </w:r>
        </w:p>
        <w:p w14:paraId="4F880C59">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"_Toc193967386" </w:instrText>
          </w:r>
          <w:r>
            <w:rPr>
              <w:color w:val="auto"/>
            </w:rPr>
            <w:fldChar w:fldCharType="separate"/>
          </w:r>
          <w:r>
            <w:rPr>
              <w:rStyle w:val="22"/>
              <w:rFonts w:hint="eastAsia"/>
              <w:color w:val="auto"/>
            </w:rPr>
            <w:t>6.1.3 电网数字化智能化有待提升</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_Toc193967386 \h</w:instrText>
          </w:r>
          <w:r>
            <w:rPr>
              <w:rFonts w:hint="eastAsia"/>
              <w:color w:val="auto"/>
            </w:rPr>
            <w:instrText xml:space="preserve"> </w:instrText>
          </w:r>
          <w:r>
            <w:rPr>
              <w:color w:val="auto"/>
            </w:rPr>
            <w:fldChar w:fldCharType="separate"/>
          </w:r>
          <w:r>
            <w:rPr>
              <w:color w:val="auto"/>
            </w:rPr>
            <w:t>58</w:t>
          </w:r>
          <w:r>
            <w:rPr>
              <w:rFonts w:hint="eastAsia"/>
              <w:color w:val="auto"/>
            </w:rPr>
            <w:fldChar w:fldCharType="end"/>
          </w:r>
          <w:r>
            <w:rPr>
              <w:rFonts w:hint="eastAsia"/>
              <w:color w:val="auto"/>
            </w:rPr>
            <w:fldChar w:fldCharType="end"/>
          </w:r>
        </w:p>
        <w:p w14:paraId="314E8DD2">
          <w:pPr>
            <w:pStyle w:val="15"/>
            <w:ind w:left="48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"_Toc193967387" </w:instrText>
          </w:r>
          <w:r>
            <w:rPr>
              <w:color w:val="auto"/>
            </w:rPr>
            <w:fldChar w:fldCharType="separate"/>
          </w:r>
          <w:r>
            <w:rPr>
              <w:rStyle w:val="22"/>
              <w:rFonts w:hint="eastAsia" w:eastAsia="黑体"/>
              <w:color w:val="auto"/>
            </w:rPr>
            <w:t>6.2 投资优化策略建议</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_Toc193967387 \h</w:instrText>
          </w:r>
          <w:r>
            <w:rPr>
              <w:rFonts w:hint="eastAsia"/>
              <w:color w:val="auto"/>
            </w:rPr>
            <w:instrText xml:space="preserve"> </w:instrText>
          </w:r>
          <w:r>
            <w:rPr>
              <w:rFonts w:hint="eastAsia"/>
              <w:color w:val="auto"/>
            </w:rPr>
            <w:fldChar w:fldCharType="separate"/>
          </w:r>
          <w:r>
            <w:rPr>
              <w:rFonts w:hint="eastAsia"/>
              <w:color w:val="auto"/>
            </w:rPr>
            <w:t>58</w:t>
          </w:r>
          <w:r>
            <w:rPr>
              <w:rFonts w:hint="eastAsia"/>
              <w:color w:val="auto"/>
            </w:rPr>
            <w:fldChar w:fldCharType="end"/>
          </w:r>
          <w:r>
            <w:rPr>
              <w:rFonts w:hint="eastAsia"/>
              <w:color w:val="auto"/>
            </w:rPr>
            <w:fldChar w:fldCharType="end"/>
          </w:r>
        </w:p>
        <w:p w14:paraId="2DA382D0">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"_Toc193967388" </w:instrText>
          </w:r>
          <w:r>
            <w:rPr>
              <w:color w:val="auto"/>
            </w:rPr>
            <w:fldChar w:fldCharType="separate"/>
          </w:r>
          <w:r>
            <w:rPr>
              <w:rStyle w:val="22"/>
              <w:rFonts w:hint="eastAsia"/>
              <w:color w:val="auto"/>
            </w:rPr>
            <w:t>6.2.1</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_Toc193967388 \h</w:instrText>
          </w:r>
          <w:r>
            <w:rPr>
              <w:rFonts w:hint="eastAsia"/>
              <w:color w:val="auto"/>
            </w:rPr>
            <w:instrText xml:space="preserve"> </w:instrText>
          </w:r>
          <w:r>
            <w:rPr>
              <w:color w:val="auto"/>
            </w:rPr>
            <w:fldChar w:fldCharType="separate"/>
          </w:r>
          <w:r>
            <w:rPr>
              <w:color w:val="auto"/>
            </w:rPr>
            <w:t>58</w:t>
          </w:r>
          <w:r>
            <w:rPr>
              <w:rFonts w:hint="eastAsia"/>
              <w:color w:val="auto"/>
            </w:rPr>
            <w:fldChar w:fldCharType="end"/>
          </w:r>
          <w:r>
            <w:rPr>
              <w:rFonts w:hint="eastAsia"/>
              <w:color w:val="auto"/>
            </w:rPr>
            <w:fldChar w:fldCharType="end"/>
          </w:r>
        </w:p>
        <w:p w14:paraId="74DE3103">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"_Toc193967389" </w:instrText>
          </w:r>
          <w:r>
            <w:rPr>
              <w:color w:val="auto"/>
            </w:rPr>
            <w:fldChar w:fldCharType="separate"/>
          </w:r>
          <w:r>
            <w:rPr>
              <w:rStyle w:val="22"/>
              <w:rFonts w:hint="eastAsia"/>
              <w:color w:val="auto"/>
            </w:rPr>
            <w:t>6.2.2</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_Toc193967389 \h</w:instrText>
          </w:r>
          <w:r>
            <w:rPr>
              <w:rFonts w:hint="eastAsia"/>
              <w:color w:val="auto"/>
            </w:rPr>
            <w:instrText xml:space="preserve"> </w:instrText>
          </w:r>
          <w:r>
            <w:rPr>
              <w:color w:val="auto"/>
            </w:rPr>
            <w:fldChar w:fldCharType="separate"/>
          </w:r>
          <w:r>
            <w:rPr>
              <w:color w:val="auto"/>
            </w:rPr>
            <w:t>58</w:t>
          </w:r>
          <w:r>
            <w:rPr>
              <w:rFonts w:hint="eastAsia"/>
              <w:color w:val="auto"/>
            </w:rPr>
            <w:fldChar w:fldCharType="end"/>
          </w:r>
          <w:r>
            <w:rPr>
              <w:rFonts w:hint="eastAsia"/>
              <w:color w:val="auto"/>
            </w:rPr>
            <w:fldChar w:fldCharType="end"/>
          </w:r>
        </w:p>
        <w:p w14:paraId="0B0B3CED">
          <w:pPr>
            <w:pStyle w:val="7"/>
            <w:ind w:left="960"/>
            <w:rPr>
              <w:rFonts w:hint="eastAsia" w:asciiTheme="minorHAnsi" w:hAnsiTheme="minorHAnsi" w:eastAsiaTheme="minorEastAsia" w:cstheme="minorBidi"/>
              <w:color w:val="auto"/>
              <w:sz w:val="22"/>
              <w14:ligatures w14:val="standardContextual"/>
            </w:rPr>
          </w:pPr>
          <w:r>
            <w:rPr>
              <w:color w:val="auto"/>
            </w:rPr>
            <w:fldChar w:fldCharType="begin"/>
          </w:r>
          <w:r>
            <w:rPr>
              <w:color w:val="auto"/>
            </w:rPr>
            <w:instrText xml:space="preserve"> HYPERLINK \l "_Toc193967390" </w:instrText>
          </w:r>
          <w:r>
            <w:rPr>
              <w:color w:val="auto"/>
            </w:rPr>
            <w:fldChar w:fldCharType="separate"/>
          </w:r>
          <w:r>
            <w:rPr>
              <w:rStyle w:val="22"/>
              <w:rFonts w:hint="eastAsia"/>
              <w:color w:val="auto"/>
            </w:rPr>
            <w:t>6.2.3</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_Toc193967390 \h</w:instrText>
          </w:r>
          <w:r>
            <w:rPr>
              <w:rFonts w:hint="eastAsia"/>
              <w:color w:val="auto"/>
            </w:rPr>
            <w:instrText xml:space="preserve"> </w:instrText>
          </w:r>
          <w:r>
            <w:rPr>
              <w:color w:val="auto"/>
            </w:rPr>
            <w:fldChar w:fldCharType="separate"/>
          </w:r>
          <w:r>
            <w:rPr>
              <w:color w:val="auto"/>
            </w:rPr>
            <w:t>58</w:t>
          </w:r>
          <w:r>
            <w:rPr>
              <w:rFonts w:hint="eastAsia"/>
              <w:color w:val="auto"/>
            </w:rPr>
            <w:fldChar w:fldCharType="end"/>
          </w:r>
          <w:r>
            <w:rPr>
              <w:rFonts w:hint="eastAsia"/>
              <w:color w:val="auto"/>
            </w:rPr>
            <w:fldChar w:fldCharType="end"/>
          </w:r>
        </w:p>
        <w:p w14:paraId="492CF4E3">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"_Toc193967391" </w:instrText>
          </w:r>
          <w:r>
            <w:rPr>
              <w:color w:val="auto"/>
            </w:rPr>
            <w:fldChar w:fldCharType="separate"/>
          </w:r>
          <w:r>
            <w:rPr>
              <w:rStyle w:val="22"/>
              <w:rFonts w:hint="eastAsia" w:eastAsia="黑体"/>
              <w:color w:val="auto"/>
            </w:rPr>
            <w:t>第7章 结论与展望</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_Toc193967391 \h</w:instrText>
          </w:r>
          <w:r>
            <w:rPr>
              <w:rFonts w:hint="eastAsia"/>
              <w:color w:val="auto"/>
            </w:rPr>
            <w:instrText xml:space="preserve"> </w:instrText>
          </w:r>
          <w:r>
            <w:rPr>
              <w:color w:val="auto"/>
            </w:rPr>
            <w:fldChar w:fldCharType="separate"/>
          </w:r>
          <w:r>
            <w:rPr>
              <w:color w:val="auto"/>
            </w:rPr>
            <w:t>60</w:t>
          </w:r>
          <w:r>
            <w:rPr>
              <w:rFonts w:hint="eastAsia"/>
              <w:color w:val="auto"/>
            </w:rPr>
            <w:fldChar w:fldCharType="end"/>
          </w:r>
          <w:r>
            <w:rPr>
              <w:rFonts w:hint="eastAsia"/>
              <w:color w:val="auto"/>
            </w:rPr>
            <w:fldChar w:fldCharType="end"/>
          </w:r>
        </w:p>
        <w:p w14:paraId="5CBB896C">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"_Toc193967392" </w:instrText>
          </w:r>
          <w:r>
            <w:rPr>
              <w:color w:val="auto"/>
            </w:rPr>
            <w:fldChar w:fldCharType="separate"/>
          </w:r>
          <w:r>
            <w:rPr>
              <w:rStyle w:val="22"/>
              <w:rFonts w:hint="eastAsia" w:eastAsia="黑体"/>
              <w:color w:val="auto"/>
            </w:rPr>
            <w:t>参考文献</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_Toc193967392 \h</w:instrText>
          </w:r>
          <w:r>
            <w:rPr>
              <w:rFonts w:hint="eastAsia"/>
              <w:color w:val="auto"/>
            </w:rPr>
            <w:instrText xml:space="preserve"> </w:instrText>
          </w:r>
          <w:r>
            <w:rPr>
              <w:color w:val="auto"/>
            </w:rPr>
            <w:fldChar w:fldCharType="separate"/>
          </w:r>
          <w:r>
            <w:rPr>
              <w:color w:val="auto"/>
            </w:rPr>
            <w:t>63</w:t>
          </w:r>
          <w:r>
            <w:rPr>
              <w:rFonts w:hint="eastAsia"/>
              <w:color w:val="auto"/>
            </w:rPr>
            <w:fldChar w:fldCharType="end"/>
          </w:r>
          <w:r>
            <w:rPr>
              <w:rFonts w:hint="eastAsia"/>
              <w:color w:val="auto"/>
            </w:rPr>
            <w:fldChar w:fldCharType="end"/>
          </w:r>
        </w:p>
        <w:p w14:paraId="2193CFB9">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"_Toc193967393" </w:instrText>
          </w:r>
          <w:r>
            <w:rPr>
              <w:color w:val="auto"/>
            </w:rPr>
            <w:fldChar w:fldCharType="separate"/>
          </w:r>
          <w:r>
            <w:rPr>
              <w:rStyle w:val="22"/>
              <w:rFonts w:hint="eastAsia" w:eastAsia="黑体"/>
              <w:color w:val="auto"/>
              <w:kern w:val="44"/>
            </w:rPr>
            <w:t>攻读硕士学位期间发表的论文及其它成果</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_Toc193967393 \h</w:instrText>
          </w:r>
          <w:r>
            <w:rPr>
              <w:rFonts w:hint="eastAsia"/>
              <w:color w:val="auto"/>
            </w:rPr>
            <w:instrText xml:space="preserve"> </w:instrText>
          </w:r>
          <w:r>
            <w:rPr>
              <w:color w:val="auto"/>
            </w:rPr>
            <w:fldChar w:fldCharType="separate"/>
          </w:r>
          <w:r>
            <w:rPr>
              <w:color w:val="auto"/>
            </w:rPr>
            <w:t>68</w:t>
          </w:r>
          <w:r>
            <w:rPr>
              <w:rFonts w:hint="eastAsia"/>
              <w:color w:val="auto"/>
            </w:rPr>
            <w:fldChar w:fldCharType="end"/>
          </w:r>
          <w:r>
            <w:rPr>
              <w:rFonts w:hint="eastAsia"/>
              <w:color w:val="auto"/>
            </w:rPr>
            <w:fldChar w:fldCharType="end"/>
          </w:r>
        </w:p>
        <w:p w14:paraId="3E94BDBB">
          <w:pPr>
            <w:pStyle w:val="13"/>
            <w:rPr>
              <w:rFonts w:hint="eastAsia" w:asciiTheme="minorHAnsi" w:hAnsiTheme="minorHAnsi" w:cstheme="minorBidi"/>
              <w:b w:val="0"/>
              <w:bCs w:val="0"/>
              <w:color w:val="auto"/>
              <w:sz w:val="22"/>
              <w14:ligatures w14:val="standardContextual"/>
            </w:rPr>
          </w:pPr>
          <w:r>
            <w:rPr>
              <w:color w:val="auto"/>
            </w:rPr>
            <w:fldChar w:fldCharType="begin"/>
          </w:r>
          <w:r>
            <w:rPr>
              <w:color w:val="auto"/>
            </w:rPr>
            <w:instrText xml:space="preserve"> HYPERLINK \l "_Toc193967394" </w:instrText>
          </w:r>
          <w:r>
            <w:rPr>
              <w:color w:val="auto"/>
            </w:rPr>
            <w:fldChar w:fldCharType="separate"/>
          </w:r>
          <w:r>
            <w:rPr>
              <w:rStyle w:val="22"/>
              <w:rFonts w:hint="eastAsia" w:eastAsia="黑体"/>
              <w:color w:val="auto"/>
              <w:kern w:val="44"/>
            </w:rPr>
            <w:t>致  谢</w:t>
          </w:r>
          <w:r>
            <w:rPr>
              <w:rFonts w:hint="eastAsia"/>
              <w:color w:val="auto"/>
            </w:rPr>
            <w:tab/>
          </w:r>
          <w:r>
            <w:rPr>
              <w:rFonts w:hint="eastAsia"/>
              <w:color w:val="auto"/>
            </w:rPr>
            <w:fldChar w:fldCharType="begin"/>
          </w:r>
          <w:r>
            <w:rPr>
              <w:rFonts w:hint="eastAsia"/>
              <w:color w:val="auto"/>
            </w:rPr>
            <w:instrText xml:space="preserve"> </w:instrText>
          </w:r>
          <w:r>
            <w:rPr>
              <w:color w:val="auto"/>
            </w:rPr>
            <w:instrText xml:space="preserve">PAGEREF _Toc193967394 \h</w:instrText>
          </w:r>
          <w:r>
            <w:rPr>
              <w:rFonts w:hint="eastAsia"/>
              <w:color w:val="auto"/>
            </w:rPr>
            <w:instrText xml:space="preserve"> </w:instrText>
          </w:r>
          <w:r>
            <w:rPr>
              <w:color w:val="auto"/>
            </w:rPr>
            <w:fldChar w:fldCharType="separate"/>
          </w:r>
          <w:r>
            <w:rPr>
              <w:color w:val="auto"/>
            </w:rPr>
            <w:t>69</w:t>
          </w:r>
          <w:r>
            <w:rPr>
              <w:rFonts w:hint="eastAsia"/>
              <w:color w:val="auto"/>
            </w:rPr>
            <w:fldChar w:fldCharType="end"/>
          </w:r>
          <w:r>
            <w:rPr>
              <w:rFonts w:hint="eastAsia"/>
              <w:color w:val="auto"/>
            </w:rPr>
            <w:fldChar w:fldCharType="end"/>
          </w:r>
        </w:p>
        <w:p w14:paraId="140322AB">
          <w:pPr>
            <w:spacing w:line="400" w:lineRule="exact"/>
            <w:rPr>
              <w:color w:val="auto"/>
            </w:rPr>
            <w:sectPr>
              <w:footerReference r:id="rId7" w:type="default"/>
              <w:footnotePr>
                <w:numFmt w:val="decimalEnclosedCircleChinese"/>
              </w:footnotePr>
              <w:endnotePr>
                <w:numFmt w:val="decimal"/>
              </w:endnotePr>
              <w:pgSz w:w="11906" w:h="16838"/>
              <w:pgMar w:top="1440" w:right="1800" w:bottom="1440" w:left="1800" w:header="1077" w:footer="992" w:gutter="0"/>
              <w:pgNumType w:fmt="upperRoman"/>
              <w:cols w:space="425" w:num="1"/>
              <w:docGrid w:type="lines" w:linePitch="312" w:charSpace="0"/>
            </w:sectPr>
          </w:pPr>
          <w:r>
            <w:rPr>
              <w:b/>
              <w:bCs/>
              <w:color w:val="auto"/>
              <w:lang w:val="zh-CN"/>
            </w:rPr>
            <w:fldChar w:fldCharType="end"/>
          </w:r>
        </w:p>
      </w:sdtContent>
    </w:sdt>
    <w:p w14:paraId="5755BFCE">
      <w:pPr>
        <w:pStyle w:val="2"/>
        <w:keepNext w:val="0"/>
        <w:keepLines w:val="0"/>
        <w:adjustRightInd/>
        <w:snapToGrid/>
        <w:spacing w:before="312" w:after="156"/>
        <w:rPr>
          <w:rFonts w:eastAsia="宋体"/>
          <w:color w:val="auto"/>
          <w:sz w:val="24"/>
          <w:szCs w:val="24"/>
        </w:rPr>
      </w:pPr>
      <w:bookmarkStart w:id="14" w:name="_Toc193967318"/>
      <w:r>
        <w:rPr>
          <w:color w:val="auto"/>
        </w:rPr>
        <w:t>第1章 绪 论</w:t>
      </w:r>
      <w:bookmarkEnd w:id="0"/>
      <w:bookmarkEnd w:id="1"/>
      <w:bookmarkEnd w:id="2"/>
      <w:bookmarkEnd w:id="3"/>
      <w:bookmarkEnd w:id="4"/>
      <w:bookmarkEnd w:id="5"/>
      <w:bookmarkEnd w:id="6"/>
      <w:bookmarkEnd w:id="7"/>
      <w:bookmarkEnd w:id="8"/>
      <w:bookmarkEnd w:id="9"/>
      <w:bookmarkEnd w:id="14"/>
    </w:p>
    <w:p w14:paraId="0FAC18D5">
      <w:pPr>
        <w:pStyle w:val="3"/>
        <w:keepNext w:val="0"/>
        <w:keepLines w:val="0"/>
        <w:adjustRightInd/>
        <w:snapToGrid/>
        <w:spacing w:before="156" w:after="156" w:line="324" w:lineRule="auto"/>
        <w:rPr>
          <w:rFonts w:ascii="Times New Roman" w:hAnsi="Times New Roman"/>
          <w:color w:val="auto"/>
        </w:rPr>
      </w:pPr>
      <w:bookmarkStart w:id="15" w:name="_Toc77239802"/>
      <w:bookmarkStart w:id="16" w:name="_Toc88830381"/>
      <w:bookmarkStart w:id="17" w:name="_Toc77261019"/>
      <w:bookmarkStart w:id="18" w:name="_Toc77166478"/>
      <w:bookmarkStart w:id="19" w:name="_Toc77260837"/>
      <w:bookmarkStart w:id="20" w:name="_Toc77239775"/>
      <w:bookmarkStart w:id="21" w:name="_Toc77262187"/>
      <w:bookmarkStart w:id="22" w:name="_Toc77239680"/>
      <w:bookmarkStart w:id="23" w:name="_Toc88830494"/>
      <w:bookmarkStart w:id="24" w:name="_Toc192967082"/>
      <w:bookmarkStart w:id="25" w:name="_Toc193967319"/>
      <w:r>
        <w:rPr>
          <w:rFonts w:ascii="Times New Roman" w:hAnsi="Times New Roman"/>
          <w:color w:val="auto"/>
        </w:rPr>
        <w:t xml:space="preserve">1.1 </w:t>
      </w:r>
      <w:bookmarkEnd w:id="15"/>
      <w:bookmarkEnd w:id="16"/>
      <w:bookmarkEnd w:id="17"/>
      <w:bookmarkEnd w:id="18"/>
      <w:bookmarkEnd w:id="19"/>
      <w:bookmarkEnd w:id="20"/>
      <w:bookmarkEnd w:id="21"/>
      <w:bookmarkEnd w:id="22"/>
      <w:bookmarkEnd w:id="23"/>
      <w:r>
        <w:rPr>
          <w:rFonts w:ascii="Times New Roman" w:hAnsi="Times New Roman"/>
          <w:color w:val="auto"/>
        </w:rPr>
        <w:t>研究背景与意义</w:t>
      </w:r>
      <w:bookmarkEnd w:id="24"/>
      <w:bookmarkEnd w:id="25"/>
      <w:r>
        <w:rPr>
          <w:rFonts w:ascii="Times New Roman" w:hAnsi="Times New Roman"/>
          <w:color w:val="auto"/>
        </w:rPr>
        <w:t xml:space="preserve"> </w:t>
      </w:r>
    </w:p>
    <w:p w14:paraId="5841526F">
      <w:pPr>
        <w:pStyle w:val="4"/>
        <w:spacing w:before="156" w:after="156" w:line="400" w:lineRule="exact"/>
        <w:rPr>
          <w:color w:val="auto"/>
        </w:rPr>
      </w:pPr>
      <w:bookmarkStart w:id="26" w:name="_Toc193967320"/>
      <w:bookmarkStart w:id="27" w:name="_Toc192967083"/>
      <w:r>
        <w:rPr>
          <w:color w:val="auto"/>
        </w:rPr>
        <w:t>1.</w:t>
      </w:r>
      <w:r>
        <w:rPr>
          <w:color w:val="auto"/>
          <w:lang w:val="en-US"/>
        </w:rPr>
        <w:t>1</w:t>
      </w:r>
      <w:r>
        <w:rPr>
          <w:color w:val="auto"/>
        </w:rPr>
        <w:t xml:space="preserve">.1 </w:t>
      </w:r>
      <w:r>
        <w:rPr>
          <w:color w:val="auto"/>
          <w:lang w:val="en-US"/>
        </w:rPr>
        <w:t>研究背景</w:t>
      </w:r>
      <w:bookmarkEnd w:id="26"/>
      <w:bookmarkEnd w:id="27"/>
    </w:p>
    <w:p w14:paraId="5D0448DC">
      <w:pPr>
        <w:spacing w:line="400" w:lineRule="exact"/>
        <w:ind w:firstLine="480" w:firstLineChars="200"/>
        <w:rPr>
          <w:color w:val="auto"/>
        </w:rPr>
      </w:pPr>
      <w:r>
        <w:rPr>
          <w:color w:val="auto"/>
        </w:rPr>
        <w:t>近年来，我国能源生产及供应能力稳步增强，能源消费结构持续向清洁低碳转型。根据《中国能源发展报告2024》第一章能源发展综述中的数据显示，2023年我国一次能源生产总量达到48.3亿吨标准煤，同比增长4.2%。其中，原煤产量47.1亿吨，同比增长3.4%，原油产量20902.6万吨，同比增长2.1%</w:t>
      </w:r>
      <w:r>
        <w:rPr>
          <w:rStyle w:val="20"/>
          <w:color w:val="auto"/>
        </w:rPr>
        <w:fldChar w:fldCharType="begin"/>
      </w:r>
      <w:r>
        <w:rPr>
          <w:color w:val="auto"/>
          <w:vertAlign w:val="superscript"/>
        </w:rPr>
        <w:instrText xml:space="preserve"> REF _Ref193102124 \r \h </w:instrText>
      </w:r>
      <w:r>
        <w:rPr>
          <w:rStyle w:val="20"/>
          <w:color w:val="auto"/>
        </w:rPr>
        <w:instrText xml:space="preserve"> \* MERGEFORMAT </w:instrText>
      </w:r>
      <w:r>
        <w:rPr>
          <w:rStyle w:val="20"/>
          <w:color w:val="auto"/>
        </w:rPr>
        <w:fldChar w:fldCharType="separate"/>
      </w:r>
      <w:r>
        <w:rPr>
          <w:color w:val="auto"/>
          <w:vertAlign w:val="superscript"/>
        </w:rPr>
        <w:t>[1]</w:t>
      </w:r>
      <w:r>
        <w:rPr>
          <w:rStyle w:val="20"/>
          <w:color w:val="auto"/>
        </w:rPr>
        <w:fldChar w:fldCharType="end"/>
      </w:r>
      <w:r>
        <w:rPr>
          <w:color w:val="auto"/>
        </w:rPr>
        <w:t>。天然气产量2324.3亿立方米，同比增长5.6%，发电量94564.4亿千瓦时，同比增长6.9%。能源消费总量达到57.2亿吨标准煤，比上年增长5.7%，能源消费弹性系数达到1.1，能源消费增速自</w:t>
      </w:r>
      <w:r>
        <w:rPr>
          <w:rFonts w:hint="eastAsia"/>
          <w:color w:val="auto"/>
        </w:rPr>
        <w:t>“</w:t>
      </w:r>
      <w:r>
        <w:rPr>
          <w:color w:val="auto"/>
        </w:rPr>
        <w:t>十一五</w:t>
      </w:r>
      <w:r>
        <w:rPr>
          <w:rFonts w:hint="eastAsia"/>
          <w:color w:val="auto"/>
        </w:rPr>
        <w:t>”</w:t>
      </w:r>
      <w:r>
        <w:rPr>
          <w:color w:val="auto"/>
        </w:rPr>
        <w:t>以来首次高于GDP增速。见</w:t>
      </w:r>
      <w:r>
        <w:rPr>
          <w:color w:val="auto"/>
        </w:rPr>
        <w:fldChar w:fldCharType="begin"/>
      </w:r>
      <w:r>
        <w:rPr>
          <w:color w:val="auto"/>
        </w:rPr>
        <w:instrText xml:space="preserve"> REF _Ref193799667 \h  \* MERGEFORMAT </w:instrText>
      </w:r>
      <w:r>
        <w:rPr>
          <w:color w:val="auto"/>
        </w:rPr>
        <w:fldChar w:fldCharType="separate"/>
      </w:r>
      <w:r>
        <w:rPr>
          <w:color w:val="auto"/>
        </w:rPr>
        <w:t>图1-1</w:t>
      </w:r>
      <w:r>
        <w:rPr>
          <w:color w:val="auto"/>
        </w:rPr>
        <w:fldChar w:fldCharType="end"/>
      </w:r>
      <w:r>
        <w:rPr>
          <w:color w:val="auto"/>
        </w:rPr>
        <w:t>所示。</w:t>
      </w:r>
    </w:p>
    <w:p w14:paraId="086C0647">
      <w:pPr>
        <w:spacing w:line="400" w:lineRule="exact"/>
        <w:jc w:val="center"/>
        <w:rPr>
          <w:color w:val="auto"/>
        </w:rPr>
      </w:pPr>
      <w:r>
        <w:rPr>
          <w:color w:val="auto"/>
        </w:rPr>
        <w:drawing>
          <wp:anchor distT="0" distB="0" distL="114300" distR="114300" simplePos="0" relativeHeight="251661312" behindDoc="0" locked="0" layoutInCell="1" allowOverlap="1">
            <wp:simplePos x="0" y="0"/>
            <wp:positionH relativeFrom="column">
              <wp:posOffset>819150</wp:posOffset>
            </wp:positionH>
            <wp:positionV relativeFrom="paragraph">
              <wp:posOffset>41910</wp:posOffset>
            </wp:positionV>
            <wp:extent cx="3498850" cy="1790700"/>
            <wp:effectExtent l="0" t="0" r="6350" b="0"/>
            <wp:wrapNone/>
            <wp:docPr id="2" name="图片 2" descr="8fbb85e3685ff43d4cb13b7bcef35fe1a79070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fbb85e3685ff43d4cb13b7bcef35fe1a79070ba"/>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3498850" cy="1790700"/>
                    </a:xfrm>
                    <a:prstGeom prst="rect">
                      <a:avLst/>
                    </a:prstGeom>
                  </pic:spPr>
                </pic:pic>
              </a:graphicData>
            </a:graphic>
          </wp:anchor>
        </w:drawing>
      </w:r>
    </w:p>
    <w:p w14:paraId="6FE83D03">
      <w:pPr>
        <w:spacing w:line="400" w:lineRule="exact"/>
        <w:jc w:val="left"/>
        <w:rPr>
          <w:color w:val="auto"/>
          <w:sz w:val="21"/>
          <w:szCs w:val="18"/>
        </w:rPr>
      </w:pPr>
    </w:p>
    <w:p w14:paraId="428D8515">
      <w:pPr>
        <w:spacing w:line="400" w:lineRule="exact"/>
        <w:jc w:val="left"/>
        <w:rPr>
          <w:color w:val="auto"/>
          <w:sz w:val="21"/>
          <w:szCs w:val="18"/>
        </w:rPr>
      </w:pPr>
    </w:p>
    <w:p w14:paraId="447EDB24">
      <w:pPr>
        <w:spacing w:line="400" w:lineRule="exact"/>
        <w:jc w:val="left"/>
        <w:rPr>
          <w:color w:val="auto"/>
          <w:sz w:val="21"/>
          <w:szCs w:val="18"/>
        </w:rPr>
      </w:pPr>
    </w:p>
    <w:p w14:paraId="792B2F1A">
      <w:pPr>
        <w:spacing w:line="400" w:lineRule="exact"/>
        <w:jc w:val="left"/>
        <w:rPr>
          <w:color w:val="auto"/>
          <w:sz w:val="21"/>
          <w:szCs w:val="18"/>
        </w:rPr>
      </w:pPr>
    </w:p>
    <w:p w14:paraId="06F334B7">
      <w:pPr>
        <w:spacing w:line="400" w:lineRule="exact"/>
        <w:jc w:val="left"/>
        <w:rPr>
          <w:color w:val="auto"/>
          <w:sz w:val="21"/>
          <w:szCs w:val="18"/>
        </w:rPr>
      </w:pPr>
    </w:p>
    <w:p w14:paraId="52FAB5EC">
      <w:pPr>
        <w:spacing w:line="400" w:lineRule="exact"/>
        <w:jc w:val="left"/>
        <w:rPr>
          <w:rFonts w:hint="eastAsia"/>
          <w:color w:val="auto"/>
          <w:sz w:val="21"/>
          <w:szCs w:val="18"/>
        </w:rPr>
      </w:pPr>
    </w:p>
    <w:p w14:paraId="333989EA">
      <w:pPr>
        <w:spacing w:line="400" w:lineRule="exact"/>
        <w:jc w:val="left"/>
        <w:rPr>
          <w:color w:val="auto"/>
          <w:sz w:val="21"/>
          <w:szCs w:val="18"/>
        </w:rPr>
      </w:pPr>
      <w:r>
        <w:rPr>
          <w:color w:val="auto"/>
          <w:sz w:val="21"/>
          <w:szCs w:val="18"/>
        </w:rPr>
        <w:t>注：数据来源于2024年中国能源发展报告、国家统计局</w:t>
      </w:r>
    </w:p>
    <w:p w14:paraId="416CB1B8">
      <w:pPr>
        <w:pStyle w:val="5"/>
        <w:spacing w:line="400" w:lineRule="exact"/>
        <w:jc w:val="center"/>
        <w:rPr>
          <w:rFonts w:ascii="Times New Roman" w:hAnsi="Times New Roman" w:eastAsia="宋体" w:cs="Times New Roman"/>
          <w:color w:val="auto"/>
          <w:sz w:val="21"/>
          <w:szCs w:val="21"/>
        </w:rPr>
      </w:pPr>
      <w:bookmarkStart w:id="28" w:name="_Ref193799667"/>
      <w:r>
        <w:rPr>
          <w:rFonts w:ascii="Times New Roman" w:hAnsi="Times New Roman" w:eastAsia="宋体" w:cs="Times New Roman"/>
          <w:color w:val="auto"/>
          <w:sz w:val="21"/>
          <w:szCs w:val="21"/>
        </w:rPr>
        <w:t>图1-</w:t>
      </w:r>
      <w:r>
        <w:rPr>
          <w:rFonts w:ascii="Times New Roman" w:hAnsi="Times New Roman" w:eastAsia="宋体" w:cs="Times New Roman"/>
          <w:color w:val="auto"/>
          <w:sz w:val="21"/>
          <w:szCs w:val="21"/>
        </w:rPr>
        <w:fldChar w:fldCharType="begin"/>
      </w:r>
      <w:r>
        <w:rPr>
          <w:rFonts w:ascii="Times New Roman" w:hAnsi="Times New Roman" w:eastAsia="宋体" w:cs="Times New Roman"/>
          <w:color w:val="auto"/>
          <w:sz w:val="21"/>
          <w:szCs w:val="21"/>
        </w:rPr>
        <w:instrText xml:space="preserve"> SEQ 图1- \* ARABIC </w:instrText>
      </w:r>
      <w:r>
        <w:rPr>
          <w:rFonts w:ascii="Times New Roman" w:hAnsi="Times New Roman" w:eastAsia="宋体" w:cs="Times New Roman"/>
          <w:color w:val="auto"/>
          <w:sz w:val="21"/>
          <w:szCs w:val="21"/>
        </w:rPr>
        <w:fldChar w:fldCharType="separate"/>
      </w:r>
      <w:r>
        <w:rPr>
          <w:rFonts w:ascii="Times New Roman" w:hAnsi="Times New Roman" w:eastAsia="宋体" w:cs="Times New Roman"/>
          <w:color w:val="auto"/>
          <w:sz w:val="21"/>
          <w:szCs w:val="21"/>
        </w:rPr>
        <w:t>1</w:t>
      </w:r>
      <w:r>
        <w:rPr>
          <w:rFonts w:ascii="Times New Roman" w:hAnsi="Times New Roman" w:eastAsia="宋体" w:cs="Times New Roman"/>
          <w:color w:val="auto"/>
          <w:sz w:val="21"/>
          <w:szCs w:val="21"/>
        </w:rPr>
        <w:fldChar w:fldCharType="end"/>
      </w:r>
      <w:r>
        <w:rPr>
          <w:rFonts w:ascii="Times New Roman" w:hAnsi="Times New Roman" w:eastAsia="宋体" w:cs="Times New Roman"/>
          <w:color w:val="auto"/>
          <w:sz w:val="21"/>
          <w:szCs w:val="21"/>
        </w:rPr>
        <w:t>我国2013-2023年一次能源生产总量及增速变化</w:t>
      </w:r>
      <w:bookmarkEnd w:id="28"/>
    </w:p>
    <w:p w14:paraId="01EAC646">
      <w:pPr>
        <w:tabs>
          <w:tab w:val="left" w:pos="5618"/>
        </w:tabs>
        <w:spacing w:line="400" w:lineRule="exact"/>
        <w:ind w:firstLine="480" w:firstLineChars="200"/>
        <w:rPr>
          <w:color w:val="auto"/>
        </w:rPr>
      </w:pPr>
      <w:r>
        <w:rPr>
          <w:color w:val="auto"/>
        </w:rPr>
        <w:t>随着</w:t>
      </w:r>
      <w:r>
        <w:rPr>
          <w:rFonts w:hint="eastAsia"/>
          <w:color w:val="auto"/>
        </w:rPr>
        <w:t>“</w:t>
      </w:r>
      <w:r>
        <w:rPr>
          <w:color w:val="auto"/>
        </w:rPr>
        <w:t>双碳</w:t>
      </w:r>
      <w:r>
        <w:rPr>
          <w:rFonts w:hint="eastAsia"/>
          <w:color w:val="auto"/>
        </w:rPr>
        <w:t>”</w:t>
      </w:r>
      <w:r>
        <w:rPr>
          <w:color w:val="auto"/>
        </w:rPr>
        <w:t>目标的提出，构建新型电力系统已成为</w:t>
      </w:r>
      <w:r>
        <w:rPr>
          <w:rFonts w:hint="eastAsia"/>
          <w:color w:val="auto"/>
        </w:rPr>
        <w:t>我国</w:t>
      </w:r>
      <w:r>
        <w:rPr>
          <w:color w:val="auto"/>
        </w:rPr>
        <w:t>能源转型的核心任务。2023年6月2日，国家能源局发布的《新型电力系统发展蓝皮书》明确阐述，新型电力系统具有</w:t>
      </w:r>
      <w:bookmarkStart w:id="29" w:name="_Hlk193801781"/>
      <w:r>
        <w:rPr>
          <w:color w:val="auto"/>
        </w:rPr>
        <w:t>清洁低碳、安全充裕、经济高效、供需协同、灵活智能</w:t>
      </w:r>
      <w:bookmarkEnd w:id="29"/>
      <w:r>
        <w:rPr>
          <w:color w:val="auto"/>
        </w:rPr>
        <w:t>等特征。新型电力系统将以2030年、2045年和2060年为重要时间节点，制定</w:t>
      </w:r>
      <w:r>
        <w:rPr>
          <w:rFonts w:hint="eastAsia"/>
          <w:color w:val="auto"/>
        </w:rPr>
        <w:t>“</w:t>
      </w:r>
      <w:r>
        <w:rPr>
          <w:color w:val="auto"/>
        </w:rPr>
        <w:t>三步走</w:t>
      </w:r>
      <w:r>
        <w:rPr>
          <w:rFonts w:hint="eastAsia"/>
          <w:color w:val="auto"/>
        </w:rPr>
        <w:t>”</w:t>
      </w:r>
      <w:r>
        <w:rPr>
          <w:color w:val="auto"/>
        </w:rPr>
        <w:t>发展路径，并从电源侧、电网侧和用户侧进行全面布局。同时强调了电网作为连接电源与电力用户的桥梁，在未来将承担更加重要的角色，需要具备更强的调节能力和智能化水平，以适应高比例新能源接入的需求。但是，目前我国电网项目投资主要依赖于传统的经验判断和静态分析方法，难以全面考虑新型电力系统中动态变化的多维因素。可参见新型电力系统发展蓝皮书第五章电力基建部分所示，2023年全国新增220千伏及以上变电设备容量为2.57亿千伏安，同比增长5.3%，但新增输电线路长度却同比减少了557千米</w:t>
      </w:r>
      <w:r>
        <w:rPr>
          <w:color w:val="auto"/>
          <w:vertAlign w:val="superscript"/>
        </w:rPr>
        <w:fldChar w:fldCharType="begin"/>
      </w:r>
      <w:r>
        <w:rPr>
          <w:color w:val="auto"/>
          <w:vertAlign w:val="superscript"/>
        </w:rPr>
        <w:instrText xml:space="preserve"> REF _Ref193102277 \r \h  \* MERGEFORMAT </w:instrText>
      </w:r>
      <w:r>
        <w:rPr>
          <w:color w:val="auto"/>
          <w:vertAlign w:val="superscript"/>
        </w:rPr>
        <w:fldChar w:fldCharType="separate"/>
      </w:r>
      <w:r>
        <w:rPr>
          <w:color w:val="auto"/>
          <w:vertAlign w:val="superscript"/>
        </w:rPr>
        <w:t>[2]</w:t>
      </w:r>
      <w:r>
        <w:rPr>
          <w:color w:val="auto"/>
          <w:vertAlign w:val="superscript"/>
        </w:rPr>
        <w:fldChar w:fldCharType="end"/>
      </w:r>
      <w:r>
        <w:rPr>
          <w:color w:val="auto"/>
        </w:rPr>
        <w:t>。这种现象表明，在当前复杂的能源转型过程中，单纯依靠传统规划方式可能无法实现资源的最优配置。</w:t>
      </w:r>
    </w:p>
    <w:p w14:paraId="26C52A85">
      <w:pPr>
        <w:tabs>
          <w:tab w:val="left" w:pos="5618"/>
        </w:tabs>
        <w:spacing w:line="400" w:lineRule="exact"/>
        <w:ind w:firstLine="480" w:firstLineChars="200"/>
        <w:rPr>
          <w:color w:val="auto"/>
        </w:rPr>
      </w:pPr>
      <w:r>
        <w:rPr>
          <w:color w:val="auto"/>
        </w:rPr>
        <w:t>因此，在新型电力系统背景下，对电网项目投资决策进行优化研究显得非常重要</w:t>
      </w:r>
      <w:r>
        <w:rPr>
          <w:rFonts w:hint="eastAsia"/>
          <w:color w:val="auto"/>
        </w:rPr>
        <w:t>，</w:t>
      </w:r>
      <w:r>
        <w:rPr>
          <w:color w:val="auto"/>
        </w:rPr>
        <w:t>也符合国家的政策导向。故而亟需引入智能决策优化技术，利用大数据、机器学习等手段，对电网项目进行全方位、多维度的分析和评估，提高投资效益和降低投资风险。本文的研究正是基于上述背景，探索适用于新型电力系统背景下J电网项目的投资智能决策优化方法，为J电网项目的科学投资提供有力支撑，同时也为</w:t>
      </w:r>
      <w:r>
        <w:rPr>
          <w:rFonts w:hint="eastAsia"/>
          <w:color w:val="auto"/>
        </w:rPr>
        <w:t>其他电网</w:t>
      </w:r>
      <w:r>
        <w:rPr>
          <w:color w:val="auto"/>
        </w:rPr>
        <w:t>的项目投资决策提供有益的参考和借鉴。</w:t>
      </w:r>
    </w:p>
    <w:p w14:paraId="74FD07E8">
      <w:pPr>
        <w:spacing w:before="156" w:beforeLines="50" w:after="156" w:afterLines="50" w:line="400" w:lineRule="exact"/>
        <w:outlineLvl w:val="2"/>
        <w:rPr>
          <w:rFonts w:eastAsia="黑体"/>
          <w:color w:val="auto"/>
          <w:sz w:val="28"/>
          <w:szCs w:val="28"/>
        </w:rPr>
      </w:pPr>
      <w:bookmarkStart w:id="30" w:name="_Toc1300"/>
      <w:bookmarkStart w:id="31" w:name="_Toc193967321"/>
      <w:bookmarkStart w:id="32" w:name="_Toc192967084"/>
      <w:r>
        <w:rPr>
          <w:rFonts w:eastAsia="黑体"/>
          <w:color w:val="auto"/>
          <w:sz w:val="28"/>
          <w:szCs w:val="28"/>
        </w:rPr>
        <w:t>1.1.2 研究意义</w:t>
      </w:r>
      <w:bookmarkEnd w:id="30"/>
      <w:bookmarkEnd w:id="31"/>
      <w:bookmarkEnd w:id="32"/>
    </w:p>
    <w:p w14:paraId="2A254D16">
      <w:pPr>
        <w:spacing w:line="400" w:lineRule="exact"/>
        <w:ind w:firstLine="480" w:firstLineChars="200"/>
        <w:rPr>
          <w:color w:val="auto"/>
        </w:rPr>
      </w:pPr>
      <w:r>
        <w:rPr>
          <w:color w:val="auto"/>
        </w:rPr>
        <w:t>（1）理论意义</w:t>
      </w:r>
    </w:p>
    <w:p w14:paraId="740B1DEE">
      <w:pPr>
        <w:spacing w:line="400" w:lineRule="exact"/>
        <w:ind w:firstLine="480" w:firstLineChars="200"/>
        <w:rPr>
          <w:color w:val="auto"/>
        </w:rPr>
      </w:pPr>
      <w:r>
        <w:rPr>
          <w:color w:val="auto"/>
        </w:rPr>
        <w:t>本文结合</w:t>
      </w:r>
      <w:r>
        <w:rPr>
          <w:rFonts w:hint="eastAsia"/>
          <w:color w:val="auto"/>
        </w:rPr>
        <w:t>“</w:t>
      </w:r>
      <w:r>
        <w:rPr>
          <w:color w:val="auto"/>
        </w:rPr>
        <w:t>双碳</w:t>
      </w:r>
      <w:r>
        <w:rPr>
          <w:rFonts w:hint="eastAsia"/>
          <w:color w:val="auto"/>
        </w:rPr>
        <w:t>”</w:t>
      </w:r>
      <w:r>
        <w:rPr>
          <w:color w:val="auto"/>
        </w:rPr>
        <w:t>目标与能源转型趋势，探讨新型电力系统的特征及其对电网</w:t>
      </w:r>
      <w:r>
        <w:rPr>
          <w:rFonts w:hint="eastAsia"/>
          <w:color w:val="auto"/>
        </w:rPr>
        <w:t>项目</w:t>
      </w:r>
      <w:r>
        <w:rPr>
          <w:color w:val="auto"/>
        </w:rPr>
        <w:t>投资决策的影响机制，为相关理论研究提供了新的视角。其次，</w:t>
      </w:r>
      <w:r>
        <w:rPr>
          <w:rFonts w:hint="eastAsia"/>
          <w:color w:val="auto"/>
        </w:rPr>
        <w:t>通过构建电网项目综合评估体系，可以有效完善</w:t>
      </w:r>
      <w:r>
        <w:rPr>
          <w:color w:val="auto"/>
        </w:rPr>
        <w:t>适应新型电力系统特征的</w:t>
      </w:r>
      <w:r>
        <w:rPr>
          <w:rFonts w:hint="eastAsia"/>
          <w:color w:val="auto"/>
        </w:rPr>
        <w:t>电网项目</w:t>
      </w:r>
      <w:r>
        <w:rPr>
          <w:color w:val="auto"/>
        </w:rPr>
        <w:t>技术经济评估体系</w:t>
      </w:r>
      <w:r>
        <w:rPr>
          <w:rFonts w:hint="eastAsia"/>
          <w:color w:val="auto"/>
        </w:rPr>
        <w:t>。然后，通过引入深度学习和机器学习智能方法，建立电网</w:t>
      </w:r>
      <w:r>
        <w:rPr>
          <w:color w:val="auto"/>
        </w:rPr>
        <w:t>投资能力测算模型，</w:t>
      </w:r>
      <w:r>
        <w:rPr>
          <w:rFonts w:hint="eastAsia"/>
          <w:color w:val="auto"/>
        </w:rPr>
        <w:t>进一步</w:t>
      </w:r>
      <w:r>
        <w:rPr>
          <w:color w:val="auto"/>
        </w:rPr>
        <w:t>丰富电网项目投资决策的理论框架。</w:t>
      </w:r>
      <w:r>
        <w:rPr>
          <w:rFonts w:hint="eastAsia"/>
          <w:color w:val="auto"/>
        </w:rPr>
        <w:t>最后，</w:t>
      </w:r>
      <w:r>
        <w:rPr>
          <w:color w:val="auto"/>
        </w:rPr>
        <w:t>本文</w:t>
      </w:r>
      <w:bookmarkStart w:id="33" w:name="_Hlk193802111"/>
      <w:r>
        <w:rPr>
          <w:rFonts w:hint="eastAsia"/>
          <w:color w:val="auto"/>
        </w:rPr>
        <w:t>建立</w:t>
      </w:r>
      <w:r>
        <w:rPr>
          <w:color w:val="auto"/>
        </w:rPr>
        <w:t>的基于增广Lagrange乘子法的</w:t>
      </w:r>
      <w:r>
        <w:rPr>
          <w:rFonts w:hint="eastAsia"/>
          <w:color w:val="auto"/>
        </w:rPr>
        <w:t>电网项目投资智能决策</w:t>
      </w:r>
      <w:r>
        <w:rPr>
          <w:color w:val="auto"/>
        </w:rPr>
        <w:t>混合灰狼优化（LHWGWO）</w:t>
      </w:r>
      <w:r>
        <w:rPr>
          <w:rFonts w:hint="eastAsia"/>
          <w:color w:val="auto"/>
        </w:rPr>
        <w:t>模型</w:t>
      </w:r>
      <w:bookmarkEnd w:id="33"/>
      <w:r>
        <w:rPr>
          <w:color w:val="auto"/>
        </w:rPr>
        <w:t>，可</w:t>
      </w:r>
      <w:r>
        <w:rPr>
          <w:rFonts w:hint="eastAsia"/>
          <w:color w:val="auto"/>
        </w:rPr>
        <w:t>以</w:t>
      </w:r>
      <w:r>
        <w:rPr>
          <w:color w:val="auto"/>
        </w:rPr>
        <w:t>提升复杂多目标问题的求解效率，为</w:t>
      </w:r>
      <w:r>
        <w:rPr>
          <w:rFonts w:hint="eastAsia"/>
          <w:color w:val="auto"/>
        </w:rPr>
        <w:t>电网项目投资</w:t>
      </w:r>
      <w:r>
        <w:rPr>
          <w:color w:val="auto"/>
        </w:rPr>
        <w:t>智能决策优化领域的理论发展提供思路。</w:t>
      </w:r>
    </w:p>
    <w:p w14:paraId="6988249A">
      <w:pPr>
        <w:spacing w:line="400" w:lineRule="exact"/>
        <w:ind w:firstLine="480" w:firstLineChars="200"/>
        <w:rPr>
          <w:color w:val="auto"/>
        </w:rPr>
      </w:pPr>
      <w:r>
        <w:rPr>
          <w:color w:val="auto"/>
        </w:rPr>
        <w:t xml:space="preserve">（2）实践意义  </w:t>
      </w:r>
    </w:p>
    <w:p w14:paraId="26F10C93">
      <w:pPr>
        <w:spacing w:line="400" w:lineRule="exact"/>
        <w:ind w:firstLine="480" w:firstLineChars="200"/>
        <w:rPr>
          <w:color w:val="auto"/>
        </w:rPr>
      </w:pPr>
      <w:r>
        <w:rPr>
          <w:color w:val="auto"/>
        </w:rPr>
        <w:t>在实践层面，本文构建的</w:t>
      </w:r>
      <w:r>
        <w:rPr>
          <w:rFonts w:hint="eastAsia"/>
          <w:color w:val="auto"/>
        </w:rPr>
        <w:t>电网项目</w:t>
      </w:r>
      <w:r>
        <w:rPr>
          <w:color w:val="auto"/>
        </w:rPr>
        <w:t>技术经济评估体系和</w:t>
      </w:r>
      <w:r>
        <w:rPr>
          <w:rFonts w:hint="eastAsia"/>
          <w:color w:val="auto"/>
        </w:rPr>
        <w:t>电网</w:t>
      </w:r>
      <w:r>
        <w:rPr>
          <w:color w:val="auto"/>
        </w:rPr>
        <w:t>投资能力测算模型，可以为J电网项目提供量化的分析工具，帮助决策者</w:t>
      </w:r>
      <w:r>
        <w:rPr>
          <w:rFonts w:hint="eastAsia"/>
          <w:color w:val="auto"/>
        </w:rPr>
        <w:t>全面</w:t>
      </w:r>
      <w:r>
        <w:rPr>
          <w:color w:val="auto"/>
        </w:rPr>
        <w:t>评估项目的可行性和自身投资能力，从而</w:t>
      </w:r>
      <w:r>
        <w:rPr>
          <w:rFonts w:hint="eastAsia"/>
          <w:color w:val="auto"/>
        </w:rPr>
        <w:t>在有限的投资能力下</w:t>
      </w:r>
      <w:r>
        <w:rPr>
          <w:color w:val="auto"/>
        </w:rPr>
        <w:t>提高资源配置效率。而</w:t>
      </w:r>
      <w:r>
        <w:rPr>
          <w:rFonts w:hint="eastAsia"/>
          <w:color w:val="auto"/>
        </w:rPr>
        <w:t>建立</w:t>
      </w:r>
      <w:r>
        <w:rPr>
          <w:color w:val="auto"/>
        </w:rPr>
        <w:t>的基于增广Lagrange乘子法的</w:t>
      </w:r>
      <w:r>
        <w:rPr>
          <w:rFonts w:hint="eastAsia"/>
          <w:color w:val="auto"/>
        </w:rPr>
        <w:t>电网项目投资智能决策</w:t>
      </w:r>
      <w:r>
        <w:rPr>
          <w:color w:val="auto"/>
        </w:rPr>
        <w:t>混合灰狼优化（LHWGWO）</w:t>
      </w:r>
      <w:r>
        <w:rPr>
          <w:rFonts w:hint="eastAsia"/>
          <w:color w:val="auto"/>
        </w:rPr>
        <w:t>模型</w:t>
      </w:r>
      <w:r>
        <w:rPr>
          <w:color w:val="auto"/>
        </w:rPr>
        <w:t>，能够</w:t>
      </w:r>
      <w:r>
        <w:rPr>
          <w:rFonts w:hint="eastAsia"/>
          <w:color w:val="auto"/>
        </w:rPr>
        <w:t>有效提升新型电力系统复杂背景下电网项目投资智能决策能力</w:t>
      </w:r>
      <w:r>
        <w:rPr>
          <w:color w:val="auto"/>
        </w:rPr>
        <w:t>，</w:t>
      </w:r>
      <w:r>
        <w:rPr>
          <w:rFonts w:hint="eastAsia"/>
          <w:color w:val="auto"/>
        </w:rPr>
        <w:t>以实现对电网项目实际投资决策提供新的可行方法</w:t>
      </w:r>
      <w:r>
        <w:rPr>
          <w:color w:val="auto"/>
        </w:rPr>
        <w:t>。</w:t>
      </w:r>
    </w:p>
    <w:p w14:paraId="087C3B12">
      <w:pPr>
        <w:spacing w:before="156" w:beforeLines="50" w:after="156" w:afterLines="50" w:line="324" w:lineRule="auto"/>
        <w:outlineLvl w:val="1"/>
        <w:rPr>
          <w:rFonts w:eastAsia="黑体"/>
          <w:color w:val="auto"/>
          <w:sz w:val="30"/>
          <w:szCs w:val="30"/>
        </w:rPr>
      </w:pPr>
      <w:bookmarkStart w:id="34" w:name="_Toc193967322"/>
      <w:bookmarkStart w:id="35" w:name="_Toc192967085"/>
      <w:bookmarkStart w:id="36" w:name="_Toc26316"/>
      <w:r>
        <w:rPr>
          <w:rFonts w:eastAsia="黑体"/>
          <w:color w:val="auto"/>
          <w:sz w:val="30"/>
          <w:szCs w:val="30"/>
        </w:rPr>
        <w:t>1.2 国内外研究现状</w:t>
      </w:r>
      <w:bookmarkEnd w:id="34"/>
      <w:bookmarkEnd w:id="35"/>
      <w:bookmarkEnd w:id="36"/>
    </w:p>
    <w:p w14:paraId="21DF69BA">
      <w:pPr>
        <w:spacing w:before="156" w:beforeLines="50" w:after="156" w:afterLines="50" w:line="400" w:lineRule="exact"/>
        <w:outlineLvl w:val="2"/>
        <w:rPr>
          <w:rFonts w:eastAsia="黑体"/>
          <w:color w:val="auto"/>
          <w:sz w:val="28"/>
          <w:szCs w:val="28"/>
        </w:rPr>
      </w:pPr>
      <w:bookmarkStart w:id="37" w:name="_Toc192967087"/>
      <w:bookmarkStart w:id="38" w:name="_Toc17669"/>
      <w:bookmarkStart w:id="39" w:name="_Toc193967323"/>
      <w:r>
        <w:rPr>
          <w:rFonts w:eastAsia="黑体"/>
          <w:color w:val="auto"/>
          <w:sz w:val="28"/>
          <w:szCs w:val="28"/>
        </w:rPr>
        <w:t>1.2.1 新型电力系统研究现状</w:t>
      </w:r>
      <w:bookmarkEnd w:id="37"/>
      <w:bookmarkEnd w:id="38"/>
      <w:bookmarkEnd w:id="39"/>
    </w:p>
    <w:p w14:paraId="12E7C7EF">
      <w:pPr>
        <w:spacing w:line="400" w:lineRule="exact"/>
        <w:ind w:firstLine="480" w:firstLineChars="200"/>
        <w:rPr>
          <w:color w:val="auto"/>
        </w:rPr>
      </w:pPr>
      <w:r>
        <w:rPr>
          <w:color w:val="auto"/>
        </w:rPr>
        <w:t>当前新型电力系统构建已经成为能源领域的研究重点，国内外已经从不同角度出发，分析了新型电力系统的灵活性、数字化以及新能源</w:t>
      </w:r>
      <w:r>
        <w:rPr>
          <w:rFonts w:hint="eastAsia"/>
          <w:color w:val="auto"/>
        </w:rPr>
        <w:t>电力</w:t>
      </w:r>
      <w:r>
        <w:rPr>
          <w:color w:val="auto"/>
        </w:rPr>
        <w:t>市场</w:t>
      </w:r>
      <w:r>
        <w:rPr>
          <w:rFonts w:hint="eastAsia"/>
          <w:color w:val="auto"/>
        </w:rPr>
        <w:t>化</w:t>
      </w:r>
      <w:r>
        <w:rPr>
          <w:color w:val="auto"/>
        </w:rPr>
        <w:t>交易等关键领域的研究进展。</w:t>
      </w:r>
    </w:p>
    <w:p w14:paraId="60EDDA9D">
      <w:pPr>
        <w:spacing w:line="400" w:lineRule="exact"/>
        <w:ind w:firstLine="480" w:firstLineChars="200"/>
        <w:rPr>
          <w:color w:val="auto"/>
        </w:rPr>
      </w:pPr>
      <w:r>
        <w:rPr>
          <w:color w:val="auto"/>
        </w:rPr>
        <w:t>（1）新型电力系统的灵活性</w:t>
      </w:r>
    </w:p>
    <w:p w14:paraId="1FE89B1E">
      <w:pPr>
        <w:spacing w:line="400" w:lineRule="exact"/>
        <w:ind w:firstLine="480" w:firstLineChars="200"/>
        <w:rPr>
          <w:color w:val="auto"/>
        </w:rPr>
      </w:pPr>
      <w:r>
        <w:rPr>
          <w:color w:val="auto"/>
        </w:rPr>
        <w:t>随着全球能源结构的转型，提升新型电力系统的灵活性成为实现高比例可再生能源接入电网的关键。张俊涛等人（2024）探讨了水电在支撑新型电力系统灵活性方面的作用，提出了多种水电支撑策略以应对新能源的间歇性和不确定性</w:t>
      </w:r>
      <w:r>
        <w:rPr>
          <w:color w:val="auto"/>
          <w:vertAlign w:val="superscript"/>
        </w:rPr>
        <w:fldChar w:fldCharType="begin"/>
      </w:r>
      <w:r>
        <w:rPr>
          <w:color w:val="auto"/>
          <w:vertAlign w:val="superscript"/>
        </w:rPr>
        <w:instrText xml:space="preserve"> REF _Ref193102348 \r \h  \* MERGEFORMAT </w:instrText>
      </w:r>
      <w:r>
        <w:rPr>
          <w:color w:val="auto"/>
          <w:vertAlign w:val="superscript"/>
        </w:rPr>
        <w:fldChar w:fldCharType="separate"/>
      </w:r>
      <w:r>
        <w:rPr>
          <w:color w:val="auto"/>
          <w:vertAlign w:val="superscript"/>
        </w:rPr>
        <w:t>[3]</w:t>
      </w:r>
      <w:r>
        <w:rPr>
          <w:color w:val="auto"/>
          <w:vertAlign w:val="superscript"/>
        </w:rPr>
        <w:fldChar w:fldCharType="end"/>
      </w:r>
      <w:r>
        <w:rPr>
          <w:color w:val="auto"/>
        </w:rPr>
        <w:t>。研究表明，通过合理调度和优化配置，水电可以有效提高电力系统的调峰能力及稳定性，从而确保电力供应的安全性和可靠性。他们还发现，水电不仅能够在高峰时段提供必要的电力支持，还能在低谷时段吸收过剩的电力，起到平衡供需的作用。李更丰等人（2023）研究储能优化配置与灵活调度，为增强新型电力系统的弹性提供了理论基础和技术支持。研究指出，储能技术的发展能够平衡供需，在紧急情况下提供必要的电力支持。随后通过对不同储能技术的应用场景进行详细分析</w:t>
      </w:r>
      <w:r>
        <w:rPr>
          <w:rFonts w:hint="eastAsia"/>
          <w:color w:val="auto"/>
        </w:rPr>
        <w:t>，认为储能</w:t>
      </w:r>
      <w:r>
        <w:rPr>
          <w:color w:val="auto"/>
        </w:rPr>
        <w:t>在提高电网稳定性和响应速度方面具有显著优势</w:t>
      </w:r>
      <w:r>
        <w:rPr>
          <w:color w:val="auto"/>
          <w:vertAlign w:val="superscript"/>
        </w:rPr>
        <w:fldChar w:fldCharType="begin"/>
      </w:r>
      <w:r>
        <w:rPr>
          <w:color w:val="auto"/>
          <w:vertAlign w:val="superscript"/>
        </w:rPr>
        <w:instrText xml:space="preserve"> REF _Ref193102370 \r \h  \* MERGEFORMAT </w:instrText>
      </w:r>
      <w:r>
        <w:rPr>
          <w:color w:val="auto"/>
          <w:vertAlign w:val="superscript"/>
        </w:rPr>
        <w:fldChar w:fldCharType="separate"/>
      </w:r>
      <w:r>
        <w:rPr>
          <w:color w:val="auto"/>
          <w:vertAlign w:val="superscript"/>
        </w:rPr>
        <w:t>[4]</w:t>
      </w:r>
      <w:r>
        <w:rPr>
          <w:color w:val="auto"/>
          <w:vertAlign w:val="superscript"/>
        </w:rPr>
        <w:fldChar w:fldCharType="end"/>
      </w:r>
      <w:r>
        <w:rPr>
          <w:color w:val="auto"/>
        </w:rPr>
        <w:t>。Malcolm Isaac Fernandez等</w:t>
      </w:r>
      <w:r>
        <w:rPr>
          <w:rFonts w:hint="eastAsia"/>
          <w:color w:val="auto"/>
        </w:rPr>
        <w:t>人</w:t>
      </w:r>
      <w:r>
        <w:rPr>
          <w:color w:val="auto"/>
        </w:rPr>
        <w:t>（2024）进一步强调了储能作为</w:t>
      </w:r>
      <w:r>
        <w:rPr>
          <w:rFonts w:hint="eastAsia"/>
          <w:color w:val="auto"/>
        </w:rPr>
        <w:t>提升电力系统灵活性</w:t>
      </w:r>
      <w:r>
        <w:rPr>
          <w:color w:val="auto"/>
        </w:rPr>
        <w:t>关键因素的重要性，特别是在推动能源系统向净零目标迈进的过程中，角色不可忽视。研究总结了当前储能技术面临的挑战，并提出了若干解决方案</w:t>
      </w:r>
      <w:r>
        <w:rPr>
          <w:rStyle w:val="20"/>
          <w:color w:val="auto"/>
        </w:rPr>
        <w:fldChar w:fldCharType="begin"/>
      </w:r>
      <w:r>
        <w:rPr>
          <w:color w:val="auto"/>
          <w:vertAlign w:val="superscript"/>
        </w:rPr>
        <w:instrText xml:space="preserve"> REF _Ref193102385 \r \h </w:instrText>
      </w:r>
      <w:r>
        <w:rPr>
          <w:rStyle w:val="20"/>
          <w:color w:val="auto"/>
        </w:rPr>
        <w:instrText xml:space="preserve"> \* MERGEFORMAT </w:instrText>
      </w:r>
      <w:r>
        <w:rPr>
          <w:rStyle w:val="20"/>
          <w:color w:val="auto"/>
        </w:rPr>
        <w:fldChar w:fldCharType="separate"/>
      </w:r>
      <w:r>
        <w:rPr>
          <w:color w:val="auto"/>
          <w:vertAlign w:val="superscript"/>
        </w:rPr>
        <w:t>[5]</w:t>
      </w:r>
      <w:r>
        <w:rPr>
          <w:rStyle w:val="20"/>
          <w:color w:val="auto"/>
        </w:rPr>
        <w:fldChar w:fldCharType="end"/>
      </w:r>
      <w:r>
        <w:rPr>
          <w:color w:val="auto"/>
        </w:rPr>
        <w:t>。Giannelos S等人（2024）阐述了储能技术对提升电网灵活性的重要性。他们的研究揭示了智能电网技术在提升电力系统灵活性方面的潜力，尤其是在整合分布式能源资源和提高用户参与度方面</w:t>
      </w:r>
      <w:r>
        <w:rPr>
          <w:color w:val="auto"/>
          <w:vertAlign w:val="superscript"/>
        </w:rPr>
        <w:fldChar w:fldCharType="begin"/>
      </w:r>
      <w:r>
        <w:rPr>
          <w:color w:val="auto"/>
          <w:vertAlign w:val="superscript"/>
        </w:rPr>
        <w:instrText xml:space="preserve"> REF _Ref193102398 \r \h  \* MERGEFORMAT </w:instrText>
      </w:r>
      <w:r>
        <w:rPr>
          <w:color w:val="auto"/>
          <w:vertAlign w:val="superscript"/>
        </w:rPr>
        <w:fldChar w:fldCharType="separate"/>
      </w:r>
      <w:r>
        <w:rPr>
          <w:color w:val="auto"/>
          <w:vertAlign w:val="superscript"/>
        </w:rPr>
        <w:t>[6]</w:t>
      </w:r>
      <w:r>
        <w:rPr>
          <w:color w:val="auto"/>
          <w:vertAlign w:val="superscript"/>
        </w:rPr>
        <w:fldChar w:fldCharType="end"/>
      </w:r>
      <w:r>
        <w:rPr>
          <w:color w:val="auto"/>
        </w:rPr>
        <w:t>。</w:t>
      </w:r>
    </w:p>
    <w:p w14:paraId="39939ED2">
      <w:pPr>
        <w:spacing w:line="400" w:lineRule="exact"/>
        <w:ind w:firstLine="480" w:firstLineChars="200"/>
        <w:rPr>
          <w:color w:val="auto"/>
        </w:rPr>
      </w:pPr>
      <w:r>
        <w:rPr>
          <w:color w:val="auto"/>
        </w:rPr>
        <w:t>（2）</w:t>
      </w:r>
      <w:bookmarkStart w:id="40" w:name="_Hlk193060126"/>
      <w:r>
        <w:rPr>
          <w:color w:val="auto"/>
        </w:rPr>
        <w:t>新型电力系统数字化</w:t>
      </w:r>
      <w:bookmarkEnd w:id="40"/>
    </w:p>
    <w:p w14:paraId="6F40BEB8">
      <w:pPr>
        <w:spacing w:line="400" w:lineRule="exact"/>
        <w:ind w:firstLine="480" w:firstLineChars="200"/>
        <w:rPr>
          <w:color w:val="auto"/>
        </w:rPr>
      </w:pPr>
      <w:r>
        <w:rPr>
          <w:color w:val="auto"/>
        </w:rPr>
        <w:t>信息技术的快速发展，新型电力系统的数字化转型已成为必然趋势。李鹏等人（2024）讨论了新型电力系统中数字化关键技术的应用现状、机遇与挑战，指出了数字技术如物联网、大数据分析、人工智能等在优化电力系统运行效率方面的潜力。他们的研究发现，应用这些技术，可以提升电网的智能化水平，并显著降低运维成本</w:t>
      </w:r>
      <w:r>
        <w:rPr>
          <w:color w:val="auto"/>
          <w:vertAlign w:val="superscript"/>
        </w:rPr>
        <w:fldChar w:fldCharType="begin"/>
      </w:r>
      <w:r>
        <w:rPr>
          <w:color w:val="auto"/>
          <w:vertAlign w:val="superscript"/>
        </w:rPr>
        <w:instrText xml:space="preserve"> REF _Ref193102429 \r \h  \* MERGEFORMAT </w:instrText>
      </w:r>
      <w:r>
        <w:rPr>
          <w:color w:val="auto"/>
          <w:vertAlign w:val="superscript"/>
        </w:rPr>
        <w:fldChar w:fldCharType="separate"/>
      </w:r>
      <w:r>
        <w:rPr>
          <w:color w:val="auto"/>
          <w:vertAlign w:val="superscript"/>
        </w:rPr>
        <w:t>[7]</w:t>
      </w:r>
      <w:r>
        <w:rPr>
          <w:color w:val="auto"/>
          <w:vertAlign w:val="superscript"/>
        </w:rPr>
        <w:fldChar w:fldCharType="end"/>
      </w:r>
      <w:r>
        <w:rPr>
          <w:color w:val="auto"/>
        </w:rPr>
        <w:t>。王继业和赵俊华（2023）也探索了基于人工智能技术的新型电力系统优化运行与控制方法。他们的研究表明，AI技术能够有效处理复杂电网中的大量数据，从而做出更加精准的决策。随后通过系列的实验，他们证明了AI技术在提高电网运行效率和稳定性方面的巨大潜力</w:t>
      </w:r>
      <w:r>
        <w:rPr>
          <w:color w:val="auto"/>
          <w:vertAlign w:val="superscript"/>
        </w:rPr>
        <w:fldChar w:fldCharType="begin"/>
      </w:r>
      <w:r>
        <w:rPr>
          <w:color w:val="auto"/>
          <w:vertAlign w:val="superscript"/>
        </w:rPr>
        <w:instrText xml:space="preserve"> REF _Ref193102443 \r \h  \* MERGEFORMAT </w:instrText>
      </w:r>
      <w:r>
        <w:rPr>
          <w:color w:val="auto"/>
          <w:vertAlign w:val="superscript"/>
        </w:rPr>
        <w:fldChar w:fldCharType="separate"/>
      </w:r>
      <w:r>
        <w:rPr>
          <w:color w:val="auto"/>
          <w:vertAlign w:val="superscript"/>
        </w:rPr>
        <w:t>[8]</w:t>
      </w:r>
      <w:r>
        <w:rPr>
          <w:color w:val="auto"/>
          <w:vertAlign w:val="superscript"/>
        </w:rPr>
        <w:fldChar w:fldCharType="end"/>
      </w:r>
      <w:r>
        <w:rPr>
          <w:color w:val="auto"/>
        </w:rPr>
        <w:t>。Hasan Dinçer等</w:t>
      </w:r>
      <w:r>
        <w:rPr>
          <w:rFonts w:hint="eastAsia"/>
          <w:color w:val="auto"/>
        </w:rPr>
        <w:t>人</w:t>
      </w:r>
      <w:r>
        <w:rPr>
          <w:color w:val="auto"/>
        </w:rPr>
        <w:t>（2025）利用模糊多准则方法评估智能电网投资驱动因素，并</w:t>
      </w:r>
      <w:r>
        <w:rPr>
          <w:rFonts w:hint="eastAsia"/>
          <w:color w:val="auto"/>
        </w:rPr>
        <w:t>提出</w:t>
      </w:r>
      <w:r>
        <w:rPr>
          <w:color w:val="auto"/>
        </w:rPr>
        <w:t>有效的政策建议，表明了政策导向对于促进智能电网发展的必要性。他们还提出了一套全面的评估体系，帮助决策者更好地理解和选择适合本国国情的智能电网发展路径</w:t>
      </w:r>
      <w:r>
        <w:rPr>
          <w:color w:val="auto"/>
          <w:vertAlign w:val="superscript"/>
        </w:rPr>
        <w:fldChar w:fldCharType="begin"/>
      </w:r>
      <w:r>
        <w:rPr>
          <w:color w:val="auto"/>
          <w:vertAlign w:val="superscript"/>
        </w:rPr>
        <w:instrText xml:space="preserve"> REF _Ref193102456 \r \h  \* MERGEFORMAT </w:instrText>
      </w:r>
      <w:r>
        <w:rPr>
          <w:color w:val="auto"/>
          <w:vertAlign w:val="superscript"/>
        </w:rPr>
        <w:fldChar w:fldCharType="separate"/>
      </w:r>
      <w:r>
        <w:rPr>
          <w:color w:val="auto"/>
          <w:vertAlign w:val="superscript"/>
        </w:rPr>
        <w:t>[9]</w:t>
      </w:r>
      <w:r>
        <w:rPr>
          <w:color w:val="auto"/>
          <w:vertAlign w:val="superscript"/>
        </w:rPr>
        <w:fldChar w:fldCharType="end"/>
      </w:r>
      <w:r>
        <w:rPr>
          <w:color w:val="auto"/>
        </w:rPr>
        <w:t>。Bendigiri P等人（2023）通过文献计量学方法回顾了能源系统模型的概念及其最新进展，强调构建可持续能源体系的重要性。他们的研究说明了当前能源系统模型的主要发展趋势。包括但不限于技术创新、政策支持以及公众意识的提升。研究成果为未来的研究提供了重要的指导，并为进一步探索新型电力系统的数字化转型奠定了坚实的基础</w:t>
      </w:r>
      <w:r>
        <w:rPr>
          <w:color w:val="auto"/>
          <w:vertAlign w:val="superscript"/>
        </w:rPr>
        <w:fldChar w:fldCharType="begin"/>
      </w:r>
      <w:r>
        <w:rPr>
          <w:color w:val="auto"/>
          <w:vertAlign w:val="superscript"/>
        </w:rPr>
        <w:instrText xml:space="preserve"> REF _Ref193102487 \r \h  \* MERGEFORMAT </w:instrText>
      </w:r>
      <w:r>
        <w:rPr>
          <w:color w:val="auto"/>
          <w:vertAlign w:val="superscript"/>
        </w:rPr>
        <w:fldChar w:fldCharType="separate"/>
      </w:r>
      <w:r>
        <w:rPr>
          <w:color w:val="auto"/>
          <w:vertAlign w:val="superscript"/>
        </w:rPr>
        <w:t>[10]</w:t>
      </w:r>
      <w:r>
        <w:rPr>
          <w:color w:val="auto"/>
          <w:vertAlign w:val="superscript"/>
        </w:rPr>
        <w:fldChar w:fldCharType="end"/>
      </w:r>
      <w:r>
        <w:rPr>
          <w:color w:val="auto"/>
        </w:rPr>
        <w:t>。</w:t>
      </w:r>
    </w:p>
    <w:p w14:paraId="21E19048">
      <w:pPr>
        <w:spacing w:line="400" w:lineRule="exact"/>
        <w:ind w:firstLine="480" w:firstLineChars="200"/>
        <w:rPr>
          <w:color w:val="auto"/>
        </w:rPr>
      </w:pPr>
      <w:r>
        <w:rPr>
          <w:color w:val="auto"/>
        </w:rPr>
        <w:t>（3）新能源</w:t>
      </w:r>
      <w:r>
        <w:rPr>
          <w:rFonts w:hint="eastAsia"/>
          <w:color w:val="auto"/>
        </w:rPr>
        <w:t>电力</w:t>
      </w:r>
      <w:r>
        <w:rPr>
          <w:color w:val="auto"/>
        </w:rPr>
        <w:t>市场</w:t>
      </w:r>
      <w:r>
        <w:rPr>
          <w:rFonts w:hint="eastAsia"/>
          <w:color w:val="auto"/>
        </w:rPr>
        <w:t>化</w:t>
      </w:r>
      <w:r>
        <w:rPr>
          <w:color w:val="auto"/>
        </w:rPr>
        <w:t>交易</w:t>
      </w:r>
    </w:p>
    <w:p w14:paraId="6568E24F">
      <w:pPr>
        <w:spacing w:line="400" w:lineRule="exact"/>
        <w:ind w:firstLine="480" w:firstLineChars="200"/>
        <w:rPr>
          <w:color w:val="auto"/>
        </w:rPr>
      </w:pPr>
      <w:r>
        <w:rPr>
          <w:color w:val="auto"/>
        </w:rPr>
        <w:t>新能源参与市场化交易是推动能源转型的重要途径之一。马丽芳（2024）分析了新能源参与市场化交易面临的机遇与挑战</w:t>
      </w:r>
      <w:r>
        <w:rPr>
          <w:rFonts w:hint="eastAsia"/>
          <w:color w:val="auto"/>
        </w:rPr>
        <w:t>。并</w:t>
      </w:r>
      <w:r>
        <w:rPr>
          <w:color w:val="auto"/>
        </w:rPr>
        <w:t>指出为了促进新能源的有效参与，需要建立更加灵活的市场机制，包括但不限于动态定价机制、绿色证书交易系统以及储能资源的有效利用等</w:t>
      </w:r>
      <w:r>
        <w:rPr>
          <w:color w:val="auto"/>
          <w:vertAlign w:val="superscript"/>
        </w:rPr>
        <w:fldChar w:fldCharType="begin"/>
      </w:r>
      <w:r>
        <w:rPr>
          <w:color w:val="auto"/>
          <w:vertAlign w:val="superscript"/>
        </w:rPr>
        <w:instrText xml:space="preserve"> REF _Ref193102511 \r \h  \* MERGEFORMAT </w:instrText>
      </w:r>
      <w:r>
        <w:rPr>
          <w:color w:val="auto"/>
          <w:vertAlign w:val="superscript"/>
        </w:rPr>
        <w:fldChar w:fldCharType="separate"/>
      </w:r>
      <w:r>
        <w:rPr>
          <w:color w:val="auto"/>
          <w:vertAlign w:val="superscript"/>
        </w:rPr>
        <w:t>[11]</w:t>
      </w:r>
      <w:r>
        <w:rPr>
          <w:color w:val="auto"/>
          <w:vertAlign w:val="superscript"/>
        </w:rPr>
        <w:fldChar w:fldCharType="end"/>
      </w:r>
      <w:r>
        <w:rPr>
          <w:color w:val="auto"/>
        </w:rPr>
        <w:t>。张雅娟等人（2023）分析了能源电力系统转型对中国环境的影响评估，他们的研究通过对不同地区实施清洁能源替代计划的效果进行量化分析，得出了显著的环境效益。如，在某些高污染地区，</w:t>
      </w:r>
      <w:r>
        <w:rPr>
          <w:rFonts w:hint="eastAsia"/>
          <w:color w:val="auto"/>
        </w:rPr>
        <w:t>新</w:t>
      </w:r>
      <w:r>
        <w:rPr>
          <w:color w:val="auto"/>
        </w:rPr>
        <w:t>能源的</w:t>
      </w:r>
      <w:r>
        <w:rPr>
          <w:rFonts w:hint="eastAsia"/>
          <w:color w:val="auto"/>
        </w:rPr>
        <w:t>利</w:t>
      </w:r>
      <w:r>
        <w:rPr>
          <w:color w:val="auto"/>
        </w:rPr>
        <w:t>用使得空气污染物浓度大幅下降，居民健康状况得到了明显改善</w:t>
      </w:r>
      <w:r>
        <w:rPr>
          <w:color w:val="auto"/>
          <w:vertAlign w:val="superscript"/>
        </w:rPr>
        <w:fldChar w:fldCharType="begin"/>
      </w:r>
      <w:r>
        <w:rPr>
          <w:color w:val="auto"/>
          <w:vertAlign w:val="superscript"/>
        </w:rPr>
        <w:instrText xml:space="preserve"> REF _Ref193102524 \r \h  \* MERGEFORMAT </w:instrText>
      </w:r>
      <w:r>
        <w:rPr>
          <w:color w:val="auto"/>
          <w:vertAlign w:val="superscript"/>
        </w:rPr>
        <w:fldChar w:fldCharType="separate"/>
      </w:r>
      <w:r>
        <w:rPr>
          <w:color w:val="auto"/>
          <w:vertAlign w:val="superscript"/>
        </w:rPr>
        <w:t>[12]</w:t>
      </w:r>
      <w:r>
        <w:rPr>
          <w:color w:val="auto"/>
          <w:vertAlign w:val="superscript"/>
        </w:rPr>
        <w:fldChar w:fldCharType="end"/>
      </w:r>
      <w:r>
        <w:rPr>
          <w:color w:val="auto"/>
        </w:rPr>
        <w:t>。</w:t>
      </w:r>
      <w:r>
        <w:rPr>
          <w:rStyle w:val="35"/>
          <w:color w:val="auto"/>
        </w:rPr>
        <w:t>Tze-Zhang</w:t>
      </w:r>
      <w:r>
        <w:rPr>
          <w:rStyle w:val="34"/>
          <w:color w:val="auto"/>
        </w:rPr>
        <w:t> </w:t>
      </w:r>
      <w:r>
        <w:rPr>
          <w:rStyle w:val="36"/>
          <w:color w:val="auto"/>
        </w:rPr>
        <w:t>Ang</w:t>
      </w:r>
      <w:r>
        <w:rPr>
          <w:color w:val="auto"/>
        </w:rPr>
        <w:t>等</w:t>
      </w:r>
      <w:r>
        <w:rPr>
          <w:rFonts w:hint="eastAsia"/>
          <w:color w:val="auto"/>
        </w:rPr>
        <w:t>人</w:t>
      </w:r>
      <w:r>
        <w:rPr>
          <w:color w:val="auto"/>
        </w:rPr>
        <w:t>（2022）对可再生能源进行了研究，分类讨论了各种可再生能源面临的挑战并提出了相应的解决方案。研究涵盖了太阳能、风能等常见形式，包括生物质能、地热能等其他类型的可再生能源。研究表明，虽然可再生能源具有巨大的发展潜力，但仍需克服成本高、间歇性强等问题，才能实现大规模应用</w:t>
      </w:r>
      <w:r>
        <w:rPr>
          <w:color w:val="auto"/>
          <w:vertAlign w:val="superscript"/>
        </w:rPr>
        <w:fldChar w:fldCharType="begin"/>
      </w:r>
      <w:r>
        <w:rPr>
          <w:color w:val="auto"/>
          <w:vertAlign w:val="superscript"/>
        </w:rPr>
        <w:instrText xml:space="preserve"> REF _Ref193102539 \r \h  \* MERGEFORMAT </w:instrText>
      </w:r>
      <w:r>
        <w:rPr>
          <w:color w:val="auto"/>
          <w:vertAlign w:val="superscript"/>
        </w:rPr>
        <w:fldChar w:fldCharType="separate"/>
      </w:r>
      <w:r>
        <w:rPr>
          <w:color w:val="auto"/>
          <w:vertAlign w:val="superscript"/>
        </w:rPr>
        <w:t>[13]</w:t>
      </w:r>
      <w:r>
        <w:rPr>
          <w:color w:val="auto"/>
          <w:vertAlign w:val="superscript"/>
        </w:rPr>
        <w:fldChar w:fldCharType="end"/>
      </w:r>
      <w:r>
        <w:rPr>
          <w:color w:val="auto"/>
        </w:rPr>
        <w:t>。郁海彬等人（2023）则基于新型电力系统下储能参与电力调峰调频辅助市场的竞标策略，探索如何更有效地利用储能资源。研究指出，通过优化储能系统的调度策略，可以显著提升其在电力市场中的经济效益和社会效益。他们的实验结果表明，这种策略能有效缓解电网的调峰压力，还能提高</w:t>
      </w:r>
      <w:r>
        <w:rPr>
          <w:rFonts w:hint="eastAsia"/>
          <w:color w:val="auto"/>
        </w:rPr>
        <w:t>新能源的消纳</w:t>
      </w:r>
      <w:r>
        <w:rPr>
          <w:color w:val="auto"/>
        </w:rPr>
        <w:t>效率</w:t>
      </w:r>
      <w:r>
        <w:rPr>
          <w:color w:val="auto"/>
          <w:vertAlign w:val="superscript"/>
        </w:rPr>
        <w:fldChar w:fldCharType="begin"/>
      </w:r>
      <w:r>
        <w:rPr>
          <w:color w:val="auto"/>
          <w:vertAlign w:val="superscript"/>
        </w:rPr>
        <w:instrText xml:space="preserve"> REF _Ref193102551 \r \h  \* MERGEFORMAT </w:instrText>
      </w:r>
      <w:r>
        <w:rPr>
          <w:color w:val="auto"/>
          <w:vertAlign w:val="superscript"/>
        </w:rPr>
        <w:fldChar w:fldCharType="separate"/>
      </w:r>
      <w:r>
        <w:rPr>
          <w:color w:val="auto"/>
          <w:vertAlign w:val="superscript"/>
        </w:rPr>
        <w:t>[14]</w:t>
      </w:r>
      <w:r>
        <w:rPr>
          <w:color w:val="auto"/>
          <w:vertAlign w:val="superscript"/>
        </w:rPr>
        <w:fldChar w:fldCharType="end"/>
      </w:r>
      <w:r>
        <w:rPr>
          <w:color w:val="auto"/>
        </w:rPr>
        <w:t>。Demir G等人（2024）采用非切割移动工具路径优化的方法，阐述了如何利用改进的遗传算法来解决电力系统中的优化问题。通过模拟不同场景下的电力系统运行情况，验证了所提方法的有效性，并指出该方法同样适用于储能资源的优化配置</w:t>
      </w:r>
      <w:r>
        <w:rPr>
          <w:color w:val="auto"/>
          <w:vertAlign w:val="superscript"/>
        </w:rPr>
        <w:fldChar w:fldCharType="begin"/>
      </w:r>
      <w:r>
        <w:rPr>
          <w:color w:val="auto"/>
          <w:vertAlign w:val="superscript"/>
        </w:rPr>
        <w:instrText xml:space="preserve"> REF _Ref193102567 \r \h  \* MERGEFORMAT </w:instrText>
      </w:r>
      <w:r>
        <w:rPr>
          <w:color w:val="auto"/>
          <w:vertAlign w:val="superscript"/>
        </w:rPr>
        <w:fldChar w:fldCharType="separate"/>
      </w:r>
      <w:r>
        <w:rPr>
          <w:color w:val="auto"/>
          <w:vertAlign w:val="superscript"/>
        </w:rPr>
        <w:t>[15]</w:t>
      </w:r>
      <w:r>
        <w:rPr>
          <w:color w:val="auto"/>
          <w:vertAlign w:val="superscript"/>
        </w:rPr>
        <w:fldChar w:fldCharType="end"/>
      </w:r>
      <w:r>
        <w:rPr>
          <w:color w:val="auto"/>
        </w:rPr>
        <w:t>。</w:t>
      </w:r>
    </w:p>
    <w:p w14:paraId="62CCB3AB">
      <w:pPr>
        <w:spacing w:before="156" w:beforeLines="50" w:after="156" w:afterLines="50" w:line="400" w:lineRule="exact"/>
        <w:outlineLvl w:val="2"/>
        <w:rPr>
          <w:rFonts w:eastAsia="黑体"/>
          <w:color w:val="auto"/>
          <w:sz w:val="28"/>
          <w:szCs w:val="28"/>
        </w:rPr>
      </w:pPr>
      <w:bookmarkStart w:id="41" w:name="_Toc193967324"/>
      <w:bookmarkStart w:id="42" w:name="_Toc6250"/>
      <w:bookmarkStart w:id="43" w:name="_Toc192967088"/>
      <w:r>
        <w:rPr>
          <w:rFonts w:eastAsia="黑体"/>
          <w:color w:val="auto"/>
          <w:sz w:val="28"/>
          <w:szCs w:val="28"/>
        </w:rPr>
        <w:t xml:space="preserve">1.2.2 </w:t>
      </w:r>
      <w:r>
        <w:rPr>
          <w:rFonts w:hint="eastAsia" w:eastAsia="黑体"/>
          <w:color w:val="auto"/>
          <w:sz w:val="28"/>
          <w:szCs w:val="28"/>
        </w:rPr>
        <w:t>电网项目综合评估研究现状</w:t>
      </w:r>
      <w:bookmarkEnd w:id="41"/>
    </w:p>
    <w:p w14:paraId="62158F0B">
      <w:pPr>
        <w:spacing w:line="400" w:lineRule="exact"/>
        <w:ind w:firstLine="480" w:firstLineChars="200"/>
        <w:rPr>
          <w:color w:val="auto"/>
        </w:rPr>
      </w:pPr>
      <w:r>
        <w:rPr>
          <w:rFonts w:hint="eastAsia"/>
          <w:color w:val="auto"/>
        </w:rPr>
        <w:t>在新型电力系统加速构建的背景下，电网项目综合评估研究逐步突破传统财务评估框架，形成涵盖技术性能、社会效益、环境影响的立体化评估范式。杨太华（2022）在新能源项目安全成本研究中构建了全生命周期成本模型，阐述了安全投入与系统可靠性的非线性关系，为电网项目经济性评估提供了成本量化基准</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_Ref193808430 \r \h</w:instrText>
      </w:r>
      <w:r>
        <w:rPr>
          <w:color w:val="auto"/>
          <w:vertAlign w:val="superscript"/>
        </w:rPr>
        <w:instrText xml:space="preserve">  \* MERGEFORMAT </w:instrText>
      </w:r>
      <w:r>
        <w:rPr>
          <w:color w:val="auto"/>
          <w:vertAlign w:val="superscript"/>
        </w:rPr>
        <w:fldChar w:fldCharType="separate"/>
      </w:r>
      <w:r>
        <w:rPr>
          <w:color w:val="auto"/>
          <w:vertAlign w:val="superscript"/>
        </w:rPr>
        <w:t>[16]</w:t>
      </w:r>
      <w:r>
        <w:rPr>
          <w:color w:val="auto"/>
          <w:vertAlign w:val="superscript"/>
        </w:rPr>
        <w:fldChar w:fldCharType="end"/>
      </w:r>
      <w:r>
        <w:rPr>
          <w:rFonts w:hint="eastAsia"/>
          <w:color w:val="auto"/>
        </w:rPr>
        <w:t>。周晓刚等（2024）提出的储能电网综合评估体系引入了储能调节系数，采用层次分析法将技术指标与经济指标有机结合，研究成果在区域电网改造项目中得到实证应用</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_Ref193808534 \r \h</w:instrText>
      </w:r>
      <w:r>
        <w:rPr>
          <w:color w:val="auto"/>
          <w:vertAlign w:val="superscript"/>
        </w:rPr>
        <w:instrText xml:space="preserve">  \* MERGEFORMAT </w:instrText>
      </w:r>
      <w:r>
        <w:rPr>
          <w:color w:val="auto"/>
          <w:vertAlign w:val="superscript"/>
        </w:rPr>
        <w:fldChar w:fldCharType="separate"/>
      </w:r>
      <w:r>
        <w:rPr>
          <w:color w:val="auto"/>
          <w:vertAlign w:val="superscript"/>
        </w:rPr>
        <w:t>[17]</w:t>
      </w:r>
      <w:r>
        <w:rPr>
          <w:color w:val="auto"/>
          <w:vertAlign w:val="superscript"/>
        </w:rPr>
        <w:fldChar w:fldCharType="end"/>
      </w:r>
      <w:r>
        <w:rPr>
          <w:rFonts w:hint="eastAsia"/>
          <w:color w:val="auto"/>
        </w:rPr>
        <w:t>。在技术经济分析层面，国内外研究均呈现差异化特征。肖博（2023）等针对电网侧电池储能电站开发了包含23项核心指标的评估模型，突出全寿命周期成本与能量转换效率的协同优化</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_Ref193808607 \r \h</w:instrText>
      </w:r>
      <w:r>
        <w:rPr>
          <w:color w:val="auto"/>
          <w:vertAlign w:val="superscript"/>
        </w:rPr>
        <w:instrText xml:space="preserve">  \* MERGEFORMAT </w:instrText>
      </w:r>
      <w:r>
        <w:rPr>
          <w:color w:val="auto"/>
          <w:vertAlign w:val="superscript"/>
        </w:rPr>
        <w:fldChar w:fldCharType="separate"/>
      </w:r>
      <w:r>
        <w:rPr>
          <w:color w:val="auto"/>
          <w:vertAlign w:val="superscript"/>
        </w:rPr>
        <w:t>[18]</w:t>
      </w:r>
      <w:r>
        <w:rPr>
          <w:color w:val="auto"/>
          <w:vertAlign w:val="superscript"/>
        </w:rPr>
        <w:fldChar w:fldCharType="end"/>
      </w:r>
      <w:r>
        <w:rPr>
          <w:rFonts w:hint="eastAsia"/>
          <w:color w:val="auto"/>
        </w:rPr>
        <w:t>。Kiasari（2024）等梳理了智能电网技术集成路径，指出机器学习算法与储能系统的协同应用可提升电网项目技术经济性达12%-15%</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_Ref193808703 \r \h</w:instrText>
      </w:r>
      <w:r>
        <w:rPr>
          <w:color w:val="auto"/>
          <w:vertAlign w:val="superscript"/>
        </w:rPr>
        <w:instrText xml:space="preserve">  \* MERGEFORMAT </w:instrText>
      </w:r>
      <w:r>
        <w:rPr>
          <w:color w:val="auto"/>
          <w:vertAlign w:val="superscript"/>
        </w:rPr>
        <w:fldChar w:fldCharType="separate"/>
      </w:r>
      <w:r>
        <w:rPr>
          <w:color w:val="auto"/>
          <w:vertAlign w:val="superscript"/>
        </w:rPr>
        <w:t>[19]</w:t>
      </w:r>
      <w:r>
        <w:rPr>
          <w:color w:val="auto"/>
          <w:vertAlign w:val="superscript"/>
        </w:rPr>
        <w:fldChar w:fldCharType="end"/>
      </w:r>
      <w:r>
        <w:rPr>
          <w:rFonts w:hint="eastAsia"/>
          <w:color w:val="auto"/>
        </w:rPr>
        <w:t>。而Mainardi（2024）对非洲电力联营体的实证研究表明，跨境电网项目的经济性评估需重点考量制度差异与交易成本，这一发现对我国跨国电力互联项目评估具有启示价值</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_Ref193809170 \r \h</w:instrText>
      </w:r>
      <w:r>
        <w:rPr>
          <w:color w:val="auto"/>
          <w:vertAlign w:val="superscript"/>
        </w:rPr>
        <w:instrText xml:space="preserve">  \* MERGEFORMAT </w:instrText>
      </w:r>
      <w:r>
        <w:rPr>
          <w:color w:val="auto"/>
          <w:vertAlign w:val="superscript"/>
        </w:rPr>
        <w:fldChar w:fldCharType="separate"/>
      </w:r>
      <w:r>
        <w:rPr>
          <w:color w:val="auto"/>
          <w:vertAlign w:val="superscript"/>
        </w:rPr>
        <w:t>[20]</w:t>
      </w:r>
      <w:r>
        <w:rPr>
          <w:color w:val="auto"/>
          <w:vertAlign w:val="superscript"/>
        </w:rPr>
        <w:fldChar w:fldCharType="end"/>
      </w:r>
      <w:r>
        <w:rPr>
          <w:rFonts w:hint="eastAsia"/>
          <w:color w:val="auto"/>
        </w:rPr>
        <w:t>。另外综合评估方法学创新成为近年来的研究热点。易俊（2024）提出新型电力系统发展水平指数（NPS-DI），采用熵权-TOPSIS组合赋权法实现多维指标动态聚合，研究成果在省级电网评估中验证了方法的适用性</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_Ref193809368 \r \h</w:instrText>
      </w:r>
      <w:r>
        <w:rPr>
          <w:color w:val="auto"/>
          <w:vertAlign w:val="superscript"/>
        </w:rPr>
        <w:instrText xml:space="preserve">  \* MERGEFORMAT </w:instrText>
      </w:r>
      <w:r>
        <w:rPr>
          <w:color w:val="auto"/>
          <w:vertAlign w:val="superscript"/>
        </w:rPr>
        <w:fldChar w:fldCharType="separate"/>
      </w:r>
      <w:r>
        <w:rPr>
          <w:color w:val="auto"/>
          <w:vertAlign w:val="superscript"/>
        </w:rPr>
        <w:t>[21]</w:t>
      </w:r>
      <w:r>
        <w:rPr>
          <w:color w:val="auto"/>
          <w:vertAlign w:val="superscript"/>
        </w:rPr>
        <w:fldChar w:fldCharType="end"/>
      </w:r>
      <w:r>
        <w:rPr>
          <w:rFonts w:hint="eastAsia"/>
          <w:color w:val="auto"/>
        </w:rPr>
        <w:t>。Guerra（2024）等将物理信息神经网络（PINNs）引入暂态稳定性评估，开创了智能算法与电力系统分析融合的新范式</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_Ref193809392 \r \h</w:instrText>
      </w:r>
      <w:r>
        <w:rPr>
          <w:color w:val="auto"/>
          <w:vertAlign w:val="superscript"/>
        </w:rPr>
        <w:instrText xml:space="preserve">  \* MERGEFORMAT </w:instrText>
      </w:r>
      <w:r>
        <w:rPr>
          <w:color w:val="auto"/>
          <w:vertAlign w:val="superscript"/>
        </w:rPr>
        <w:fldChar w:fldCharType="separate"/>
      </w:r>
      <w:r>
        <w:rPr>
          <w:color w:val="auto"/>
          <w:vertAlign w:val="superscript"/>
        </w:rPr>
        <w:t>[22]</w:t>
      </w:r>
      <w:r>
        <w:rPr>
          <w:color w:val="auto"/>
          <w:vertAlign w:val="superscript"/>
        </w:rPr>
        <w:fldChar w:fldCharType="end"/>
      </w:r>
      <w:r>
        <w:rPr>
          <w:rFonts w:hint="eastAsia"/>
          <w:color w:val="auto"/>
        </w:rPr>
        <w:t>。相较下，雷川丽（2024）构建的电网投资项目后评估模型强调全周期动态跟踪，设置12个关键控制节点实现投资偏差的实时预警</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_Ref193809590 \r \h</w:instrText>
      </w:r>
      <w:r>
        <w:rPr>
          <w:color w:val="auto"/>
          <w:vertAlign w:val="superscript"/>
        </w:rPr>
        <w:instrText xml:space="preserve">  \* MERGEFORMAT </w:instrText>
      </w:r>
      <w:r>
        <w:rPr>
          <w:color w:val="auto"/>
          <w:vertAlign w:val="superscript"/>
        </w:rPr>
        <w:fldChar w:fldCharType="separate"/>
      </w:r>
      <w:r>
        <w:rPr>
          <w:color w:val="auto"/>
          <w:vertAlign w:val="superscript"/>
        </w:rPr>
        <w:t>[23]</w:t>
      </w:r>
      <w:r>
        <w:rPr>
          <w:color w:val="auto"/>
          <w:vertAlign w:val="superscript"/>
        </w:rPr>
        <w:fldChar w:fldCharType="end"/>
      </w:r>
      <w:r>
        <w:rPr>
          <w:rFonts w:hint="eastAsia"/>
          <w:color w:val="auto"/>
        </w:rPr>
        <w:t>。Marlin（2024）对最大功率跟踪算法的比较研究表明，改进型灰狼优化器在光伏并网项目中具有最优收敛特性，结论为新能源接入项目评估提供了算法选择依据</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_Ref193809598 \r \h</w:instrText>
      </w:r>
      <w:r>
        <w:rPr>
          <w:color w:val="auto"/>
          <w:vertAlign w:val="superscript"/>
        </w:rPr>
        <w:instrText xml:space="preserve">  \* MERGEFORMAT </w:instrText>
      </w:r>
      <w:r>
        <w:rPr>
          <w:color w:val="auto"/>
          <w:vertAlign w:val="superscript"/>
        </w:rPr>
        <w:fldChar w:fldCharType="separate"/>
      </w:r>
      <w:r>
        <w:rPr>
          <w:color w:val="auto"/>
          <w:vertAlign w:val="superscript"/>
        </w:rPr>
        <w:t>[24]</w:t>
      </w:r>
      <w:r>
        <w:rPr>
          <w:color w:val="auto"/>
          <w:vertAlign w:val="superscript"/>
        </w:rPr>
        <w:fldChar w:fldCharType="end"/>
      </w:r>
      <w:r>
        <w:rPr>
          <w:rFonts w:hint="eastAsia"/>
          <w:color w:val="auto"/>
        </w:rPr>
        <w:t>。</w:t>
      </w:r>
    </w:p>
    <w:p w14:paraId="171279ED">
      <w:pPr>
        <w:spacing w:before="156" w:beforeLines="50" w:after="156" w:afterLines="50" w:line="400" w:lineRule="exact"/>
        <w:outlineLvl w:val="2"/>
        <w:rPr>
          <w:rFonts w:eastAsia="黑体"/>
          <w:color w:val="auto"/>
          <w:sz w:val="28"/>
          <w:szCs w:val="28"/>
        </w:rPr>
      </w:pPr>
      <w:bookmarkStart w:id="44" w:name="_Toc193967325"/>
      <w:r>
        <w:rPr>
          <w:rFonts w:hint="eastAsia" w:eastAsia="黑体"/>
          <w:color w:val="auto"/>
          <w:sz w:val="28"/>
          <w:szCs w:val="28"/>
        </w:rPr>
        <w:t>1.2.3电网投资能力测算研究现状</w:t>
      </w:r>
      <w:bookmarkEnd w:id="44"/>
    </w:p>
    <w:p w14:paraId="11BCC7D2">
      <w:pPr>
        <w:spacing w:line="400" w:lineRule="exact"/>
        <w:ind w:firstLine="480" w:firstLineChars="200"/>
        <w:rPr>
          <w:rFonts w:hint="eastAsia"/>
          <w:color w:val="auto"/>
        </w:rPr>
      </w:pPr>
      <w:r>
        <w:rPr>
          <w:rFonts w:hint="eastAsia"/>
          <w:color w:val="auto"/>
        </w:rPr>
        <w:t>在电网投资测算方法体系构建方面，袁亚（2024）等提出的全生命周期经济性评估模型，采用动态现金流量分析，将传统静态财务指标升级为包含设备寿命周期、运维成本波动等要素的复合测算框架</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_Ref193813157 \r \h</w:instrText>
      </w:r>
      <w:r>
        <w:rPr>
          <w:color w:val="auto"/>
          <w:vertAlign w:val="superscript"/>
        </w:rPr>
        <w:instrText xml:space="preserve">  \* MERGEFORMAT </w:instrText>
      </w:r>
      <w:r>
        <w:rPr>
          <w:color w:val="auto"/>
          <w:vertAlign w:val="superscript"/>
        </w:rPr>
        <w:fldChar w:fldCharType="separate"/>
      </w:r>
      <w:r>
        <w:rPr>
          <w:color w:val="auto"/>
          <w:vertAlign w:val="superscript"/>
        </w:rPr>
        <w:t>[25]</w:t>
      </w:r>
      <w:r>
        <w:rPr>
          <w:color w:val="auto"/>
          <w:vertAlign w:val="superscript"/>
        </w:rPr>
        <w:fldChar w:fldCharType="end"/>
      </w:r>
      <w:r>
        <w:rPr>
          <w:rFonts w:hint="eastAsia"/>
          <w:color w:val="auto"/>
        </w:rPr>
        <w:t>。冯爽爽（2023）提出的“能力—需求”二元评估模型，将电网企业资产负荷率、设备健康指数等内生变量与区域经济发展需求等外生变量进行耦合分析，为投资决策提供了动态平衡机制。这些方法演进表明，现代投资测算正从单一经济维度向多目标协同决策转变。可靠性约束对投资能力的影响机制研究也取得突破性进展</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_Ref193813192 \r \h</w:instrText>
      </w:r>
      <w:r>
        <w:rPr>
          <w:color w:val="auto"/>
          <w:vertAlign w:val="superscript"/>
        </w:rPr>
        <w:instrText xml:space="preserve">  \* MERGEFORMAT </w:instrText>
      </w:r>
      <w:r>
        <w:rPr>
          <w:color w:val="auto"/>
          <w:vertAlign w:val="superscript"/>
        </w:rPr>
        <w:fldChar w:fldCharType="separate"/>
      </w:r>
      <w:r>
        <w:rPr>
          <w:color w:val="auto"/>
          <w:vertAlign w:val="superscript"/>
        </w:rPr>
        <w:t>[26]</w:t>
      </w:r>
      <w:r>
        <w:rPr>
          <w:color w:val="auto"/>
          <w:vertAlign w:val="superscript"/>
        </w:rPr>
        <w:fldChar w:fldCharType="end"/>
      </w:r>
      <w:r>
        <w:rPr>
          <w:rFonts w:hint="eastAsia"/>
          <w:color w:val="auto"/>
        </w:rPr>
        <w:t>。杨满载（2022）在新型电力系统背景下提出的韧性电网规划技术，创新点在于将极端气候风险概率纳入投资测算模型，使规划方案的投资回报周期计算更贴合实际运营场景</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_Ref193994973 \r \h</w:instrText>
      </w:r>
      <w:r>
        <w:rPr>
          <w:color w:val="auto"/>
          <w:vertAlign w:val="superscript"/>
        </w:rPr>
        <w:instrText xml:space="preserve">  \* MERGEFORMAT </w:instrText>
      </w:r>
      <w:r>
        <w:rPr>
          <w:color w:val="auto"/>
          <w:vertAlign w:val="superscript"/>
        </w:rPr>
        <w:fldChar w:fldCharType="separate"/>
      </w:r>
      <w:r>
        <w:rPr>
          <w:color w:val="auto"/>
          <w:vertAlign w:val="superscript"/>
        </w:rPr>
        <w:t>[27]</w:t>
      </w:r>
      <w:r>
        <w:rPr>
          <w:color w:val="auto"/>
          <w:vertAlign w:val="superscript"/>
        </w:rPr>
        <w:fldChar w:fldCharType="end"/>
      </w:r>
      <w:r>
        <w:rPr>
          <w:rFonts w:hint="eastAsia"/>
          <w:color w:val="auto"/>
        </w:rPr>
        <w:t>。Abdulwahed（2024）等针对风电场的阵列损耗研究，从微观层面验证了设备布局优化带来的投资效益提升，采用的RETScreen软件建模方法为特定项目投资测算提供了工具创新</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_Ref193994993 \r \h</w:instrText>
      </w:r>
      <w:r>
        <w:rPr>
          <w:color w:val="auto"/>
          <w:vertAlign w:val="superscript"/>
        </w:rPr>
        <w:instrText xml:space="preserve">  \* MERGEFORMAT </w:instrText>
      </w:r>
      <w:r>
        <w:rPr>
          <w:color w:val="auto"/>
          <w:vertAlign w:val="superscript"/>
        </w:rPr>
        <w:fldChar w:fldCharType="separate"/>
      </w:r>
      <w:r>
        <w:rPr>
          <w:color w:val="auto"/>
          <w:vertAlign w:val="superscript"/>
        </w:rPr>
        <w:t>[28]</w:t>
      </w:r>
      <w:r>
        <w:rPr>
          <w:color w:val="auto"/>
          <w:vertAlign w:val="superscript"/>
        </w:rPr>
        <w:fldChar w:fldCharType="end"/>
      </w:r>
      <w:r>
        <w:rPr>
          <w:rFonts w:hint="eastAsia"/>
          <w:color w:val="auto"/>
        </w:rPr>
        <w:t>。政策环境与市场机制对投资能力的影响研究也呈现多种学科交叉特征。尹硕（2023）等构建的输配电价改革背景下的投资协调模型，引入价格传导系数和投资弹性系数，定量揭示了管制政策对电网企业投资能力的约束强度</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_Ref193813219 \r \h</w:instrText>
      </w:r>
      <w:r>
        <w:rPr>
          <w:color w:val="auto"/>
          <w:vertAlign w:val="superscript"/>
        </w:rPr>
        <w:instrText xml:space="preserve">  \* MERGEFORMAT </w:instrText>
      </w:r>
      <w:r>
        <w:rPr>
          <w:color w:val="auto"/>
          <w:vertAlign w:val="superscript"/>
        </w:rPr>
        <w:fldChar w:fldCharType="separate"/>
      </w:r>
      <w:r>
        <w:rPr>
          <w:color w:val="auto"/>
          <w:vertAlign w:val="superscript"/>
        </w:rPr>
        <w:t>[29]</w:t>
      </w:r>
      <w:r>
        <w:rPr>
          <w:color w:val="auto"/>
          <w:vertAlign w:val="superscript"/>
        </w:rPr>
        <w:fldChar w:fldCharType="end"/>
      </w:r>
      <w:r>
        <w:rPr>
          <w:rFonts w:hint="eastAsia"/>
          <w:color w:val="auto"/>
        </w:rPr>
        <w:t>。Mohseni（2024）等在微电网投资规划中整合博弈论需求响应机制的研究，建立的Nash均衡求解模型为分布式能源投资测算提供了新范式</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_Ref193813228 \r \h</w:instrText>
      </w:r>
      <w:r>
        <w:rPr>
          <w:color w:val="auto"/>
          <w:vertAlign w:val="superscript"/>
        </w:rPr>
        <w:instrText xml:space="preserve">  \* MERGEFORMAT </w:instrText>
      </w:r>
      <w:r>
        <w:rPr>
          <w:color w:val="auto"/>
          <w:vertAlign w:val="superscript"/>
        </w:rPr>
        <w:fldChar w:fldCharType="separate"/>
      </w:r>
      <w:r>
        <w:rPr>
          <w:color w:val="auto"/>
          <w:vertAlign w:val="superscript"/>
        </w:rPr>
        <w:t>[30]</w:t>
      </w:r>
      <w:r>
        <w:rPr>
          <w:color w:val="auto"/>
          <w:vertAlign w:val="superscript"/>
        </w:rPr>
        <w:fldChar w:fldCharType="end"/>
      </w:r>
      <w:r>
        <w:rPr>
          <w:rFonts w:hint="eastAsia"/>
          <w:color w:val="auto"/>
        </w:rPr>
        <w:t>。李少强（2024）探讨了统计核算方法变革对投资精准度的影响，其构建的“三算合一”核算体系使项目投资偏差率降低了8.3个百分点，为投资测算基础数据治理提供了重要参考</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_Ref193813238 \r \h</w:instrText>
      </w:r>
      <w:r>
        <w:rPr>
          <w:color w:val="auto"/>
          <w:vertAlign w:val="superscript"/>
        </w:rPr>
        <w:instrText xml:space="preserve">  \* MERGEFORMAT </w:instrText>
      </w:r>
      <w:r>
        <w:rPr>
          <w:color w:val="auto"/>
          <w:vertAlign w:val="superscript"/>
        </w:rPr>
        <w:fldChar w:fldCharType="separate"/>
      </w:r>
      <w:r>
        <w:rPr>
          <w:color w:val="auto"/>
          <w:vertAlign w:val="superscript"/>
        </w:rPr>
        <w:t>[31]</w:t>
      </w:r>
      <w:r>
        <w:rPr>
          <w:color w:val="auto"/>
          <w:vertAlign w:val="superscript"/>
        </w:rPr>
        <w:fldChar w:fldCharType="end"/>
      </w:r>
      <w:r>
        <w:rPr>
          <w:rFonts w:hint="eastAsia"/>
          <w:color w:val="auto"/>
        </w:rPr>
        <w:t>。</w:t>
      </w:r>
    </w:p>
    <w:p w14:paraId="03BEEDD5">
      <w:pPr>
        <w:spacing w:before="156" w:beforeLines="50" w:after="156" w:afterLines="50" w:line="400" w:lineRule="exact"/>
        <w:outlineLvl w:val="2"/>
        <w:rPr>
          <w:rFonts w:eastAsia="黑体"/>
          <w:color w:val="auto"/>
          <w:sz w:val="28"/>
          <w:szCs w:val="28"/>
        </w:rPr>
      </w:pPr>
      <w:bookmarkStart w:id="45" w:name="_Toc193967326"/>
      <w:r>
        <w:rPr>
          <w:rFonts w:hint="eastAsia" w:eastAsia="黑体"/>
          <w:color w:val="auto"/>
          <w:sz w:val="28"/>
          <w:szCs w:val="28"/>
        </w:rPr>
        <w:t>1.2.4</w:t>
      </w:r>
      <w:r>
        <w:rPr>
          <w:rFonts w:eastAsia="黑体"/>
          <w:color w:val="auto"/>
          <w:sz w:val="28"/>
          <w:szCs w:val="28"/>
        </w:rPr>
        <w:t>电网项目投资决策研究现状</w:t>
      </w:r>
      <w:bookmarkEnd w:id="42"/>
      <w:bookmarkEnd w:id="43"/>
      <w:bookmarkEnd w:id="45"/>
    </w:p>
    <w:p w14:paraId="4EB6C4E4">
      <w:pPr>
        <w:spacing w:line="400" w:lineRule="exact"/>
        <w:ind w:firstLine="480" w:firstLineChars="200"/>
        <w:rPr>
          <w:color w:val="auto"/>
        </w:rPr>
      </w:pPr>
      <w:r>
        <w:rPr>
          <w:color w:val="auto"/>
        </w:rPr>
        <w:t>电网项目投资决策是电力系统规划与运营中的关键环节。随着新型电力系统的建设，</w:t>
      </w:r>
      <w:r>
        <w:rPr>
          <w:rFonts w:hint="eastAsia"/>
          <w:color w:val="auto"/>
        </w:rPr>
        <w:t>当前的</w:t>
      </w:r>
      <w:r>
        <w:rPr>
          <w:color w:val="auto"/>
        </w:rPr>
        <w:t>研究</w:t>
      </w:r>
      <w:r>
        <w:rPr>
          <w:rFonts w:hint="eastAsia"/>
          <w:color w:val="auto"/>
        </w:rPr>
        <w:t>主要聚焦在电网项目投资决策模型构建和电网项目投资决策模型优化求解两方面</w:t>
      </w:r>
      <w:r>
        <w:rPr>
          <w:color w:val="auto"/>
        </w:rPr>
        <w:t>。</w:t>
      </w:r>
    </w:p>
    <w:p w14:paraId="54AC47BA">
      <w:pPr>
        <w:spacing w:line="400" w:lineRule="exact"/>
        <w:ind w:firstLine="480" w:firstLineChars="200"/>
        <w:rPr>
          <w:rFonts w:hint="eastAsia"/>
          <w:color w:val="auto"/>
        </w:rPr>
      </w:pPr>
      <w:r>
        <w:rPr>
          <w:color w:val="auto"/>
        </w:rPr>
        <w:t>（1）电网</w:t>
      </w:r>
      <w:r>
        <w:rPr>
          <w:rFonts w:hint="eastAsia"/>
          <w:color w:val="auto"/>
        </w:rPr>
        <w:t>项目</w:t>
      </w:r>
      <w:r>
        <w:rPr>
          <w:color w:val="auto"/>
        </w:rPr>
        <w:t>投资决策</w:t>
      </w:r>
      <w:r>
        <w:rPr>
          <w:rFonts w:hint="eastAsia"/>
          <w:color w:val="auto"/>
        </w:rPr>
        <w:t>模型构建</w:t>
      </w:r>
    </w:p>
    <w:p w14:paraId="322A37A8">
      <w:pPr>
        <w:spacing w:line="400" w:lineRule="exact"/>
        <w:ind w:firstLine="480" w:firstLineChars="200"/>
        <w:rPr>
          <w:rFonts w:hint="eastAsia"/>
          <w:color w:val="auto"/>
        </w:rPr>
      </w:pPr>
      <w:r>
        <w:rPr>
          <w:rFonts w:hint="eastAsia"/>
          <w:color w:val="auto"/>
        </w:rPr>
        <w:t>刘明华（2019）等考虑电网</w:t>
      </w:r>
      <w:r>
        <w:rPr>
          <w:color w:val="auto"/>
        </w:rPr>
        <w:t>项目</w:t>
      </w:r>
      <w:r>
        <w:rPr>
          <w:rFonts w:hint="eastAsia"/>
          <w:color w:val="auto"/>
        </w:rPr>
        <w:t>投资</w:t>
      </w:r>
      <w:r>
        <w:rPr>
          <w:color w:val="auto"/>
        </w:rPr>
        <w:t>的综合风险和投入产出</w:t>
      </w:r>
      <w:r>
        <w:rPr>
          <w:rFonts w:hint="eastAsia"/>
          <w:color w:val="auto"/>
        </w:rPr>
        <w:t>，提出了一种</w:t>
      </w:r>
      <w:r>
        <w:rPr>
          <w:color w:val="auto"/>
        </w:rPr>
        <w:t>基于</w:t>
      </w:r>
      <w:r>
        <w:rPr>
          <w:rFonts w:hint="eastAsia"/>
          <w:color w:val="auto"/>
        </w:rPr>
        <w:t>DMCW</w:t>
      </w:r>
      <w:r>
        <w:rPr>
          <w:color w:val="auto"/>
        </w:rPr>
        <w:t>的电网建设项目投资决策模型</w:t>
      </w:r>
      <w:r>
        <w:rPr>
          <w:rFonts w:hint="eastAsia"/>
          <w:color w:val="auto"/>
        </w:rPr>
        <w:t>，能够有效识别投资风险和辅助投资决策</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_Ref193824087 \r \h</w:instrText>
      </w:r>
      <w:r>
        <w:rPr>
          <w:color w:val="auto"/>
          <w:vertAlign w:val="superscript"/>
        </w:rPr>
        <w:instrText xml:space="preserve">  \* MERGEFORMAT </w:instrText>
      </w:r>
      <w:r>
        <w:rPr>
          <w:color w:val="auto"/>
          <w:vertAlign w:val="superscript"/>
        </w:rPr>
        <w:fldChar w:fldCharType="separate"/>
      </w:r>
      <w:r>
        <w:rPr>
          <w:color w:val="auto"/>
          <w:vertAlign w:val="superscript"/>
        </w:rPr>
        <w:t>[32]</w:t>
      </w:r>
      <w:r>
        <w:rPr>
          <w:color w:val="auto"/>
          <w:vertAlign w:val="superscript"/>
        </w:rPr>
        <w:fldChar w:fldCharType="end"/>
      </w:r>
      <w:r>
        <w:rPr>
          <w:rFonts w:hint="eastAsia"/>
          <w:color w:val="auto"/>
        </w:rPr>
        <w:t>。余熠薇（2024）</w:t>
      </w:r>
      <w:r>
        <w:rPr>
          <w:color w:val="auto"/>
        </w:rPr>
        <w:t>以社会和环境的综合效益最优为目标</w:t>
      </w:r>
      <w:r>
        <w:rPr>
          <w:rFonts w:hint="eastAsia"/>
          <w:color w:val="auto"/>
        </w:rPr>
        <w:t>，</w:t>
      </w:r>
      <w:r>
        <w:rPr>
          <w:color w:val="auto"/>
        </w:rPr>
        <w:t>以经济效益为后续投资的反馈约束，以投资能力、项目属性等为常规约束，构建</w:t>
      </w:r>
      <w:r>
        <w:rPr>
          <w:rFonts w:hint="eastAsia"/>
          <w:color w:val="auto"/>
        </w:rPr>
        <w:t>了输配电价监审背景下的</w:t>
      </w:r>
      <w:r>
        <w:rPr>
          <w:color w:val="auto"/>
        </w:rPr>
        <w:t>电网投资决策模型</w:t>
      </w:r>
      <w:r>
        <w:rPr>
          <w:color w:val="auto"/>
          <w:vertAlign w:val="superscript"/>
        </w:rPr>
        <w:fldChar w:fldCharType="begin"/>
      </w:r>
      <w:r>
        <w:rPr>
          <w:color w:val="auto"/>
          <w:vertAlign w:val="superscript"/>
        </w:rPr>
        <w:instrText xml:space="preserve"> REF _Ref193824102 \r \h  \* MERGEFORMAT </w:instrText>
      </w:r>
      <w:r>
        <w:rPr>
          <w:color w:val="auto"/>
          <w:vertAlign w:val="superscript"/>
        </w:rPr>
        <w:fldChar w:fldCharType="separate"/>
      </w:r>
      <w:r>
        <w:rPr>
          <w:color w:val="auto"/>
          <w:vertAlign w:val="superscript"/>
        </w:rPr>
        <w:t>[33]</w:t>
      </w:r>
      <w:r>
        <w:rPr>
          <w:color w:val="auto"/>
          <w:vertAlign w:val="superscript"/>
        </w:rPr>
        <w:fldChar w:fldCharType="end"/>
      </w:r>
      <w:r>
        <w:rPr>
          <w:rFonts w:hint="eastAsia"/>
          <w:color w:val="auto"/>
        </w:rPr>
        <w:t>。杨启雄（2023）基于电网项目安全、经济、社会效益最大化构造多目标投资效率测度函数，融合投资能力等约束，建立了</w:t>
      </w:r>
      <w:r>
        <w:rPr>
          <w:color w:val="auto"/>
        </w:rPr>
        <w:t>计及投资效率和财务风险的</w:t>
      </w:r>
      <w:r>
        <w:rPr>
          <w:rFonts w:hint="eastAsia"/>
          <w:color w:val="auto"/>
        </w:rPr>
        <w:t>电网项目投资组合优化模型</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_Ref193824120 \r \h</w:instrText>
      </w:r>
      <w:r>
        <w:rPr>
          <w:color w:val="auto"/>
          <w:vertAlign w:val="superscript"/>
        </w:rPr>
        <w:instrText xml:space="preserve">  \* MERGEFORMAT </w:instrText>
      </w:r>
      <w:r>
        <w:rPr>
          <w:color w:val="auto"/>
          <w:vertAlign w:val="superscript"/>
        </w:rPr>
        <w:fldChar w:fldCharType="separate"/>
      </w:r>
      <w:r>
        <w:rPr>
          <w:color w:val="auto"/>
          <w:vertAlign w:val="superscript"/>
        </w:rPr>
        <w:t>[34]</w:t>
      </w:r>
      <w:r>
        <w:rPr>
          <w:color w:val="auto"/>
          <w:vertAlign w:val="superscript"/>
        </w:rPr>
        <w:fldChar w:fldCharType="end"/>
      </w:r>
      <w:r>
        <w:rPr>
          <w:rFonts w:hint="eastAsia"/>
          <w:color w:val="auto"/>
        </w:rPr>
        <w:t>。</w:t>
      </w:r>
      <w:r>
        <w:rPr>
          <w:color w:val="auto"/>
        </w:rPr>
        <w:t>李刚等人（2024）探讨了新型电力系统中大模型驱动技术在处理复杂的电网投资决策问题上展现出显著的优势，尤其是在数据处理和预测分析方面，能够为决策者提供更为全面和精确的信息支持</w:t>
      </w:r>
      <w:r>
        <w:rPr>
          <w:color w:val="auto"/>
          <w:vertAlign w:val="superscript"/>
        </w:rPr>
        <w:fldChar w:fldCharType="begin"/>
      </w:r>
      <w:r>
        <w:rPr>
          <w:color w:val="auto"/>
          <w:vertAlign w:val="superscript"/>
        </w:rPr>
        <w:instrText xml:space="preserve"> REF _Ref193824169 \r \h  \* MERGEFORMAT </w:instrText>
      </w:r>
      <w:r>
        <w:rPr>
          <w:color w:val="auto"/>
          <w:vertAlign w:val="superscript"/>
        </w:rPr>
        <w:fldChar w:fldCharType="separate"/>
      </w:r>
      <w:r>
        <w:rPr>
          <w:color w:val="auto"/>
          <w:vertAlign w:val="superscript"/>
        </w:rPr>
        <w:t>[35]</w:t>
      </w:r>
      <w:r>
        <w:rPr>
          <w:color w:val="auto"/>
          <w:vertAlign w:val="superscript"/>
        </w:rPr>
        <w:fldChar w:fldCharType="end"/>
      </w:r>
      <w:r>
        <w:rPr>
          <w:color w:val="auto"/>
        </w:rPr>
        <w:t>。张哲亮（2023）在源-网-荷-储一体化的背景下，</w:t>
      </w:r>
      <w:r>
        <w:rPr>
          <w:rFonts w:hint="eastAsia"/>
          <w:color w:val="auto"/>
        </w:rPr>
        <w:t>构建了</w:t>
      </w:r>
      <w:r>
        <w:rPr>
          <w:color w:val="auto"/>
        </w:rPr>
        <w:t>复杂电网投资决策指标体系</w:t>
      </w:r>
      <w:r>
        <w:rPr>
          <w:rFonts w:hint="eastAsia"/>
          <w:color w:val="auto"/>
        </w:rPr>
        <w:t>模型</w:t>
      </w:r>
      <w:r>
        <w:rPr>
          <w:color w:val="auto"/>
        </w:rPr>
        <w:t>。他们提出了一套全新的指标体系，这套体系创新性地综合了经济性、可靠性和环保性三个维度，有助于提升</w:t>
      </w:r>
      <w:r>
        <w:rPr>
          <w:rFonts w:hint="eastAsia"/>
          <w:color w:val="auto"/>
        </w:rPr>
        <w:t>电网项目</w:t>
      </w:r>
      <w:r>
        <w:rPr>
          <w:color w:val="auto"/>
        </w:rPr>
        <w:t>投资决策的整体质量</w:t>
      </w:r>
      <w:r>
        <w:rPr>
          <w:color w:val="auto"/>
          <w:vertAlign w:val="superscript"/>
        </w:rPr>
        <w:fldChar w:fldCharType="begin"/>
      </w:r>
      <w:r>
        <w:rPr>
          <w:color w:val="auto"/>
          <w:vertAlign w:val="superscript"/>
        </w:rPr>
        <w:instrText xml:space="preserve"> REF _Ref193102635 \r \h  \* MERGEFORMAT </w:instrText>
      </w:r>
      <w:r>
        <w:rPr>
          <w:color w:val="auto"/>
          <w:vertAlign w:val="superscript"/>
        </w:rPr>
        <w:fldChar w:fldCharType="separate"/>
      </w:r>
      <w:r>
        <w:rPr>
          <w:color w:val="auto"/>
          <w:vertAlign w:val="superscript"/>
        </w:rPr>
        <w:t>[36]</w:t>
      </w:r>
      <w:r>
        <w:rPr>
          <w:color w:val="auto"/>
          <w:vertAlign w:val="superscript"/>
        </w:rPr>
        <w:fldChar w:fldCharType="end"/>
      </w:r>
      <w:r>
        <w:rPr>
          <w:color w:val="auto"/>
        </w:rPr>
        <w:t>。黄琬迪等人（2023）通过构建鲁棒优化模型，致力于提升电网投资决策在不确定环境中的稳定性和适应性。他们的研究表明，鲁棒优化模型能够有效应对未来发展的不确定性，确保投资决策在不同情景下均能保持较高的效率和可靠性</w:t>
      </w:r>
      <w:r>
        <w:rPr>
          <w:color w:val="auto"/>
          <w:vertAlign w:val="superscript"/>
        </w:rPr>
        <w:fldChar w:fldCharType="begin"/>
      </w:r>
      <w:r>
        <w:rPr>
          <w:color w:val="auto"/>
          <w:vertAlign w:val="superscript"/>
        </w:rPr>
        <w:instrText xml:space="preserve"> REF _Ref193102649 \r \h  \* MERGEFORMAT </w:instrText>
      </w:r>
      <w:r>
        <w:rPr>
          <w:color w:val="auto"/>
          <w:vertAlign w:val="superscript"/>
        </w:rPr>
        <w:fldChar w:fldCharType="separate"/>
      </w:r>
      <w:r>
        <w:rPr>
          <w:color w:val="auto"/>
          <w:vertAlign w:val="superscript"/>
        </w:rPr>
        <w:t>[37]</w:t>
      </w:r>
      <w:r>
        <w:rPr>
          <w:color w:val="auto"/>
          <w:vertAlign w:val="superscript"/>
        </w:rPr>
        <w:fldChar w:fldCharType="end"/>
      </w:r>
      <w:r>
        <w:rPr>
          <w:color w:val="auto"/>
        </w:rPr>
        <w:t>。赵会茹等人（2024）提出了一种创新的农网项目投资决策模型，该模型将乡村振兴的贡献度纳入考量，量化了社会效益。考虑社会责任的投资决策模型能够更好地符合当前社会对可持续发展的要求</w:t>
      </w:r>
      <w:r>
        <w:rPr>
          <w:color w:val="auto"/>
          <w:vertAlign w:val="superscript"/>
        </w:rPr>
        <w:fldChar w:fldCharType="begin"/>
      </w:r>
      <w:r>
        <w:rPr>
          <w:color w:val="auto"/>
          <w:vertAlign w:val="superscript"/>
        </w:rPr>
        <w:instrText xml:space="preserve"> REF _Ref193102662 \r \h  \* MERGEFORMAT </w:instrText>
      </w:r>
      <w:r>
        <w:rPr>
          <w:color w:val="auto"/>
          <w:vertAlign w:val="superscript"/>
        </w:rPr>
        <w:fldChar w:fldCharType="separate"/>
      </w:r>
      <w:r>
        <w:rPr>
          <w:color w:val="auto"/>
          <w:vertAlign w:val="superscript"/>
        </w:rPr>
        <w:t>[38]</w:t>
      </w:r>
      <w:r>
        <w:rPr>
          <w:color w:val="auto"/>
          <w:vertAlign w:val="superscript"/>
        </w:rPr>
        <w:fldChar w:fldCharType="end"/>
      </w:r>
      <w:r>
        <w:rPr>
          <w:color w:val="auto"/>
        </w:rPr>
        <w:t>。</w:t>
      </w:r>
    </w:p>
    <w:p w14:paraId="5E7B5B4A">
      <w:pPr>
        <w:spacing w:line="400" w:lineRule="exact"/>
        <w:ind w:firstLine="480" w:firstLineChars="200"/>
        <w:rPr>
          <w:color w:val="auto"/>
        </w:rPr>
      </w:pPr>
      <w:r>
        <w:rPr>
          <w:color w:val="auto"/>
        </w:rPr>
        <w:t>（3）</w:t>
      </w:r>
      <w:r>
        <w:rPr>
          <w:rFonts w:hint="eastAsia"/>
          <w:color w:val="auto"/>
        </w:rPr>
        <w:t>电网项目投资决策模型求解</w:t>
      </w:r>
    </w:p>
    <w:p w14:paraId="269E0CB8">
      <w:pPr>
        <w:spacing w:line="400" w:lineRule="exact"/>
        <w:ind w:firstLine="480" w:firstLineChars="200"/>
        <w:rPr>
          <w:color w:val="auto"/>
        </w:rPr>
      </w:pPr>
      <w:r>
        <w:rPr>
          <w:rFonts w:hint="eastAsia"/>
          <w:color w:val="auto"/>
        </w:rPr>
        <w:t>针对电网项目投资决策模型求解问题，常用的有经典算法、启发式算法等。为了有效提升对复杂问题的求解效率，当前应用启发式算法进行求解较多。贾凡（2024）从改进自适应参数角度出发，对传统和声搜索算法进行改进，分别调整和声微调率、和声采纳率和和声微调带宽，以得出各种需求响应情景下的电网投资项目组合方案</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_Ref193826548 \r \h</w:instrText>
      </w:r>
      <w:r>
        <w:rPr>
          <w:color w:val="auto"/>
          <w:vertAlign w:val="superscript"/>
        </w:rPr>
        <w:instrText xml:space="preserve">  \* MERGEFORMAT </w:instrText>
      </w:r>
      <w:r>
        <w:rPr>
          <w:color w:val="auto"/>
          <w:vertAlign w:val="superscript"/>
        </w:rPr>
        <w:fldChar w:fldCharType="separate"/>
      </w:r>
      <w:r>
        <w:rPr>
          <w:color w:val="auto"/>
          <w:vertAlign w:val="superscript"/>
        </w:rPr>
        <w:t>[39]</w:t>
      </w:r>
      <w:r>
        <w:rPr>
          <w:color w:val="auto"/>
          <w:vertAlign w:val="superscript"/>
        </w:rPr>
        <w:fldChar w:fldCharType="end"/>
      </w:r>
      <w:r>
        <w:rPr>
          <w:rFonts w:hint="eastAsia"/>
          <w:color w:val="auto"/>
        </w:rPr>
        <w:t>。</w:t>
      </w:r>
      <w:r>
        <w:rPr>
          <w:color w:val="auto"/>
        </w:rPr>
        <w:t>董智等学者（2024）引入了人工智能技术，</w:t>
      </w:r>
      <w:r>
        <w:rPr>
          <w:rFonts w:hint="eastAsia"/>
          <w:color w:val="auto"/>
        </w:rPr>
        <w:t>通过</w:t>
      </w:r>
      <w:r>
        <w:rPr>
          <w:color w:val="auto"/>
        </w:rPr>
        <w:t>机器学习和数据挖掘</w:t>
      </w:r>
      <w:r>
        <w:rPr>
          <w:rFonts w:hint="eastAsia"/>
          <w:color w:val="auto"/>
        </w:rPr>
        <w:t>等方法</w:t>
      </w:r>
      <w:r>
        <w:rPr>
          <w:color w:val="auto"/>
        </w:rPr>
        <w:t>，优化电网投资决策流程。</w:t>
      </w:r>
      <w:r>
        <w:rPr>
          <w:rFonts w:hint="eastAsia"/>
          <w:color w:val="auto"/>
        </w:rPr>
        <w:t>人工智能技术</w:t>
      </w:r>
      <w:r>
        <w:rPr>
          <w:color w:val="auto"/>
        </w:rPr>
        <w:t>在提升电网运营效率和降低投资风险方面</w:t>
      </w:r>
      <w:r>
        <w:rPr>
          <w:rFonts w:hint="eastAsia"/>
          <w:color w:val="auto"/>
        </w:rPr>
        <w:t>具有</w:t>
      </w:r>
      <w:r>
        <w:rPr>
          <w:color w:val="auto"/>
        </w:rPr>
        <w:t>显著优势</w:t>
      </w:r>
      <w:r>
        <w:rPr>
          <w:color w:val="auto"/>
          <w:vertAlign w:val="superscript"/>
        </w:rPr>
        <w:fldChar w:fldCharType="begin"/>
      </w:r>
      <w:r>
        <w:rPr>
          <w:color w:val="auto"/>
          <w:vertAlign w:val="superscript"/>
        </w:rPr>
        <w:instrText xml:space="preserve"> REF _Ref193102758 \r \h  \* MERGEFORMAT </w:instrText>
      </w:r>
      <w:r>
        <w:rPr>
          <w:color w:val="auto"/>
          <w:vertAlign w:val="superscript"/>
        </w:rPr>
        <w:fldChar w:fldCharType="separate"/>
      </w:r>
      <w:r>
        <w:rPr>
          <w:color w:val="auto"/>
          <w:vertAlign w:val="superscript"/>
        </w:rPr>
        <w:t>[40]</w:t>
      </w:r>
      <w:r>
        <w:rPr>
          <w:color w:val="auto"/>
          <w:vertAlign w:val="superscript"/>
        </w:rPr>
        <w:fldChar w:fldCharType="end"/>
      </w:r>
      <w:r>
        <w:rPr>
          <w:color w:val="auto"/>
        </w:rPr>
        <w:t>。</w:t>
      </w:r>
      <w:r>
        <w:rPr>
          <w:rFonts w:hint="eastAsia"/>
          <w:color w:val="auto"/>
        </w:rPr>
        <w:t>王永利（2023）等对传统差分进化算法进行优化，在进化前期让一部分约束违反度和目标函数同时较优的不可行解参与进化，加大搜索空间的范围，在进化后期让优秀程度最高的两个可行解同时参与进化，有效提升优化算法的求解效率</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_Ref193827590 \r \h</w:instrText>
      </w:r>
      <w:r>
        <w:rPr>
          <w:color w:val="auto"/>
          <w:vertAlign w:val="superscript"/>
        </w:rPr>
        <w:instrText xml:space="preserve">  \* MERGEFORMAT </w:instrText>
      </w:r>
      <w:r>
        <w:rPr>
          <w:color w:val="auto"/>
          <w:vertAlign w:val="superscript"/>
        </w:rPr>
        <w:fldChar w:fldCharType="separate"/>
      </w:r>
      <w:r>
        <w:rPr>
          <w:color w:val="auto"/>
          <w:vertAlign w:val="superscript"/>
        </w:rPr>
        <w:t>[41]</w:t>
      </w:r>
      <w:r>
        <w:rPr>
          <w:color w:val="auto"/>
          <w:vertAlign w:val="superscript"/>
        </w:rPr>
        <w:fldChar w:fldCharType="end"/>
      </w:r>
      <w:r>
        <w:rPr>
          <w:rFonts w:hint="eastAsia"/>
          <w:color w:val="auto"/>
        </w:rPr>
        <w:t>。谭忠富（2021）等</w:t>
      </w:r>
      <w:r>
        <w:rPr>
          <w:color w:val="auto"/>
        </w:rPr>
        <w:t>结合二次插值与差分进化算法形成混合布谷鸟算法对传统的CS进行优化</w:t>
      </w:r>
      <w:r>
        <w:rPr>
          <w:rFonts w:hint="eastAsia"/>
          <w:color w:val="auto"/>
        </w:rPr>
        <w:t>，并对智能电网项目投资问题进行求解，通过对比单一算法，混合算法有效提升求解效率</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_Ref193828138 \r \h</w:instrText>
      </w:r>
      <w:r>
        <w:rPr>
          <w:color w:val="auto"/>
          <w:vertAlign w:val="superscript"/>
        </w:rPr>
        <w:instrText xml:space="preserve">  \* MERGEFORMAT </w:instrText>
      </w:r>
      <w:r>
        <w:rPr>
          <w:color w:val="auto"/>
          <w:vertAlign w:val="superscript"/>
        </w:rPr>
        <w:fldChar w:fldCharType="separate"/>
      </w:r>
      <w:r>
        <w:rPr>
          <w:color w:val="auto"/>
          <w:vertAlign w:val="superscript"/>
        </w:rPr>
        <w:t>[42]</w:t>
      </w:r>
      <w:r>
        <w:rPr>
          <w:color w:val="auto"/>
          <w:vertAlign w:val="superscript"/>
        </w:rPr>
        <w:fldChar w:fldCharType="end"/>
      </w:r>
      <w:r>
        <w:rPr>
          <w:rFonts w:hint="eastAsia"/>
          <w:color w:val="auto"/>
        </w:rPr>
        <w:t>。张园园（2024）</w:t>
      </w:r>
      <w:r>
        <w:rPr>
          <w:color w:val="auto"/>
        </w:rPr>
        <w:t>提出了基于超立方空间投影变换的高维目标项目优选算法来获取高维效益目标下的帕累托精英解集，通过分析不同电压等级下基建项目建设时序及特征属性的多级耦合协调度，提出了基于灰色关联分析的多级耦合协调决策方法求解众多效益目标协调最优的投资优选决策组合</w:t>
      </w:r>
      <w:r>
        <w:rPr>
          <w:color w:val="auto"/>
          <w:vertAlign w:val="superscript"/>
        </w:rPr>
        <w:fldChar w:fldCharType="begin"/>
      </w:r>
      <w:r>
        <w:rPr>
          <w:color w:val="auto"/>
          <w:vertAlign w:val="superscript"/>
        </w:rPr>
        <w:instrText xml:space="preserve"> REF _Ref193828363 \r \h  \* MERGEFORMAT </w:instrText>
      </w:r>
      <w:r>
        <w:rPr>
          <w:color w:val="auto"/>
          <w:vertAlign w:val="superscript"/>
        </w:rPr>
        <w:fldChar w:fldCharType="separate"/>
      </w:r>
      <w:r>
        <w:rPr>
          <w:color w:val="auto"/>
          <w:vertAlign w:val="superscript"/>
        </w:rPr>
        <w:t>[43]</w:t>
      </w:r>
      <w:r>
        <w:rPr>
          <w:color w:val="auto"/>
          <w:vertAlign w:val="superscript"/>
        </w:rPr>
        <w:fldChar w:fldCharType="end"/>
      </w:r>
      <w:r>
        <w:rPr>
          <w:color w:val="auto"/>
        </w:rPr>
        <w:t>。</w:t>
      </w:r>
    </w:p>
    <w:p w14:paraId="41183A7B">
      <w:pPr>
        <w:spacing w:line="400" w:lineRule="exact"/>
        <w:ind w:firstLine="480" w:firstLineChars="200"/>
        <w:rPr>
          <w:rFonts w:hint="eastAsia"/>
          <w:color w:val="auto"/>
        </w:rPr>
      </w:pPr>
      <w:r>
        <w:rPr>
          <w:rFonts w:hint="eastAsia"/>
          <w:color w:val="auto"/>
        </w:rPr>
        <w:t>通过梳理电网项目投资决策研究现状，我们可以发现现有研究对于电网项目投资模型的构建更加多元化，同时，在电网项目投资决策模型求解方面，所使用的方法不仅更加智能化，而且适当进行改进以提升算法的适用性。</w:t>
      </w:r>
    </w:p>
    <w:p w14:paraId="185AA325">
      <w:pPr>
        <w:spacing w:line="400" w:lineRule="exact"/>
        <w:outlineLvl w:val="2"/>
        <w:rPr>
          <w:rFonts w:eastAsia="黑体"/>
          <w:color w:val="auto"/>
          <w:sz w:val="28"/>
          <w:szCs w:val="28"/>
        </w:rPr>
      </w:pPr>
      <w:bookmarkStart w:id="46" w:name="_Toc11133"/>
      <w:bookmarkStart w:id="47" w:name="_Toc192967089"/>
      <w:bookmarkStart w:id="48" w:name="_Toc193967327"/>
      <w:r>
        <w:rPr>
          <w:rFonts w:eastAsia="黑体"/>
          <w:color w:val="auto"/>
          <w:sz w:val="28"/>
          <w:szCs w:val="28"/>
        </w:rPr>
        <w:t>1.2.3 文献述评</w:t>
      </w:r>
      <w:bookmarkEnd w:id="46"/>
      <w:bookmarkEnd w:id="47"/>
      <w:bookmarkEnd w:id="48"/>
    </w:p>
    <w:p w14:paraId="2F9651D0">
      <w:pPr>
        <w:spacing w:line="400" w:lineRule="exact"/>
        <w:ind w:firstLine="480" w:firstLineChars="200"/>
        <w:rPr>
          <w:color w:val="auto"/>
        </w:rPr>
      </w:pPr>
      <w:r>
        <w:rPr>
          <w:color w:val="auto"/>
        </w:rPr>
        <w:t>如上所述，现有研究在新型电力系统</w:t>
      </w:r>
      <w:r>
        <w:rPr>
          <w:rFonts w:hint="eastAsia"/>
          <w:color w:val="auto"/>
        </w:rPr>
        <w:t>、电网项目综合评估、电网投资能力和</w:t>
      </w:r>
      <w:r>
        <w:rPr>
          <w:color w:val="auto"/>
        </w:rPr>
        <w:t>电网项目投资决策领域都取得了显著</w:t>
      </w:r>
      <w:r>
        <w:rPr>
          <w:rFonts w:hint="eastAsia"/>
          <w:color w:val="auto"/>
        </w:rPr>
        <w:t>成果</w:t>
      </w:r>
      <w:r>
        <w:rPr>
          <w:color w:val="auto"/>
        </w:rPr>
        <w:t>。在新型电力系统方面，现有研究</w:t>
      </w:r>
      <w:r>
        <w:rPr>
          <w:rFonts w:hint="eastAsia"/>
          <w:color w:val="auto"/>
        </w:rPr>
        <w:t>对新型电力系统的灵活性、数字化以及新能源参与市场交易等方面进行了全面分析。在电网项目综合评估方面，现有研究更加考虑评估指标的适用性和全面性，为全面科学评估电网项目提供了有力支撑。在电网投资能力测算方面，现有研究一方面综合考量电网投资能力内外部影响因素，另一方面通过高效方法实现对电网企业投资能力的准确测算，以辅助电网项目投资决策。</w:t>
      </w:r>
      <w:r>
        <w:rPr>
          <w:color w:val="auto"/>
        </w:rPr>
        <w:t>在电网项目投资决策方面，</w:t>
      </w:r>
      <w:r>
        <w:rPr>
          <w:rFonts w:hint="eastAsia"/>
          <w:color w:val="auto"/>
        </w:rPr>
        <w:t>现有研究主要聚焦在电网项目投资决策模型构建以及算法求解上，并且呈现模型更加多元化，算法更加智能化的特点，为新型电力系统背景下电网项目投资决策提供了更多思路。</w:t>
      </w:r>
    </w:p>
    <w:p w14:paraId="68319409">
      <w:pPr>
        <w:spacing w:line="400" w:lineRule="exact"/>
        <w:ind w:firstLine="480" w:firstLineChars="200"/>
        <w:rPr>
          <w:color w:val="auto"/>
        </w:rPr>
      </w:pPr>
      <w:r>
        <w:rPr>
          <w:rFonts w:hint="eastAsia"/>
          <w:color w:val="auto"/>
        </w:rPr>
        <w:t>当前针对新型电力系统构建背景下的电网项目投资决策优化研究还没有形成一套完成的研究体系，仅仅研究了某一方面或者某一维度。因此，本文的研究工作可以有效填补研究不足，为电网企业投资决策提供更加系统的参考和借鉴。</w:t>
      </w:r>
      <w:r>
        <w:rPr>
          <w:color w:val="auto"/>
        </w:rPr>
        <w:t xml:space="preserve"> </w:t>
      </w:r>
    </w:p>
    <w:p w14:paraId="5109160E">
      <w:pPr>
        <w:spacing w:before="156" w:beforeLines="50" w:after="156" w:afterLines="50" w:line="324" w:lineRule="auto"/>
        <w:outlineLvl w:val="1"/>
        <w:rPr>
          <w:rFonts w:eastAsia="黑体"/>
          <w:color w:val="auto"/>
          <w:sz w:val="30"/>
          <w:szCs w:val="30"/>
        </w:rPr>
      </w:pPr>
      <w:bookmarkStart w:id="49" w:name="_Toc193967328"/>
      <w:bookmarkStart w:id="50" w:name="_Toc1068"/>
      <w:bookmarkStart w:id="51" w:name="_Toc192967090"/>
      <w:r>
        <w:rPr>
          <w:rFonts w:eastAsia="黑体"/>
          <w:color w:val="auto"/>
          <w:sz w:val="30"/>
          <w:szCs w:val="30"/>
        </w:rPr>
        <w:t>1.3 研究目的与方法</w:t>
      </w:r>
      <w:bookmarkEnd w:id="49"/>
      <w:bookmarkEnd w:id="50"/>
      <w:bookmarkEnd w:id="51"/>
    </w:p>
    <w:p w14:paraId="649FE96E">
      <w:pPr>
        <w:spacing w:before="156" w:beforeLines="50" w:after="156" w:afterLines="50" w:line="400" w:lineRule="exact"/>
        <w:outlineLvl w:val="2"/>
        <w:rPr>
          <w:rFonts w:eastAsia="黑体"/>
          <w:color w:val="auto"/>
          <w:sz w:val="28"/>
          <w:szCs w:val="28"/>
        </w:rPr>
      </w:pPr>
      <w:bookmarkStart w:id="52" w:name="_Toc22359"/>
      <w:bookmarkStart w:id="53" w:name="_Toc193967329"/>
      <w:bookmarkStart w:id="54" w:name="_Toc192967091"/>
      <w:r>
        <w:rPr>
          <w:rFonts w:eastAsia="黑体"/>
          <w:color w:val="auto"/>
          <w:sz w:val="28"/>
          <w:szCs w:val="28"/>
        </w:rPr>
        <w:t>1.3.1 研究目的</w:t>
      </w:r>
      <w:bookmarkEnd w:id="52"/>
      <w:bookmarkEnd w:id="53"/>
      <w:bookmarkEnd w:id="54"/>
    </w:p>
    <w:p w14:paraId="65CB12B3">
      <w:pPr>
        <w:spacing w:line="400" w:lineRule="exact"/>
        <w:ind w:firstLine="480" w:firstLineChars="200"/>
        <w:rPr>
          <w:color w:val="auto"/>
        </w:rPr>
      </w:pPr>
      <w:r>
        <w:rPr>
          <w:color w:val="auto"/>
        </w:rPr>
        <w:t>本文的研究目的主要是对新型电力系统背景下J电网项目的投资决策提供更加智能有效的方法，从而提升复杂背景下电网企业项目投资决策效率。通过构建电网项目技术经济评估体系可以对电网项目进行多维度的全面分析，从而有利于电网企业更加清晰直观的认识和了解项目。并引入机器学习等</w:t>
      </w:r>
      <w:r>
        <w:rPr>
          <w:rFonts w:hint="eastAsia"/>
          <w:color w:val="auto"/>
        </w:rPr>
        <w:t>智能</w:t>
      </w:r>
      <w:r>
        <w:rPr>
          <w:color w:val="auto"/>
        </w:rPr>
        <w:t>方法，搭建电网企业投资能力测算模型，以分析电网企业投资能力，从而做好投资资金安排。最后</w:t>
      </w:r>
      <w:r>
        <w:rPr>
          <w:rFonts w:hint="eastAsia"/>
          <w:color w:val="auto"/>
        </w:rPr>
        <w:t>建立</w:t>
      </w:r>
      <w:r>
        <w:rPr>
          <w:color w:val="auto"/>
        </w:rPr>
        <w:t>基于增广Lagrange乘子法的</w:t>
      </w:r>
      <w:r>
        <w:rPr>
          <w:rFonts w:hint="eastAsia"/>
          <w:color w:val="auto"/>
        </w:rPr>
        <w:t>电网项目投资智能决策</w:t>
      </w:r>
      <w:r>
        <w:rPr>
          <w:color w:val="auto"/>
        </w:rPr>
        <w:t>混合灰狼优化（LHWGWO）</w:t>
      </w:r>
      <w:r>
        <w:rPr>
          <w:rFonts w:hint="eastAsia"/>
          <w:color w:val="auto"/>
        </w:rPr>
        <w:t>模型</w:t>
      </w:r>
      <w:r>
        <w:rPr>
          <w:color w:val="auto"/>
        </w:rPr>
        <w:t>，对电网项目投资决策</w:t>
      </w:r>
      <w:r>
        <w:rPr>
          <w:rFonts w:hint="eastAsia"/>
          <w:color w:val="auto"/>
        </w:rPr>
        <w:t>多目标</w:t>
      </w:r>
      <w:r>
        <w:rPr>
          <w:color w:val="auto"/>
        </w:rPr>
        <w:t>问题进行求解，以提升复杂多目标问题的求解效率，为J电网项目的科学</w:t>
      </w:r>
      <w:r>
        <w:rPr>
          <w:rFonts w:hint="eastAsia"/>
          <w:color w:val="auto"/>
        </w:rPr>
        <w:t>高效</w:t>
      </w:r>
      <w:r>
        <w:rPr>
          <w:color w:val="auto"/>
        </w:rPr>
        <w:t>投资提供</w:t>
      </w:r>
      <w:r>
        <w:rPr>
          <w:rFonts w:hint="eastAsia"/>
          <w:color w:val="auto"/>
        </w:rPr>
        <w:t>方法</w:t>
      </w:r>
      <w:r>
        <w:rPr>
          <w:color w:val="auto"/>
        </w:rPr>
        <w:t>支撑。</w:t>
      </w:r>
    </w:p>
    <w:p w14:paraId="3A9952E4">
      <w:pPr>
        <w:spacing w:before="156" w:beforeLines="50" w:after="156" w:afterLines="50" w:line="400" w:lineRule="exact"/>
        <w:outlineLvl w:val="2"/>
        <w:rPr>
          <w:rFonts w:eastAsia="黑体"/>
          <w:color w:val="auto"/>
          <w:sz w:val="28"/>
          <w:szCs w:val="28"/>
        </w:rPr>
      </w:pPr>
      <w:bookmarkStart w:id="55" w:name="_Toc192967092"/>
      <w:bookmarkStart w:id="56" w:name="_Toc193967330"/>
      <w:bookmarkStart w:id="57" w:name="_Toc19806"/>
      <w:r>
        <w:rPr>
          <w:rFonts w:eastAsia="黑体"/>
          <w:color w:val="auto"/>
          <w:sz w:val="28"/>
          <w:szCs w:val="28"/>
        </w:rPr>
        <w:t>1.3.2 研究方法</w:t>
      </w:r>
      <w:bookmarkEnd w:id="55"/>
      <w:bookmarkEnd w:id="56"/>
      <w:bookmarkEnd w:id="57"/>
    </w:p>
    <w:p w14:paraId="270DC3F4">
      <w:pPr>
        <w:spacing w:line="400" w:lineRule="exact"/>
        <w:ind w:firstLine="480" w:firstLineChars="200"/>
        <w:rPr>
          <w:rFonts w:hint="eastAsia"/>
          <w:color w:val="auto"/>
        </w:rPr>
      </w:pPr>
      <w:r>
        <w:rPr>
          <w:color w:val="auto"/>
        </w:rPr>
        <w:t>为了达成以上研究目的，采用四个方法达成既定目标</w:t>
      </w:r>
      <w:r>
        <w:rPr>
          <w:rFonts w:hint="eastAsia"/>
          <w:color w:val="auto"/>
        </w:rPr>
        <w:t>：</w:t>
      </w:r>
    </w:p>
    <w:p w14:paraId="56233A49">
      <w:pPr>
        <w:spacing w:line="400" w:lineRule="exact"/>
        <w:ind w:firstLine="480" w:firstLineChars="200"/>
        <w:rPr>
          <w:color w:val="auto"/>
        </w:rPr>
      </w:pPr>
      <w:r>
        <w:rPr>
          <w:color w:val="auto"/>
        </w:rPr>
        <w:t>1.文献研究法：梳理国内外关于新型电力系统</w:t>
      </w:r>
      <w:r>
        <w:rPr>
          <w:rFonts w:hint="eastAsia"/>
          <w:color w:val="auto"/>
        </w:rPr>
        <w:t>、电网项目综合评估、电网投资能力测算、</w:t>
      </w:r>
      <w:r>
        <w:rPr>
          <w:color w:val="auto"/>
        </w:rPr>
        <w:t>电网项目投资决策</w:t>
      </w:r>
      <w:r>
        <w:rPr>
          <w:rFonts w:hint="eastAsia"/>
          <w:color w:val="auto"/>
        </w:rPr>
        <w:t>相关</w:t>
      </w:r>
      <w:r>
        <w:rPr>
          <w:color w:val="auto"/>
        </w:rPr>
        <w:t>文献，总结现有研究成果与不足，为本研究提供理论</w:t>
      </w:r>
      <w:r>
        <w:rPr>
          <w:rFonts w:hint="eastAsia"/>
          <w:color w:val="auto"/>
        </w:rPr>
        <w:t>支撑</w:t>
      </w:r>
      <w:r>
        <w:rPr>
          <w:color w:val="auto"/>
        </w:rPr>
        <w:t>和方向。</w:t>
      </w:r>
    </w:p>
    <w:p w14:paraId="207FE9C6">
      <w:pPr>
        <w:spacing w:line="400" w:lineRule="exact"/>
        <w:ind w:firstLine="480" w:firstLineChars="200"/>
        <w:rPr>
          <w:color w:val="auto"/>
        </w:rPr>
      </w:pPr>
      <w:r>
        <w:rPr>
          <w:color w:val="auto"/>
        </w:rPr>
        <w:t>2.模型构建法：构建适应新型电力系统需求的</w:t>
      </w:r>
      <w:r>
        <w:rPr>
          <w:rFonts w:hint="eastAsia"/>
          <w:color w:val="auto"/>
        </w:rPr>
        <w:t>电网项目</w:t>
      </w:r>
      <w:r>
        <w:rPr>
          <w:color w:val="auto"/>
        </w:rPr>
        <w:t>技术经济评估体系与</w:t>
      </w:r>
      <w:r>
        <w:rPr>
          <w:rFonts w:hint="eastAsia"/>
          <w:color w:val="auto"/>
        </w:rPr>
        <w:t>电网</w:t>
      </w:r>
      <w:r>
        <w:rPr>
          <w:color w:val="auto"/>
        </w:rPr>
        <w:t>投资能力测算模型，</w:t>
      </w:r>
      <w:r>
        <w:rPr>
          <w:rFonts w:hint="eastAsia"/>
          <w:color w:val="auto"/>
        </w:rPr>
        <w:t>以期</w:t>
      </w:r>
      <w:r>
        <w:rPr>
          <w:color w:val="auto"/>
        </w:rPr>
        <w:t>为 J 电网项目投资决策提供</w:t>
      </w:r>
      <w:r>
        <w:rPr>
          <w:rFonts w:hint="eastAsia"/>
          <w:color w:val="auto"/>
        </w:rPr>
        <w:t>更多依据</w:t>
      </w:r>
      <w:r>
        <w:rPr>
          <w:color w:val="auto"/>
        </w:rPr>
        <w:t>。</w:t>
      </w:r>
    </w:p>
    <w:p w14:paraId="66380FF1">
      <w:pPr>
        <w:spacing w:line="400" w:lineRule="exact"/>
        <w:ind w:firstLine="480" w:firstLineChars="200"/>
        <w:rPr>
          <w:color w:val="auto"/>
        </w:rPr>
      </w:pPr>
      <w:r>
        <w:rPr>
          <w:color w:val="auto"/>
        </w:rPr>
        <w:t>3.算法优化法：引入基于增广 Lagrange 乘子法的混合灰狼优化算法（LHWGWO）</w:t>
      </w:r>
      <w:r>
        <w:rPr>
          <w:rFonts w:hint="eastAsia"/>
          <w:color w:val="auto"/>
        </w:rPr>
        <w:t>对电网项目投资决策问题进行求解</w:t>
      </w:r>
      <w:r>
        <w:rPr>
          <w:color w:val="auto"/>
        </w:rPr>
        <w:t>，</w:t>
      </w:r>
      <w:r>
        <w:rPr>
          <w:rFonts w:hint="eastAsia"/>
          <w:color w:val="auto"/>
        </w:rPr>
        <w:t>以</w:t>
      </w:r>
      <w:r>
        <w:rPr>
          <w:color w:val="auto"/>
        </w:rPr>
        <w:t>提升复杂多目标问题的求解效率，实现电网项目的精细化管理与智能化</w:t>
      </w:r>
      <w:r>
        <w:rPr>
          <w:rFonts w:hint="eastAsia"/>
          <w:color w:val="auto"/>
        </w:rPr>
        <w:t>决策</w:t>
      </w:r>
      <w:r>
        <w:rPr>
          <w:color w:val="auto"/>
        </w:rPr>
        <w:t>。</w:t>
      </w:r>
    </w:p>
    <w:p w14:paraId="0FC8878A">
      <w:pPr>
        <w:spacing w:line="400" w:lineRule="exact"/>
        <w:ind w:firstLine="480" w:firstLineChars="200"/>
        <w:rPr>
          <w:color w:val="auto"/>
        </w:rPr>
      </w:pPr>
      <w:r>
        <w:rPr>
          <w:color w:val="auto"/>
        </w:rPr>
        <w:t>4.实证分析法：基于构建的模型和</w:t>
      </w:r>
      <w:r>
        <w:rPr>
          <w:rFonts w:hint="eastAsia"/>
          <w:color w:val="auto"/>
        </w:rPr>
        <w:t>应用的</w:t>
      </w:r>
      <w:r>
        <w:rPr>
          <w:color w:val="auto"/>
        </w:rPr>
        <w:t>算法，对</w:t>
      </w:r>
      <w:r>
        <w:rPr>
          <w:rFonts w:hint="eastAsia"/>
          <w:color w:val="auto"/>
        </w:rPr>
        <w:t>各章节提出的模型和算法</w:t>
      </w:r>
      <w:r>
        <w:rPr>
          <w:color w:val="auto"/>
        </w:rPr>
        <w:t>进行</w:t>
      </w:r>
      <w:r>
        <w:rPr>
          <w:rFonts w:hint="eastAsia"/>
          <w:color w:val="auto"/>
        </w:rPr>
        <w:t>验证</w:t>
      </w:r>
      <w:r>
        <w:rPr>
          <w:color w:val="auto"/>
        </w:rPr>
        <w:t>，</w:t>
      </w:r>
      <w:r>
        <w:rPr>
          <w:rFonts w:hint="eastAsia"/>
          <w:color w:val="auto"/>
        </w:rPr>
        <w:t>以证明</w:t>
      </w:r>
      <w:r>
        <w:rPr>
          <w:color w:val="auto"/>
        </w:rPr>
        <w:t>所提</w:t>
      </w:r>
      <w:r>
        <w:rPr>
          <w:rFonts w:hint="eastAsia"/>
          <w:color w:val="auto"/>
        </w:rPr>
        <w:t>模型与</w:t>
      </w:r>
      <w:r>
        <w:rPr>
          <w:color w:val="auto"/>
        </w:rPr>
        <w:t>方法的有效性和可行性。</w:t>
      </w:r>
    </w:p>
    <w:p w14:paraId="1B047DB2">
      <w:pPr>
        <w:spacing w:before="156" w:beforeLines="50" w:after="156" w:afterLines="50" w:line="324" w:lineRule="auto"/>
        <w:outlineLvl w:val="1"/>
        <w:rPr>
          <w:rFonts w:eastAsia="黑体"/>
          <w:color w:val="auto"/>
          <w:sz w:val="30"/>
          <w:szCs w:val="30"/>
        </w:rPr>
      </w:pPr>
      <w:bookmarkStart w:id="58" w:name="_Toc192967093"/>
      <w:bookmarkStart w:id="59" w:name="_Toc18211"/>
      <w:bookmarkStart w:id="60" w:name="_Toc193967331"/>
      <w:r>
        <w:rPr>
          <w:rFonts w:eastAsia="黑体"/>
          <w:color w:val="auto"/>
          <w:sz w:val="30"/>
          <w:szCs w:val="30"/>
        </w:rPr>
        <w:t>1.4 研究内容与技术路线</w:t>
      </w:r>
      <w:bookmarkEnd w:id="58"/>
      <w:bookmarkEnd w:id="59"/>
      <w:bookmarkEnd w:id="60"/>
    </w:p>
    <w:p w14:paraId="1656D0DC">
      <w:pPr>
        <w:spacing w:before="156" w:beforeLines="50" w:after="156" w:afterLines="50" w:line="400" w:lineRule="exact"/>
        <w:outlineLvl w:val="2"/>
        <w:rPr>
          <w:rFonts w:eastAsia="黑体"/>
          <w:color w:val="auto"/>
          <w:sz w:val="28"/>
          <w:szCs w:val="28"/>
        </w:rPr>
      </w:pPr>
      <w:bookmarkStart w:id="61" w:name="_Toc192967094"/>
      <w:bookmarkStart w:id="62" w:name="_Toc193967332"/>
      <w:bookmarkStart w:id="63" w:name="_Toc1786"/>
      <w:r>
        <w:rPr>
          <w:rFonts w:eastAsia="黑体"/>
          <w:color w:val="auto"/>
          <w:sz w:val="28"/>
          <w:szCs w:val="28"/>
        </w:rPr>
        <w:t>1.4.1 研究内容</w:t>
      </w:r>
      <w:bookmarkEnd w:id="61"/>
      <w:bookmarkEnd w:id="62"/>
      <w:bookmarkEnd w:id="63"/>
    </w:p>
    <w:p w14:paraId="1B974E6F">
      <w:pPr>
        <w:spacing w:line="400" w:lineRule="exact"/>
        <w:ind w:firstLine="480" w:firstLineChars="200"/>
        <w:rPr>
          <w:rFonts w:hint="eastAsia"/>
          <w:color w:val="auto"/>
        </w:rPr>
      </w:pPr>
      <w:r>
        <w:rPr>
          <w:rFonts w:hint="eastAsia"/>
          <w:color w:val="auto"/>
        </w:rPr>
        <w:t>本文主要研究内容如下：</w:t>
      </w:r>
    </w:p>
    <w:p w14:paraId="16A8A8E1">
      <w:pPr>
        <w:spacing w:line="400" w:lineRule="exact"/>
        <w:ind w:firstLine="480" w:firstLineChars="200"/>
        <w:rPr>
          <w:color w:val="auto"/>
        </w:rPr>
      </w:pPr>
      <w:r>
        <w:rPr>
          <w:color w:val="auto"/>
        </w:rPr>
        <w:t>第一章主要阐述研究背景及意义。</w:t>
      </w:r>
      <w:r>
        <w:rPr>
          <w:rFonts w:hint="eastAsia"/>
          <w:color w:val="auto"/>
        </w:rPr>
        <w:t>明确</w:t>
      </w:r>
      <w:r>
        <w:rPr>
          <w:color w:val="auto"/>
        </w:rPr>
        <w:t>新型电力系统</w:t>
      </w:r>
      <w:r>
        <w:rPr>
          <w:rFonts w:hint="eastAsia"/>
          <w:color w:val="auto"/>
        </w:rPr>
        <w:t>构建</w:t>
      </w:r>
      <w:r>
        <w:rPr>
          <w:color w:val="auto"/>
        </w:rPr>
        <w:t>背景</w:t>
      </w:r>
      <w:r>
        <w:rPr>
          <w:rFonts w:hint="eastAsia"/>
          <w:color w:val="auto"/>
        </w:rPr>
        <w:t>下</w:t>
      </w:r>
      <w:r>
        <w:rPr>
          <w:color w:val="auto"/>
        </w:rPr>
        <w:t>，</w:t>
      </w:r>
      <w:r>
        <w:rPr>
          <w:rFonts w:hint="eastAsia"/>
          <w:color w:val="auto"/>
        </w:rPr>
        <w:t>对</w:t>
      </w:r>
      <w:r>
        <w:rPr>
          <w:color w:val="auto"/>
        </w:rPr>
        <w:t>J 电网项目投资智能决策</w:t>
      </w:r>
      <w:r>
        <w:rPr>
          <w:rFonts w:hint="eastAsia"/>
          <w:color w:val="auto"/>
        </w:rPr>
        <w:t>问题进行</w:t>
      </w:r>
      <w:r>
        <w:rPr>
          <w:color w:val="auto"/>
        </w:rPr>
        <w:t>优化</w:t>
      </w:r>
      <w:r>
        <w:rPr>
          <w:rFonts w:hint="eastAsia"/>
          <w:color w:val="auto"/>
        </w:rPr>
        <w:t>研究</w:t>
      </w:r>
      <w:r>
        <w:rPr>
          <w:color w:val="auto"/>
        </w:rPr>
        <w:t>的重要性</w:t>
      </w:r>
      <w:r>
        <w:rPr>
          <w:rFonts w:hint="eastAsia"/>
          <w:color w:val="auto"/>
        </w:rPr>
        <w:t>和必要性</w:t>
      </w:r>
      <w:r>
        <w:rPr>
          <w:color w:val="auto"/>
        </w:rPr>
        <w:t>。然后明确了本文的研究目的、研究内容、研究方法和技术路线，为后续研究奠定基础。</w:t>
      </w:r>
    </w:p>
    <w:p w14:paraId="5F638E30">
      <w:pPr>
        <w:spacing w:line="400" w:lineRule="exact"/>
        <w:ind w:firstLine="480" w:firstLineChars="200"/>
        <w:rPr>
          <w:color w:val="auto"/>
        </w:rPr>
      </w:pPr>
      <w:r>
        <w:rPr>
          <w:color w:val="auto"/>
        </w:rPr>
        <w:t>第二章</w:t>
      </w:r>
      <w:r>
        <w:rPr>
          <w:rFonts w:hint="eastAsia"/>
          <w:color w:val="auto"/>
        </w:rPr>
        <w:t>主要阐述</w:t>
      </w:r>
      <w:r>
        <w:rPr>
          <w:color w:val="auto"/>
        </w:rPr>
        <w:t>新型电力系统的特征与内涵，电网项目投资决策</w:t>
      </w:r>
      <w:r>
        <w:rPr>
          <w:rFonts w:hint="eastAsia"/>
          <w:color w:val="auto"/>
        </w:rPr>
        <w:t>相关基础</w:t>
      </w:r>
      <w:r>
        <w:rPr>
          <w:color w:val="auto"/>
        </w:rPr>
        <w:t>理论，</w:t>
      </w:r>
      <w:r>
        <w:rPr>
          <w:rFonts w:hint="eastAsia"/>
          <w:color w:val="auto"/>
        </w:rPr>
        <w:t>电网项目投资决策方法的演进以及电网项目投资决策问题求解方法</w:t>
      </w:r>
      <w:r>
        <w:rPr>
          <w:color w:val="auto"/>
        </w:rPr>
        <w:t>。为后续模型构建与算法应用提供理论支撑。</w:t>
      </w:r>
    </w:p>
    <w:p w14:paraId="0952A819">
      <w:pPr>
        <w:spacing w:line="400" w:lineRule="exact"/>
        <w:ind w:firstLine="480" w:firstLineChars="200"/>
        <w:rPr>
          <w:rFonts w:hint="eastAsia"/>
          <w:color w:val="auto"/>
        </w:rPr>
      </w:pPr>
      <w:r>
        <w:rPr>
          <w:color w:val="auto"/>
        </w:rPr>
        <w:t>第三章主要是</w:t>
      </w:r>
      <w:r>
        <w:rPr>
          <w:rFonts w:hint="eastAsia"/>
          <w:color w:val="auto"/>
        </w:rPr>
        <w:t>建立J电网项目</w:t>
      </w:r>
      <w:r>
        <w:rPr>
          <w:color w:val="auto"/>
        </w:rPr>
        <w:t>技术经济评估指标体系，确定评</w:t>
      </w:r>
      <w:r>
        <w:rPr>
          <w:rFonts w:hint="eastAsia"/>
          <w:color w:val="auto"/>
        </w:rPr>
        <w:t>估</w:t>
      </w:r>
      <w:r>
        <w:rPr>
          <w:color w:val="auto"/>
        </w:rPr>
        <w:t>指标选取原则，搭建评估指标体系框架，并介绍指标预处理方法。</w:t>
      </w:r>
      <w:r>
        <w:rPr>
          <w:rFonts w:hint="eastAsia"/>
          <w:color w:val="auto"/>
        </w:rPr>
        <w:t>对J电网项目进行综合评估，为第五章电网项目投资决策做好项目前期筛选工作。</w:t>
      </w:r>
    </w:p>
    <w:p w14:paraId="430786B2">
      <w:pPr>
        <w:spacing w:line="400" w:lineRule="exact"/>
        <w:ind w:firstLine="480" w:firstLineChars="200"/>
        <w:rPr>
          <w:rFonts w:hint="eastAsia"/>
          <w:color w:val="auto"/>
          <w:highlight w:val="none"/>
        </w:rPr>
      </w:pPr>
      <w:r>
        <w:rPr>
          <w:color w:val="auto"/>
          <w:highlight w:val="none"/>
        </w:rPr>
        <w:t>第四章从能源结构变化、新型主体入市、技术创新等方面分析新型电力系统</w:t>
      </w:r>
      <w:r>
        <w:rPr>
          <w:rFonts w:hint="eastAsia"/>
          <w:color w:val="auto"/>
          <w:highlight w:val="none"/>
        </w:rPr>
        <w:t>构建</w:t>
      </w:r>
      <w:r>
        <w:rPr>
          <w:color w:val="auto"/>
          <w:highlight w:val="none"/>
        </w:rPr>
        <w:t>对电网项目投资能力的影响。构建电网投资能力测算模型，通过主成分分析筛选影响因素，建立投资能力测算模型，并将机器学习方法和 DRL 应用于投资能力预测中。</w:t>
      </w:r>
      <w:r>
        <w:rPr>
          <w:rFonts w:hint="eastAsia"/>
          <w:color w:val="auto"/>
          <w:highlight w:val="none"/>
        </w:rPr>
        <w:t>电网投资能力测算结果将作为第五章电网项目投资金额的约束条件。</w:t>
      </w:r>
    </w:p>
    <w:p w14:paraId="12C73CAC">
      <w:pPr>
        <w:spacing w:line="400" w:lineRule="exact"/>
        <w:ind w:firstLine="480" w:firstLineChars="200"/>
        <w:rPr>
          <w:color w:val="auto"/>
        </w:rPr>
      </w:pPr>
      <w:r>
        <w:rPr>
          <w:color w:val="auto"/>
          <w:highlight w:val="none"/>
        </w:rPr>
        <w:t>第五章</w:t>
      </w:r>
      <w:r>
        <w:rPr>
          <w:rFonts w:hint="eastAsia"/>
          <w:color w:val="auto"/>
          <w:highlight w:val="none"/>
        </w:rPr>
        <w:t>建立</w:t>
      </w:r>
      <w:r>
        <w:rPr>
          <w:color w:val="auto"/>
          <w:highlight w:val="none"/>
        </w:rPr>
        <w:t>基于增广 Lagrange 乘子法的</w:t>
      </w:r>
      <w:r>
        <w:rPr>
          <w:rFonts w:hint="eastAsia"/>
          <w:color w:val="auto"/>
          <w:highlight w:val="none"/>
        </w:rPr>
        <w:t>J电网项目投资智能决策</w:t>
      </w:r>
      <w:r>
        <w:rPr>
          <w:color w:val="auto"/>
          <w:highlight w:val="none"/>
        </w:rPr>
        <w:t>混合灰狼</w:t>
      </w:r>
      <w:r>
        <w:rPr>
          <w:color w:val="auto"/>
        </w:rPr>
        <w:t>优化</w:t>
      </w:r>
      <w:r>
        <w:rPr>
          <w:rFonts w:hint="eastAsia"/>
          <w:color w:val="auto"/>
        </w:rPr>
        <w:t>模型</w:t>
      </w:r>
      <w:r>
        <w:rPr>
          <w:color w:val="auto"/>
        </w:rPr>
        <w:t>，构建</w:t>
      </w:r>
      <w:r>
        <w:rPr>
          <w:rFonts w:hint="eastAsia"/>
          <w:color w:val="auto"/>
        </w:rPr>
        <w:t>J电网项目</w:t>
      </w:r>
      <w:r>
        <w:rPr>
          <w:color w:val="auto"/>
        </w:rPr>
        <w:t>投资决策模型，并</w:t>
      </w:r>
      <w:r>
        <w:rPr>
          <w:rFonts w:hint="eastAsia"/>
          <w:color w:val="auto"/>
        </w:rPr>
        <w:t>利用</w:t>
      </w:r>
      <w:r>
        <w:rPr>
          <w:color w:val="auto"/>
        </w:rPr>
        <w:t xml:space="preserve">LHWGWO </w:t>
      </w:r>
      <w:r>
        <w:rPr>
          <w:rFonts w:hint="eastAsia"/>
          <w:color w:val="auto"/>
        </w:rPr>
        <w:t>优化</w:t>
      </w:r>
      <w:r>
        <w:rPr>
          <w:color w:val="auto"/>
        </w:rPr>
        <w:t>算法进行模型求解</w:t>
      </w:r>
      <w:r>
        <w:rPr>
          <w:rFonts w:hint="eastAsia"/>
          <w:color w:val="auto"/>
        </w:rPr>
        <w:t>，实现对J电网项目投资智能决策问题的优化</w:t>
      </w:r>
      <w:r>
        <w:rPr>
          <w:color w:val="auto"/>
        </w:rPr>
        <w:t>。</w:t>
      </w:r>
    </w:p>
    <w:p w14:paraId="006F5C71">
      <w:pPr>
        <w:spacing w:line="400" w:lineRule="exact"/>
        <w:ind w:firstLine="480" w:firstLineChars="200"/>
        <w:rPr>
          <w:color w:val="auto"/>
        </w:rPr>
      </w:pPr>
      <w:r>
        <w:rPr>
          <w:color w:val="auto"/>
        </w:rPr>
        <w:t>第六章主要基于</w:t>
      </w:r>
      <w:r>
        <w:rPr>
          <w:rFonts w:hint="eastAsia"/>
          <w:color w:val="auto"/>
        </w:rPr>
        <w:t>第三章J电网投资现和</w:t>
      </w:r>
      <w:r>
        <w:rPr>
          <w:color w:val="auto"/>
        </w:rPr>
        <w:t>第五章J电网项目投资决策</w:t>
      </w:r>
      <w:r>
        <w:rPr>
          <w:rFonts w:hint="eastAsia"/>
          <w:color w:val="auto"/>
        </w:rPr>
        <w:t>优化</w:t>
      </w:r>
      <w:r>
        <w:rPr>
          <w:color w:val="auto"/>
        </w:rPr>
        <w:t>结果，</w:t>
      </w:r>
      <w:r>
        <w:rPr>
          <w:rFonts w:hint="eastAsia"/>
          <w:color w:val="auto"/>
        </w:rPr>
        <w:t>对J电网投资决策</w:t>
      </w:r>
      <w:r>
        <w:rPr>
          <w:color w:val="auto"/>
        </w:rPr>
        <w:t>提出具有针对性</w:t>
      </w:r>
      <w:r>
        <w:rPr>
          <w:rFonts w:hint="eastAsia"/>
          <w:color w:val="auto"/>
        </w:rPr>
        <w:t>和创新性</w:t>
      </w:r>
      <w:r>
        <w:rPr>
          <w:color w:val="auto"/>
        </w:rPr>
        <w:t>的投资决策</w:t>
      </w:r>
      <w:r>
        <w:rPr>
          <w:rFonts w:hint="eastAsia"/>
          <w:color w:val="auto"/>
        </w:rPr>
        <w:t>优化</w:t>
      </w:r>
      <w:r>
        <w:rPr>
          <w:color w:val="auto"/>
        </w:rPr>
        <w:t>建议。</w:t>
      </w:r>
    </w:p>
    <w:p w14:paraId="4B3A193E">
      <w:pPr>
        <w:spacing w:line="400" w:lineRule="exact"/>
        <w:ind w:firstLine="480" w:firstLineChars="200"/>
        <w:rPr>
          <w:color w:val="auto"/>
        </w:rPr>
      </w:pPr>
      <w:r>
        <w:rPr>
          <w:color w:val="auto"/>
        </w:rPr>
        <w:t>第七章总结本文研究的主要成果和结论。</w:t>
      </w:r>
    </w:p>
    <w:p w14:paraId="0EE7303A">
      <w:pPr>
        <w:spacing w:before="156" w:beforeLines="50" w:after="156" w:afterLines="50" w:line="400" w:lineRule="exact"/>
        <w:outlineLvl w:val="2"/>
        <w:rPr>
          <w:rFonts w:eastAsia="黑体"/>
          <w:color w:val="auto"/>
          <w:sz w:val="28"/>
          <w:szCs w:val="28"/>
        </w:rPr>
      </w:pPr>
      <w:bookmarkStart w:id="64" w:name="_Toc193967333"/>
      <w:bookmarkStart w:id="65" w:name="_Toc192967095"/>
      <w:bookmarkStart w:id="66" w:name="_Toc15857"/>
      <w:r>
        <w:rPr>
          <w:rFonts w:eastAsia="黑体"/>
          <w:color w:val="auto"/>
          <w:sz w:val="28"/>
          <w:szCs w:val="28"/>
        </w:rPr>
        <w:t>1.4.2 技术路线</w:t>
      </w:r>
      <w:bookmarkEnd w:id="64"/>
      <w:bookmarkEnd w:id="65"/>
      <w:bookmarkEnd w:id="66"/>
    </w:p>
    <w:p w14:paraId="50469572">
      <w:pPr>
        <w:ind w:firstLine="480" w:firstLineChars="200"/>
        <w:rPr>
          <w:color w:val="auto"/>
        </w:rPr>
      </w:pPr>
      <w:r>
        <w:rPr>
          <w:rFonts w:hint="eastAsia"/>
          <w:color w:val="auto"/>
        </w:rPr>
        <w:t>基于研究内容，勾勒本文的研究路线。</w:t>
      </w:r>
      <w:r>
        <w:rPr>
          <w:color w:val="auto"/>
        </w:rPr>
        <w:t>具体的研究技术路线见</w:t>
      </w:r>
      <w:r>
        <w:rPr>
          <w:rFonts w:hint="eastAsia"/>
          <w:color w:val="auto"/>
        </w:rPr>
        <w:t>图1-2</w:t>
      </w:r>
      <w:r>
        <w:rPr>
          <w:color w:val="auto"/>
        </w:rPr>
        <w:t>所示。</w:t>
      </w:r>
    </w:p>
    <w:p w14:paraId="35506FDF">
      <w:pPr>
        <w:ind w:firstLine="480" w:firstLineChars="200"/>
        <w:rPr>
          <w:color w:val="auto"/>
        </w:rPr>
      </w:pPr>
    </w:p>
    <w:p w14:paraId="64D89E46">
      <w:pPr>
        <w:ind w:firstLine="480" w:firstLineChars="200"/>
        <w:rPr>
          <w:color w:val="auto"/>
        </w:rPr>
      </w:pPr>
    </w:p>
    <w:p w14:paraId="4EBAE94E">
      <w:pPr>
        <w:ind w:firstLine="480" w:firstLineChars="200"/>
        <w:rPr>
          <w:rFonts w:hint="eastAsia"/>
          <w:color w:val="auto"/>
        </w:rPr>
      </w:pPr>
    </w:p>
    <w:p w14:paraId="64215D34">
      <w:pPr>
        <w:rPr>
          <w:rFonts w:hint="eastAsia"/>
          <w:color w:val="auto"/>
        </w:rPr>
      </w:pPr>
      <w:bookmarkStart w:id="67" w:name="_Ref193799725"/>
    </w:p>
    <w:p w14:paraId="0A7B9BEA">
      <w:pPr>
        <w:jc w:val="center"/>
        <w:rPr>
          <w:rFonts w:hint="eastAsia"/>
          <w:color w:val="auto"/>
        </w:rPr>
      </w:pPr>
      <w:r>
        <w:rPr>
          <w:rFonts w:hint="eastAsia"/>
          <w:color w:val="auto"/>
        </w:rPr>
        <w:drawing>
          <wp:inline distT="0" distB="0" distL="0" distR="0">
            <wp:extent cx="4796790" cy="7188200"/>
            <wp:effectExtent l="0" t="0" r="3810" b="0"/>
            <wp:docPr id="86934761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347619" name="图片 24"/>
                    <pic:cNvPicPr>
                      <a:picLocks noChangeAspect="1"/>
                    </pic:cNvPicPr>
                  </pic:nvPicPr>
                  <pic:blipFill>
                    <a:blip r:embed="rId11" cstate="print">
                      <a:extLst>
                        <a:ext uri="{28A0092B-C50C-407E-A947-70E740481C1C}">
                          <a14:useLocalDpi xmlns:a14="http://schemas.microsoft.com/office/drawing/2010/main" val="0"/>
                        </a:ext>
                      </a:extLst>
                    </a:blip>
                    <a:srcRect l="11670" t="15022" r="12316" b="4381"/>
                    <a:stretch>
                      <a:fillRect/>
                    </a:stretch>
                  </pic:blipFill>
                  <pic:spPr>
                    <a:xfrm>
                      <a:off x="0" y="0"/>
                      <a:ext cx="4857693" cy="7279328"/>
                    </a:xfrm>
                    <a:prstGeom prst="rect">
                      <a:avLst/>
                    </a:prstGeom>
                    <a:ln>
                      <a:noFill/>
                    </a:ln>
                  </pic:spPr>
                </pic:pic>
              </a:graphicData>
            </a:graphic>
          </wp:inline>
        </w:drawing>
      </w:r>
    </w:p>
    <w:p w14:paraId="6D6998BC">
      <w:pPr>
        <w:pStyle w:val="5"/>
        <w:tabs>
          <w:tab w:val="center" w:pos="4153"/>
          <w:tab w:val="left" w:pos="6480"/>
        </w:tabs>
        <w:spacing w:line="400" w:lineRule="exact"/>
        <w:jc w:val="left"/>
        <w:rPr>
          <w:rFonts w:hint="eastAsia" w:ascii="Times New Roman" w:hAnsi="Times New Roman" w:eastAsia="宋体" w:cs="Times New Roman"/>
          <w:color w:val="auto"/>
          <w:sz w:val="21"/>
          <w:szCs w:val="21"/>
        </w:rPr>
      </w:pPr>
      <w:r>
        <w:rPr>
          <w:rFonts w:ascii="Times New Roman" w:hAnsi="Times New Roman" w:cs="Times New Roman" w:eastAsiaTheme="minorEastAsia"/>
          <w:color w:val="auto"/>
          <w:sz w:val="21"/>
          <w:szCs w:val="21"/>
        </w:rPr>
        <w:tab/>
      </w:r>
      <w:r>
        <w:rPr>
          <w:rFonts w:ascii="Times New Roman" w:hAnsi="Times New Roman" w:cs="Times New Roman" w:eastAsiaTheme="minorEastAsia"/>
          <w:color w:val="auto"/>
          <w:sz w:val="21"/>
          <w:szCs w:val="21"/>
        </w:rPr>
        <w:t>图1-</w:t>
      </w:r>
      <w:r>
        <w:rPr>
          <w:rFonts w:ascii="Times New Roman" w:hAnsi="Times New Roman" w:cs="Times New Roman" w:eastAsiaTheme="minorEastAsia"/>
          <w:color w:val="auto"/>
          <w:sz w:val="21"/>
          <w:szCs w:val="21"/>
        </w:rPr>
        <w:fldChar w:fldCharType="begin"/>
      </w:r>
      <w:r>
        <w:rPr>
          <w:rFonts w:ascii="Times New Roman" w:hAnsi="Times New Roman" w:cs="Times New Roman" w:eastAsiaTheme="minorEastAsia"/>
          <w:color w:val="auto"/>
          <w:sz w:val="21"/>
          <w:szCs w:val="21"/>
        </w:rPr>
        <w:instrText xml:space="preserve"> SEQ 图1- \* ARABIC </w:instrText>
      </w:r>
      <w:r>
        <w:rPr>
          <w:rFonts w:ascii="Times New Roman" w:hAnsi="Times New Roman" w:cs="Times New Roman" w:eastAsiaTheme="minorEastAsia"/>
          <w:color w:val="auto"/>
          <w:sz w:val="21"/>
          <w:szCs w:val="21"/>
        </w:rPr>
        <w:fldChar w:fldCharType="separate"/>
      </w:r>
      <w:r>
        <w:rPr>
          <w:rFonts w:ascii="Times New Roman" w:hAnsi="Times New Roman" w:cs="Times New Roman" w:eastAsiaTheme="minorEastAsia"/>
          <w:color w:val="auto"/>
          <w:sz w:val="21"/>
          <w:szCs w:val="21"/>
        </w:rPr>
        <w:t>2</w:t>
      </w:r>
      <w:r>
        <w:rPr>
          <w:rFonts w:ascii="Times New Roman" w:hAnsi="Times New Roman" w:cs="Times New Roman" w:eastAsiaTheme="minorEastAsia"/>
          <w:color w:val="auto"/>
          <w:sz w:val="21"/>
          <w:szCs w:val="21"/>
        </w:rPr>
        <w:fldChar w:fldCharType="end"/>
      </w:r>
      <w:r>
        <w:rPr>
          <w:rFonts w:ascii="Times New Roman" w:hAnsi="Times New Roman" w:eastAsia="宋体" w:cs="Times New Roman"/>
          <w:color w:val="auto"/>
          <w:sz w:val="21"/>
          <w:szCs w:val="21"/>
        </w:rPr>
        <w:t>技术路线图</w:t>
      </w:r>
      <w:bookmarkEnd w:id="67"/>
      <w:r>
        <w:rPr>
          <w:rFonts w:ascii="Times New Roman" w:hAnsi="Times New Roman" w:eastAsia="宋体" w:cs="Times New Roman"/>
          <w:color w:val="auto"/>
          <w:sz w:val="21"/>
          <w:szCs w:val="21"/>
        </w:rPr>
        <w:tab/>
      </w:r>
    </w:p>
    <w:p w14:paraId="072730FA">
      <w:pPr>
        <w:spacing w:before="156" w:beforeLines="50" w:after="156" w:afterLines="50" w:line="324" w:lineRule="auto"/>
        <w:outlineLvl w:val="1"/>
        <w:rPr>
          <w:rFonts w:eastAsia="黑体"/>
          <w:color w:val="auto"/>
          <w:sz w:val="28"/>
          <w:szCs w:val="28"/>
        </w:rPr>
      </w:pPr>
      <w:bookmarkStart w:id="68" w:name="_Toc193967334"/>
      <w:bookmarkStart w:id="69" w:name="_Toc31689"/>
      <w:bookmarkStart w:id="70" w:name="_Toc192967096"/>
      <w:r>
        <w:rPr>
          <w:rFonts w:eastAsia="黑体"/>
          <w:color w:val="auto"/>
          <w:sz w:val="28"/>
          <w:szCs w:val="28"/>
        </w:rPr>
        <w:t>1.5 研究的创新点</w:t>
      </w:r>
      <w:bookmarkEnd w:id="68"/>
      <w:bookmarkEnd w:id="69"/>
      <w:bookmarkEnd w:id="70"/>
    </w:p>
    <w:p w14:paraId="524050A0">
      <w:pPr>
        <w:spacing w:line="400" w:lineRule="exact"/>
        <w:ind w:firstLine="480" w:firstLineChars="200"/>
        <w:rPr>
          <w:color w:val="auto"/>
        </w:rPr>
      </w:pPr>
      <w:r>
        <w:rPr>
          <w:color w:val="auto"/>
        </w:rPr>
        <w:t>（1）构建了</w:t>
      </w:r>
      <w:r>
        <w:rPr>
          <w:rFonts w:hint="eastAsia"/>
          <w:color w:val="auto"/>
        </w:rPr>
        <w:t>新型电力系统背景下的</w:t>
      </w:r>
      <w:r>
        <w:rPr>
          <w:color w:val="auto"/>
        </w:rPr>
        <w:t>电网项目评估</w:t>
      </w:r>
      <w:r>
        <w:rPr>
          <w:rFonts w:hint="eastAsia"/>
          <w:color w:val="auto"/>
        </w:rPr>
        <w:t>指标</w:t>
      </w:r>
      <w:r>
        <w:rPr>
          <w:color w:val="auto"/>
        </w:rPr>
        <w:t>体系</w:t>
      </w:r>
    </w:p>
    <w:p w14:paraId="058E9C2C">
      <w:pPr>
        <w:spacing w:line="400" w:lineRule="exact"/>
        <w:ind w:firstLine="480" w:firstLineChars="200"/>
        <w:rPr>
          <w:color w:val="auto"/>
        </w:rPr>
      </w:pPr>
      <w:r>
        <w:rPr>
          <w:rFonts w:hint="eastAsia"/>
          <w:color w:val="auto"/>
        </w:rPr>
        <w:t>本文基于新型电力系统构建背景，深入分析和挖掘电网项目技术经济评估指标</w:t>
      </w:r>
      <w:r>
        <w:rPr>
          <w:color w:val="auto"/>
        </w:rPr>
        <w:t>，创新性地构建了电网项目技术经济评估</w:t>
      </w:r>
      <w:r>
        <w:rPr>
          <w:rFonts w:hint="eastAsia"/>
          <w:color w:val="auto"/>
        </w:rPr>
        <w:t>指标</w:t>
      </w:r>
      <w:r>
        <w:rPr>
          <w:color w:val="auto"/>
        </w:rPr>
        <w:t>体系，</w:t>
      </w:r>
      <w:r>
        <w:rPr>
          <w:rFonts w:hint="eastAsia"/>
          <w:color w:val="auto"/>
        </w:rPr>
        <w:t>纳入</w:t>
      </w:r>
      <w:r>
        <w:rPr>
          <w:color w:val="auto"/>
        </w:rPr>
        <w:t>了新能源接入比例、</w:t>
      </w:r>
      <w:r>
        <w:rPr>
          <w:rFonts w:hint="eastAsia"/>
          <w:color w:val="auto"/>
        </w:rPr>
        <w:t>提升电力</w:t>
      </w:r>
      <w:r>
        <w:rPr>
          <w:color w:val="auto"/>
        </w:rPr>
        <w:t>系统灵活性等新型电力系统</w:t>
      </w:r>
      <w:r>
        <w:rPr>
          <w:rFonts w:hint="eastAsia"/>
          <w:color w:val="auto"/>
        </w:rPr>
        <w:t>背景下出现</w:t>
      </w:r>
      <w:r>
        <w:rPr>
          <w:color w:val="auto"/>
        </w:rPr>
        <w:t>的</w:t>
      </w:r>
      <w:r>
        <w:rPr>
          <w:rFonts w:hint="eastAsia"/>
          <w:color w:val="auto"/>
        </w:rPr>
        <w:t>电网项目</w:t>
      </w:r>
      <w:r>
        <w:rPr>
          <w:color w:val="auto"/>
        </w:rPr>
        <w:t>评估指标，</w:t>
      </w:r>
      <w:r>
        <w:rPr>
          <w:rFonts w:hint="eastAsia"/>
          <w:color w:val="auto"/>
        </w:rPr>
        <w:t>这一评估指标体系，能够更为贴合地对当前的电网项目进行评估考量，从而为</w:t>
      </w:r>
      <w:r>
        <w:rPr>
          <w:color w:val="auto"/>
        </w:rPr>
        <w:t>电网项目投资决策提供</w:t>
      </w:r>
      <w:r>
        <w:rPr>
          <w:rFonts w:hint="eastAsia"/>
          <w:color w:val="auto"/>
        </w:rPr>
        <w:t>更加适用的结果依据</w:t>
      </w:r>
      <w:r>
        <w:rPr>
          <w:color w:val="auto"/>
        </w:rPr>
        <w:t>。</w:t>
      </w:r>
    </w:p>
    <w:p w14:paraId="0D0F1503">
      <w:pPr>
        <w:spacing w:line="400" w:lineRule="exact"/>
        <w:ind w:firstLine="480" w:firstLineChars="200"/>
        <w:rPr>
          <w:color w:val="auto"/>
          <w:highlight w:val="none"/>
        </w:rPr>
      </w:pPr>
      <w:r>
        <w:rPr>
          <w:color w:val="auto"/>
          <w:highlight w:val="none"/>
        </w:rPr>
        <w:t>（2）</w:t>
      </w:r>
    </w:p>
    <w:p w14:paraId="4B0A040C">
      <w:pPr>
        <w:spacing w:line="400" w:lineRule="exact"/>
        <w:ind w:firstLine="480" w:firstLineChars="200"/>
        <w:rPr>
          <w:color w:val="auto"/>
          <w:highlight w:val="none"/>
        </w:rPr>
      </w:pPr>
      <w:r>
        <w:rPr>
          <w:color w:val="auto"/>
          <w:highlight w:val="none"/>
        </w:rPr>
        <w:t>将机器学习和深度强化学习等</w:t>
      </w:r>
      <w:r>
        <w:rPr>
          <w:rFonts w:hint="eastAsia"/>
          <w:color w:val="auto"/>
          <w:highlight w:val="none"/>
        </w:rPr>
        <w:t>智能方法</w:t>
      </w:r>
      <w:r>
        <w:rPr>
          <w:color w:val="auto"/>
          <w:highlight w:val="none"/>
        </w:rPr>
        <w:t>引入</w:t>
      </w:r>
      <w:r>
        <w:rPr>
          <w:rFonts w:hint="eastAsia"/>
          <w:color w:val="auto"/>
          <w:highlight w:val="none"/>
        </w:rPr>
        <w:t>到</w:t>
      </w:r>
      <w:r>
        <w:rPr>
          <w:color w:val="auto"/>
          <w:highlight w:val="none"/>
        </w:rPr>
        <w:t>电网项目投资能力测算</w:t>
      </w:r>
      <w:r>
        <w:rPr>
          <w:rFonts w:hint="eastAsia"/>
          <w:color w:val="auto"/>
          <w:highlight w:val="none"/>
        </w:rPr>
        <w:t>模型</w:t>
      </w:r>
      <w:r>
        <w:rPr>
          <w:color w:val="auto"/>
          <w:highlight w:val="none"/>
        </w:rPr>
        <w:t>中，</w:t>
      </w:r>
      <w:r>
        <w:rPr>
          <w:rFonts w:hint="eastAsia"/>
          <w:color w:val="auto"/>
          <w:highlight w:val="none"/>
        </w:rPr>
        <w:t>并</w:t>
      </w:r>
      <w:r>
        <w:rPr>
          <w:color w:val="auto"/>
          <w:highlight w:val="none"/>
        </w:rPr>
        <w:t>通过主成分分析筛选关键影响因素，提高电网项目投资能力测算的准确性</w:t>
      </w:r>
      <w:r>
        <w:rPr>
          <w:rFonts w:hint="eastAsia"/>
          <w:color w:val="auto"/>
          <w:highlight w:val="none"/>
        </w:rPr>
        <w:t>，为电网项目投资决策优化工作提供数据支撑</w:t>
      </w:r>
      <w:r>
        <w:rPr>
          <w:color w:val="auto"/>
          <w:highlight w:val="none"/>
        </w:rPr>
        <w:t>。</w:t>
      </w:r>
    </w:p>
    <w:p w14:paraId="706D1CC7">
      <w:pPr>
        <w:spacing w:line="400" w:lineRule="exact"/>
        <w:ind w:firstLine="480" w:firstLineChars="200"/>
        <w:rPr>
          <w:color w:val="auto"/>
        </w:rPr>
      </w:pPr>
      <w:r>
        <w:rPr>
          <w:color w:val="auto"/>
        </w:rPr>
        <w:t>（3）</w:t>
      </w:r>
      <w:r>
        <w:rPr>
          <w:rFonts w:hint="eastAsia"/>
          <w:color w:val="auto"/>
        </w:rPr>
        <w:t>建立</w:t>
      </w:r>
      <w:r>
        <w:rPr>
          <w:color w:val="auto"/>
        </w:rPr>
        <w:t>了基于增广Lagrange乘子法的</w:t>
      </w:r>
      <w:r>
        <w:rPr>
          <w:rFonts w:hint="eastAsia"/>
          <w:color w:val="auto"/>
        </w:rPr>
        <w:t>J电网项目投资智能决策</w:t>
      </w:r>
      <w:r>
        <w:rPr>
          <w:color w:val="auto"/>
        </w:rPr>
        <w:t>混合灰狼优化</w:t>
      </w:r>
      <w:r>
        <w:rPr>
          <w:rFonts w:hint="eastAsia"/>
          <w:color w:val="auto"/>
        </w:rPr>
        <w:t>模型</w:t>
      </w:r>
    </w:p>
    <w:p w14:paraId="5A4A25D0">
      <w:pPr>
        <w:spacing w:line="400" w:lineRule="exact"/>
        <w:ind w:firstLine="480" w:firstLineChars="200"/>
        <w:rPr>
          <w:color w:val="auto"/>
        </w:rPr>
      </w:pPr>
      <w:bookmarkStart w:id="71" w:name="_Hlk193979810"/>
      <w:r>
        <w:rPr>
          <w:rFonts w:hint="eastAsia"/>
          <w:color w:val="auto"/>
        </w:rPr>
        <w:t>通过建立</w:t>
      </w:r>
      <w:r>
        <w:rPr>
          <w:color w:val="auto"/>
        </w:rPr>
        <w:t>基于增广Lagrange乘子法的</w:t>
      </w:r>
      <w:r>
        <w:rPr>
          <w:rFonts w:hint="eastAsia"/>
          <w:color w:val="auto"/>
        </w:rPr>
        <w:t>J电网项目投资智能决策</w:t>
      </w:r>
      <w:r>
        <w:rPr>
          <w:color w:val="auto"/>
        </w:rPr>
        <w:t>混合灰狼优化</w:t>
      </w:r>
      <w:r>
        <w:rPr>
          <w:rFonts w:hint="eastAsia"/>
          <w:color w:val="auto"/>
        </w:rPr>
        <w:t>模型</w:t>
      </w:r>
      <w:bookmarkEnd w:id="71"/>
      <w:r>
        <w:rPr>
          <w:color w:val="auto"/>
        </w:rPr>
        <w:t>，结合增广Lagrange乘子法的全局收敛性和灰狼优化算法的局部搜索能力，对于</w:t>
      </w:r>
      <w:r>
        <w:rPr>
          <w:rFonts w:hint="eastAsia"/>
          <w:color w:val="auto"/>
        </w:rPr>
        <w:t>当前新型电力系统构建背景下</w:t>
      </w:r>
      <w:r>
        <w:rPr>
          <w:color w:val="auto"/>
        </w:rPr>
        <w:t>求解</w:t>
      </w:r>
      <w:r>
        <w:rPr>
          <w:rFonts w:hint="eastAsia"/>
          <w:color w:val="auto"/>
        </w:rPr>
        <w:t>电网项目投资决策</w:t>
      </w:r>
      <w:r>
        <w:rPr>
          <w:color w:val="auto"/>
        </w:rPr>
        <w:t>复杂多目标问题效率较高，能够</w:t>
      </w:r>
      <w:r>
        <w:rPr>
          <w:rFonts w:hint="eastAsia"/>
          <w:color w:val="auto"/>
        </w:rPr>
        <w:t>有效</w:t>
      </w:r>
      <w:r>
        <w:rPr>
          <w:color w:val="auto"/>
        </w:rPr>
        <w:t>提升电网项目投资智能决策水平，从而适应新型电力系统背景下</w:t>
      </w:r>
      <w:r>
        <w:rPr>
          <w:rFonts w:hint="eastAsia"/>
          <w:color w:val="auto"/>
        </w:rPr>
        <w:t>的</w:t>
      </w:r>
      <w:r>
        <w:rPr>
          <w:color w:val="auto"/>
        </w:rPr>
        <w:t>电网项目投资决策需要。</w:t>
      </w:r>
    </w:p>
    <w:p w14:paraId="69997427">
      <w:pPr>
        <w:spacing w:before="312" w:beforeLines="100" w:after="156" w:afterLines="50" w:line="400" w:lineRule="exact"/>
        <w:jc w:val="center"/>
        <w:rPr>
          <w:rFonts w:eastAsia="黑体"/>
          <w:color w:val="auto"/>
          <w:sz w:val="36"/>
          <w:szCs w:val="36"/>
        </w:rPr>
        <w:sectPr>
          <w:footerReference r:id="rId8" w:type="default"/>
          <w:footnotePr>
            <w:numFmt w:val="decimalEnclosedCircleChinese"/>
          </w:footnotePr>
          <w:endnotePr>
            <w:numFmt w:val="decimal"/>
          </w:endnotePr>
          <w:pgSz w:w="11906" w:h="16838"/>
          <w:pgMar w:top="1440" w:right="1800" w:bottom="1440" w:left="1800" w:header="1077" w:footer="1077" w:gutter="0"/>
          <w:pgNumType w:start="1"/>
          <w:cols w:space="425" w:num="1"/>
          <w:docGrid w:type="lines" w:linePitch="312" w:charSpace="0"/>
        </w:sectPr>
      </w:pPr>
      <w:bookmarkStart w:id="72" w:name="_Toc1915"/>
    </w:p>
    <w:p w14:paraId="3F09E2F8">
      <w:pPr>
        <w:spacing w:before="312" w:beforeLines="100" w:after="156" w:afterLines="50" w:line="300" w:lineRule="auto"/>
        <w:jc w:val="center"/>
        <w:outlineLvl w:val="0"/>
        <w:rPr>
          <w:rFonts w:eastAsia="黑体"/>
          <w:color w:val="auto"/>
          <w:sz w:val="36"/>
          <w:szCs w:val="36"/>
        </w:rPr>
      </w:pPr>
      <w:bookmarkStart w:id="73" w:name="_Toc192967097"/>
      <w:bookmarkStart w:id="74" w:name="_Toc193967335"/>
      <w:r>
        <w:rPr>
          <w:rFonts w:eastAsia="黑体"/>
          <w:color w:val="auto"/>
          <w:sz w:val="36"/>
          <w:szCs w:val="36"/>
        </w:rPr>
        <w:t>第2章 相关理论基础</w:t>
      </w:r>
      <w:bookmarkEnd w:id="72"/>
      <w:bookmarkEnd w:id="73"/>
      <w:bookmarkEnd w:id="74"/>
    </w:p>
    <w:p w14:paraId="79552606">
      <w:pPr>
        <w:spacing w:before="156" w:beforeLines="50" w:after="156" w:afterLines="50" w:line="324" w:lineRule="auto"/>
        <w:outlineLvl w:val="1"/>
        <w:rPr>
          <w:rFonts w:eastAsia="黑体"/>
          <w:color w:val="auto"/>
          <w:sz w:val="30"/>
          <w:szCs w:val="30"/>
        </w:rPr>
      </w:pPr>
      <w:bookmarkStart w:id="75" w:name="_Toc193967336"/>
      <w:bookmarkStart w:id="76" w:name="_Toc192967098"/>
      <w:bookmarkStart w:id="77" w:name="_Toc3173"/>
      <w:r>
        <w:rPr>
          <w:rFonts w:eastAsia="黑体"/>
          <w:color w:val="auto"/>
          <w:sz w:val="30"/>
          <w:szCs w:val="30"/>
        </w:rPr>
        <w:t>2.1 新型电力系统相关理论</w:t>
      </w:r>
      <w:bookmarkEnd w:id="75"/>
      <w:bookmarkEnd w:id="76"/>
      <w:bookmarkEnd w:id="77"/>
    </w:p>
    <w:p w14:paraId="52A09D87">
      <w:pPr>
        <w:spacing w:before="156" w:beforeLines="50" w:after="156" w:afterLines="50" w:line="400" w:lineRule="exact"/>
        <w:outlineLvl w:val="2"/>
        <w:rPr>
          <w:rFonts w:eastAsia="黑体"/>
          <w:color w:val="auto"/>
          <w:sz w:val="28"/>
          <w:szCs w:val="28"/>
        </w:rPr>
      </w:pPr>
      <w:bookmarkStart w:id="78" w:name="_Toc192967099"/>
      <w:bookmarkStart w:id="79" w:name="_Toc24212"/>
      <w:bookmarkStart w:id="80" w:name="_Toc193967337"/>
      <w:r>
        <w:rPr>
          <w:rFonts w:eastAsia="黑体"/>
          <w:color w:val="auto"/>
          <w:sz w:val="28"/>
          <w:szCs w:val="28"/>
        </w:rPr>
        <w:t>2.1.1 新型电力系统特征</w:t>
      </w:r>
      <w:bookmarkEnd w:id="78"/>
      <w:bookmarkEnd w:id="79"/>
      <w:bookmarkEnd w:id="80"/>
    </w:p>
    <w:p w14:paraId="7793003D">
      <w:pPr>
        <w:spacing w:line="400" w:lineRule="exact"/>
        <w:ind w:firstLine="480" w:firstLineChars="200"/>
        <w:rPr>
          <w:color w:val="auto"/>
        </w:rPr>
      </w:pPr>
      <w:r>
        <w:rPr>
          <w:rFonts w:hint="eastAsia"/>
          <w:color w:val="auto"/>
        </w:rPr>
        <w:t>面对气候变化，逐步建设新型电力系统，推动能源结构转型，减少温室气体排放，是能源电力行业的重要议题。传统的以火力为主的发电形式受限于化石燃料资源存量和温室气体排放，难以独立和全面支撑可持续发展的需求。</w:t>
      </w:r>
      <w:r>
        <w:rPr>
          <w:color w:val="auto"/>
        </w:rPr>
        <w:t>新型电力系统是适应</w:t>
      </w:r>
      <w:r>
        <w:rPr>
          <w:rFonts w:hint="eastAsia"/>
          <w:color w:val="auto"/>
        </w:rPr>
        <w:t>我国</w:t>
      </w:r>
      <w:r>
        <w:rPr>
          <w:color w:val="auto"/>
        </w:rPr>
        <w:t>能源转型需求，以清洁能源为主体、灵活性资源为支撑的现代化电力系统</w:t>
      </w:r>
      <w:r>
        <w:rPr>
          <w:rFonts w:hint="eastAsia"/>
          <w:color w:val="auto"/>
        </w:rPr>
        <w:t>。构建新型电力系统能够助力我国摆脱对传统能源的过度依赖，建立能源供应保障新体系，实现新发展阶段的可持续发展</w:t>
      </w:r>
      <w:r>
        <w:rPr>
          <w:color w:val="auto"/>
        </w:rPr>
        <w:t>。根据《中共中央 国务院关于完整准确全面贯彻新发展理念做好碳达峰碳中和工作的意见》以及《</w:t>
      </w:r>
      <w:r>
        <w:rPr>
          <w:rFonts w:hint="eastAsia"/>
          <w:color w:val="auto"/>
        </w:rPr>
        <w:t>“</w:t>
      </w:r>
      <w:r>
        <w:rPr>
          <w:color w:val="auto"/>
        </w:rPr>
        <w:t>十四五</w:t>
      </w:r>
      <w:r>
        <w:rPr>
          <w:rFonts w:hint="eastAsia"/>
          <w:color w:val="auto"/>
        </w:rPr>
        <w:t>”</w:t>
      </w:r>
      <w:r>
        <w:rPr>
          <w:color w:val="auto"/>
        </w:rPr>
        <w:t>现代能源体系规划》等文件的要求。新型电力系</w:t>
      </w:r>
      <w:r>
        <w:rPr>
          <w:rFonts w:hint="eastAsia"/>
          <w:color w:val="auto"/>
        </w:rPr>
        <w:t>统</w:t>
      </w:r>
      <w:r>
        <w:rPr>
          <w:color w:val="auto"/>
        </w:rPr>
        <w:t>的特征主要</w:t>
      </w:r>
      <w:r>
        <w:rPr>
          <w:rFonts w:hint="eastAsia"/>
          <w:color w:val="auto"/>
        </w:rPr>
        <w:t>包括</w:t>
      </w:r>
      <w:r>
        <w:rPr>
          <w:color w:val="auto"/>
        </w:rPr>
        <w:t>清洁低碳、安全</w:t>
      </w:r>
      <w:r>
        <w:rPr>
          <w:rFonts w:hint="eastAsia"/>
          <w:color w:val="auto"/>
        </w:rPr>
        <w:t>可控</w:t>
      </w:r>
      <w:r>
        <w:rPr>
          <w:color w:val="auto"/>
        </w:rPr>
        <w:t>、经济高效、智能友好、开放互动等五个方面。</w:t>
      </w:r>
    </w:p>
    <w:p w14:paraId="42A3B795">
      <w:pPr>
        <w:numPr>
          <w:ilvl w:val="0"/>
          <w:numId w:val="1"/>
        </w:numPr>
        <w:spacing w:line="400" w:lineRule="exact"/>
        <w:ind w:firstLine="480" w:firstLineChars="200"/>
        <w:rPr>
          <w:color w:val="auto"/>
        </w:rPr>
      </w:pPr>
      <w:r>
        <w:rPr>
          <w:rFonts w:hint="eastAsia"/>
          <w:color w:val="auto"/>
        </w:rPr>
        <w:t>清洁低碳</w:t>
      </w:r>
    </w:p>
    <w:p w14:paraId="09075F22">
      <w:pPr>
        <w:spacing w:line="400" w:lineRule="exact"/>
        <w:ind w:firstLine="480" w:firstLineChars="200"/>
        <w:rPr>
          <w:color w:val="auto"/>
        </w:rPr>
      </w:pPr>
      <w:r>
        <w:rPr>
          <w:rFonts w:hint="eastAsia"/>
          <w:color w:val="auto"/>
        </w:rPr>
        <w:t>新型电力系统中，高比例、大规模的新能源并网是显著的特征之一。当前，我们国家新能源发电规模稳居世界第一，良好的自然资源条件以及成熟的发电技术推动能源供给从传统化石能源向风能、太阳能等可再生能源主导转变。与此同时，</w:t>
      </w:r>
      <w:r>
        <w:rPr>
          <w:color w:val="auto"/>
        </w:rPr>
        <w:t>在新型低碳零碳技术的引领下，电力系统碳排放总量</w:t>
      </w:r>
      <w:r>
        <w:rPr>
          <w:rFonts w:hint="eastAsia"/>
          <w:color w:val="auto"/>
        </w:rPr>
        <w:t>将</w:t>
      </w:r>
      <w:r>
        <w:rPr>
          <w:color w:val="auto"/>
        </w:rPr>
        <w:t>逐步下降至净零水平。各行业先进电气化技术及装备发展水平取得突破，电能替代在工业、交通、建筑等领域得到较为充分的发展。电能逐步成为终端能源消费的主体，助力终端能源消费的低碳化转型</w:t>
      </w:r>
      <w:r>
        <w:rPr>
          <w:rFonts w:hint="eastAsia"/>
          <w:color w:val="auto"/>
        </w:rPr>
        <w:t>，实现能源消费</w:t>
      </w:r>
      <w:r>
        <w:rPr>
          <w:color w:val="auto"/>
        </w:rPr>
        <w:t>清洁低碳是</w:t>
      </w:r>
      <w:r>
        <w:rPr>
          <w:rFonts w:hint="eastAsia"/>
          <w:color w:val="auto"/>
        </w:rPr>
        <w:t>我们</w:t>
      </w:r>
      <w:r>
        <w:rPr>
          <w:color w:val="auto"/>
        </w:rPr>
        <w:t>构建新型电力系统的核心目标。</w:t>
      </w:r>
    </w:p>
    <w:p w14:paraId="30FCF871">
      <w:pPr>
        <w:numPr>
          <w:ilvl w:val="0"/>
          <w:numId w:val="1"/>
        </w:numPr>
        <w:spacing w:line="400" w:lineRule="exact"/>
        <w:ind w:firstLine="480" w:firstLineChars="200"/>
        <w:rPr>
          <w:color w:val="auto"/>
        </w:rPr>
      </w:pPr>
      <w:r>
        <w:rPr>
          <w:rFonts w:hint="eastAsia"/>
          <w:color w:val="auto"/>
        </w:rPr>
        <w:t>安全可控</w:t>
      </w:r>
    </w:p>
    <w:p w14:paraId="350FF50E">
      <w:pPr>
        <w:spacing w:line="400" w:lineRule="exact"/>
        <w:ind w:firstLine="480" w:firstLineChars="200"/>
        <w:rPr>
          <w:color w:val="auto"/>
        </w:rPr>
      </w:pPr>
      <w:r>
        <w:rPr>
          <w:color w:val="auto"/>
        </w:rPr>
        <w:t>安全</w:t>
      </w:r>
      <w:r>
        <w:rPr>
          <w:rFonts w:hint="eastAsia"/>
          <w:color w:val="auto"/>
        </w:rPr>
        <w:t>可控</w:t>
      </w:r>
      <w:r>
        <w:rPr>
          <w:color w:val="auto"/>
        </w:rPr>
        <w:t>是构建新型电力系统的基本前提。新型电力系统中，新能源通过提升可靠支撑能力逐步向系统主体电源转变。煤电仍是电力安全保障的</w:t>
      </w:r>
      <w:r>
        <w:rPr>
          <w:rFonts w:hint="eastAsia"/>
          <w:color w:val="auto"/>
        </w:rPr>
        <w:t>“</w:t>
      </w:r>
      <w:r>
        <w:rPr>
          <w:color w:val="auto"/>
        </w:rPr>
        <w:t>压舱石</w:t>
      </w:r>
      <w:r>
        <w:rPr>
          <w:rFonts w:hint="eastAsia"/>
          <w:color w:val="auto"/>
        </w:rPr>
        <w:t>”</w:t>
      </w:r>
      <w:r>
        <w:rPr>
          <w:color w:val="auto"/>
        </w:rPr>
        <w:t>，承担基础保障的</w:t>
      </w:r>
      <w:r>
        <w:rPr>
          <w:rFonts w:hint="eastAsia"/>
          <w:color w:val="auto"/>
        </w:rPr>
        <w:t>“</w:t>
      </w:r>
      <w:r>
        <w:rPr>
          <w:color w:val="auto"/>
        </w:rPr>
        <w:t>重担</w:t>
      </w:r>
      <w:r>
        <w:rPr>
          <w:rFonts w:hint="eastAsia"/>
          <w:color w:val="auto"/>
        </w:rPr>
        <w:t>”</w:t>
      </w:r>
      <w:r>
        <w:rPr>
          <w:color w:val="auto"/>
        </w:rPr>
        <w:t>。多时间尺度储能协同运行，支撑电力系统实现动态平衡。</w:t>
      </w:r>
      <w:r>
        <w:rPr>
          <w:rFonts w:hint="eastAsia"/>
          <w:color w:val="auto"/>
        </w:rPr>
        <w:t>“</w:t>
      </w:r>
      <w:r>
        <w:rPr>
          <w:color w:val="auto"/>
        </w:rPr>
        <w:t>大电源、大电网</w:t>
      </w:r>
      <w:r>
        <w:rPr>
          <w:rFonts w:hint="eastAsia"/>
          <w:color w:val="auto"/>
        </w:rPr>
        <w:t>”</w:t>
      </w:r>
      <w:r>
        <w:rPr>
          <w:color w:val="auto"/>
        </w:rPr>
        <w:t>与</w:t>
      </w:r>
      <w:r>
        <w:rPr>
          <w:rFonts w:hint="eastAsia"/>
          <w:color w:val="auto"/>
        </w:rPr>
        <w:t>“</w:t>
      </w:r>
      <w:r>
        <w:rPr>
          <w:color w:val="auto"/>
        </w:rPr>
        <w:t>分布式</w:t>
      </w:r>
      <w:r>
        <w:rPr>
          <w:rFonts w:hint="eastAsia"/>
          <w:color w:val="auto"/>
        </w:rPr>
        <w:t>”</w:t>
      </w:r>
      <w:r>
        <w:rPr>
          <w:color w:val="auto"/>
        </w:rPr>
        <w:t>兼容并举、多种电网形态并存，共同支撑系统安全稳定运行。适应高比例新能源的电力市场与碳市场、能源市场高度耦合共同促进能源电力体系的高效</w:t>
      </w:r>
      <w:r>
        <w:rPr>
          <w:rFonts w:hint="eastAsia"/>
          <w:color w:val="auto"/>
        </w:rPr>
        <w:t>运转。</w:t>
      </w:r>
    </w:p>
    <w:p w14:paraId="6C9FC7D8">
      <w:pPr>
        <w:numPr>
          <w:ilvl w:val="0"/>
          <w:numId w:val="1"/>
        </w:numPr>
        <w:spacing w:line="400" w:lineRule="exact"/>
        <w:ind w:firstLine="480" w:firstLineChars="200"/>
        <w:rPr>
          <w:color w:val="auto"/>
        </w:rPr>
      </w:pPr>
      <w:r>
        <w:rPr>
          <w:rFonts w:hint="eastAsia"/>
          <w:color w:val="auto"/>
        </w:rPr>
        <w:t>经济高效</w:t>
      </w:r>
    </w:p>
    <w:p w14:paraId="24277638">
      <w:pPr>
        <w:spacing w:line="400" w:lineRule="exact"/>
        <w:ind w:firstLine="480" w:firstLineChars="200"/>
        <w:rPr>
          <w:color w:val="auto"/>
        </w:rPr>
      </w:pPr>
      <w:r>
        <w:rPr>
          <w:rFonts w:hint="eastAsia"/>
          <w:color w:val="auto"/>
        </w:rPr>
        <w:t>新型电力系统构建，对于电力市场中的发电-输变电-用电各个环节的参与主体都提出了较高的要求。构建新型电力系统对于电力生产设备的更新迭代和技术升级要求变高，发电侧要投入大量资金以适应新型电力系统需求。同时，对于电网输变电能力和调度管理能力的要求也显著提高，这意味着电网要加大投资力度进行基建项目建设和改造，同时提升智能化数字化能力以实现对电力资源的有效协同管理，减少停电损失和电能浪费。对于用户而言，在新型电力系统中，角色定位也由过去的单向用电向双向互动转变，以更加主动的作为参与到电力市场建设中，实现综合效益最大化。</w:t>
      </w:r>
    </w:p>
    <w:p w14:paraId="6C1CBE55">
      <w:pPr>
        <w:numPr>
          <w:ilvl w:val="0"/>
          <w:numId w:val="1"/>
        </w:numPr>
        <w:spacing w:line="400" w:lineRule="exact"/>
        <w:ind w:firstLine="480" w:firstLineChars="200"/>
        <w:rPr>
          <w:color w:val="auto"/>
        </w:rPr>
      </w:pPr>
      <w:r>
        <w:rPr>
          <w:rFonts w:hint="eastAsia"/>
          <w:color w:val="auto"/>
        </w:rPr>
        <w:t>智能友好</w:t>
      </w:r>
    </w:p>
    <w:p w14:paraId="7BC4080D">
      <w:pPr>
        <w:spacing w:line="400" w:lineRule="exact"/>
        <w:ind w:firstLine="480" w:firstLineChars="200"/>
        <w:rPr>
          <w:color w:val="auto"/>
        </w:rPr>
      </w:pPr>
      <w:r>
        <w:rPr>
          <w:color w:val="auto"/>
        </w:rPr>
        <w:t>智</w:t>
      </w:r>
      <w:r>
        <w:rPr>
          <w:rFonts w:hint="eastAsia"/>
          <w:color w:val="auto"/>
        </w:rPr>
        <w:t>能友好</w:t>
      </w:r>
      <w:r>
        <w:rPr>
          <w:color w:val="auto"/>
        </w:rPr>
        <w:t>是构建新型电力系统的基础保障。新型电力系统以数据为核心驱动，呈现数字与物理系统深度融合特点</w:t>
      </w:r>
      <w:r>
        <w:rPr>
          <w:rFonts w:hint="eastAsia"/>
          <w:color w:val="auto"/>
        </w:rPr>
        <w:t>，比如当前电网系统正在使用的设备资产精益管理系统PMS3.0</w:t>
      </w:r>
      <w:r>
        <w:rPr>
          <w:color w:val="auto"/>
        </w:rPr>
        <w:t>。适应新型电力系统海量异构资源的广泛接入、密集交互和统筹调度，</w:t>
      </w:r>
      <w:r>
        <w:rPr>
          <w:rFonts w:hint="eastAsia"/>
          <w:color w:val="auto"/>
        </w:rPr>
        <w:t>“</w:t>
      </w:r>
      <w:r>
        <w:rPr>
          <w:color w:val="auto"/>
        </w:rPr>
        <w:t>云大物移智链边</w:t>
      </w:r>
      <w:r>
        <w:rPr>
          <w:rFonts w:hint="eastAsia"/>
          <w:color w:val="auto"/>
        </w:rPr>
        <w:t>”</w:t>
      </w:r>
      <w:r>
        <w:rPr>
          <w:color w:val="auto"/>
        </w:rPr>
        <w:t>等先进数字信息技术在电力系统各环节广泛应用，助力各环节实现高度数字化、智慧化、网络化的革新升级，有效支撑源网荷储海量分散对象的协同运行和多种市场机制下系统复杂运行状态的精准决策，推动以电力为核心的能源体系实现多种能源的高效转化和利用。</w:t>
      </w:r>
    </w:p>
    <w:p w14:paraId="67BB706D">
      <w:pPr>
        <w:spacing w:line="400" w:lineRule="exact"/>
        <w:ind w:firstLine="480" w:firstLineChars="200"/>
        <w:rPr>
          <w:color w:val="auto"/>
        </w:rPr>
      </w:pPr>
      <w:r>
        <w:rPr>
          <w:rFonts w:hint="eastAsia"/>
          <w:color w:val="auto"/>
        </w:rPr>
        <w:t>（5）开放互动</w:t>
      </w:r>
    </w:p>
    <w:p w14:paraId="37AA0234">
      <w:pPr>
        <w:spacing w:line="400" w:lineRule="exact"/>
        <w:ind w:firstLine="480" w:firstLineChars="200"/>
        <w:rPr>
          <w:color w:val="auto"/>
        </w:rPr>
      </w:pPr>
      <w:r>
        <w:rPr>
          <w:rFonts w:hint="eastAsia"/>
          <w:color w:val="auto"/>
        </w:rPr>
        <w:t>新型电力系统具有广泛的包容性和市场参与度。该系统适应各类新技术、新设备以及多元负荷大规模接入，并与电力市场紧密融合。各类市场主体在此环境中广泛参与、充分竞争、主动响应、双向互动，突破传统电力系统的单向供能模式，依托能源互联网构建多主体协同生态，促进源网荷储一体化互动，支持多元主体参与电力交易与需求响应，形成开放共享的能源服务体系。</w:t>
      </w:r>
    </w:p>
    <w:p w14:paraId="4631B365">
      <w:pPr>
        <w:spacing w:before="156" w:beforeLines="50" w:after="156" w:afterLines="50" w:line="400" w:lineRule="exact"/>
        <w:outlineLvl w:val="2"/>
        <w:rPr>
          <w:color w:val="auto"/>
        </w:rPr>
      </w:pPr>
      <w:bookmarkStart w:id="81" w:name="_Toc31347"/>
      <w:bookmarkStart w:id="82" w:name="_Toc192967100"/>
      <w:bookmarkStart w:id="83" w:name="_Toc193967338"/>
      <w:r>
        <w:rPr>
          <w:rFonts w:eastAsia="黑体"/>
          <w:color w:val="auto"/>
          <w:sz w:val="28"/>
          <w:szCs w:val="28"/>
        </w:rPr>
        <w:t>2.1.2 新型电力系统内涵</w:t>
      </w:r>
      <w:bookmarkEnd w:id="81"/>
      <w:bookmarkEnd w:id="82"/>
      <w:bookmarkEnd w:id="83"/>
    </w:p>
    <w:p w14:paraId="51524385">
      <w:pPr>
        <w:spacing w:line="400" w:lineRule="exact"/>
        <w:ind w:firstLine="480" w:firstLineChars="200"/>
        <w:rPr>
          <w:color w:val="auto"/>
        </w:rPr>
      </w:pPr>
      <w:r>
        <w:rPr>
          <w:rFonts w:hint="eastAsia"/>
          <w:color w:val="auto"/>
        </w:rPr>
        <w:t>新型电力系统响应国家能源安全战略和“碳达峰、碳中和”目标，以服务我国社会经济高质量发展为首要任务，是未来生态文明建设整体布局的重要一环。新型电力系统融合了电力行业的先进理念、技术、市场和机制创新，与其他行业协同发展，通过广泛而深刻的经济社会系统性变革，可靠智能地实现广域地理空间下电力多尺度高效调配和多模式供需平衡，促成更多领域、更大范围的有机联系和精密协调，形成全社会节能增效、清洁低碳的电力生产、传输和配用局面。</w:t>
      </w:r>
    </w:p>
    <w:p w14:paraId="744D1106">
      <w:pPr>
        <w:spacing w:line="400" w:lineRule="exact"/>
        <w:ind w:firstLine="480" w:firstLineChars="200"/>
        <w:rPr>
          <w:rFonts w:hint="eastAsia"/>
          <w:color w:val="auto"/>
        </w:rPr>
      </w:pPr>
      <w:r>
        <w:rPr>
          <w:rFonts w:hint="eastAsia"/>
          <w:color w:val="auto"/>
        </w:rPr>
        <w:t>为准确理解和把握新型电力系统内涵，从电源侧、电网侧和需求侧出发，分析新型电力系统的内涵和内容具有重要意义，也能够指导电网投资决策。</w:t>
      </w:r>
    </w:p>
    <w:p w14:paraId="72150BFB">
      <w:pPr>
        <w:spacing w:line="400" w:lineRule="exact"/>
        <w:ind w:firstLine="480" w:firstLineChars="200"/>
        <w:rPr>
          <w:color w:val="auto"/>
        </w:rPr>
      </w:pPr>
      <w:r>
        <w:rPr>
          <w:rFonts w:hint="eastAsia"/>
          <w:color w:val="auto"/>
        </w:rPr>
        <w:t>（1）电源侧</w:t>
      </w:r>
    </w:p>
    <w:p w14:paraId="0CC36A46">
      <w:pPr>
        <w:spacing w:line="400" w:lineRule="exact"/>
        <w:ind w:firstLine="480" w:firstLineChars="200"/>
        <w:rPr>
          <w:color w:val="auto"/>
        </w:rPr>
      </w:pPr>
      <w:r>
        <w:rPr>
          <w:rFonts w:hint="eastAsia"/>
          <w:color w:val="auto"/>
        </w:rPr>
        <w:t>在电源侧，规模化、强随机波动的新能源电力是新型电力系统安全稳定运行的首要挑战。因此，要立足自身资源禀赋，因地制宜建设大型清洁能源基地、分布式新能源，并合理配置风、光、水、火、储等不同电源形式并发挥其多源互补作用，以促进电力生产脱碳，同时确保新型电力系统稳定性。</w:t>
      </w:r>
    </w:p>
    <w:p w14:paraId="752616B9">
      <w:pPr>
        <w:spacing w:line="400" w:lineRule="exact"/>
        <w:ind w:firstLine="480" w:firstLineChars="200"/>
        <w:rPr>
          <w:color w:val="auto"/>
        </w:rPr>
      </w:pPr>
      <w:r>
        <w:rPr>
          <w:rFonts w:hint="eastAsia"/>
          <w:color w:val="auto"/>
        </w:rPr>
        <w:t>（2）电网侧</w:t>
      </w:r>
    </w:p>
    <w:p w14:paraId="0C980B4F">
      <w:pPr>
        <w:spacing w:line="400" w:lineRule="exact"/>
        <w:ind w:firstLine="480" w:firstLineChars="200"/>
        <w:rPr>
          <w:color w:val="auto"/>
        </w:rPr>
      </w:pPr>
      <w:r>
        <w:rPr>
          <w:rFonts w:hint="eastAsia"/>
          <w:color w:val="auto"/>
        </w:rPr>
        <w:t>在电网侧，高比例风光新能源电力使得电源侧电力电子化、弱惯量支撑等特点逐渐显现，在有功/无功调度、频率/电压支撑等方面为现有电力系统运行带来显著威胁。因此，要研发电压源性逆变器，研制构网型风电场、光伏电站，充分利用飞轮、锂电、超级电容等混合储能方式，发展构网型源网协同与安全防御控制，对提升新能源电力电网友好性、保障电力系统安全稳定运行具有重要作用。</w:t>
      </w:r>
    </w:p>
    <w:p w14:paraId="00B61BFA">
      <w:pPr>
        <w:spacing w:line="400" w:lineRule="exact"/>
        <w:ind w:firstLine="480" w:firstLineChars="200"/>
        <w:rPr>
          <w:color w:val="auto"/>
        </w:rPr>
      </w:pPr>
      <w:r>
        <w:rPr>
          <w:rFonts w:hint="eastAsia"/>
          <w:color w:val="auto"/>
        </w:rPr>
        <w:t>（3）需求侧</w:t>
      </w:r>
    </w:p>
    <w:p w14:paraId="02897EB1">
      <w:pPr>
        <w:spacing w:line="400" w:lineRule="exact"/>
        <w:ind w:firstLine="480" w:firstLineChars="200"/>
        <w:rPr>
          <w:rFonts w:hint="eastAsia"/>
          <w:color w:val="auto"/>
        </w:rPr>
      </w:pPr>
      <w:r>
        <w:rPr>
          <w:rFonts w:hint="eastAsia"/>
          <w:color w:val="auto"/>
        </w:rPr>
        <w:t>在需求侧，电力负荷成为重要随机源，在典型环境、政策与复杂社会用电习惯交互下严重干扰电力系统运行秩序，甚至在极端条件下危及电力安全。因此，要大力推进新型用电方式和电能替代，合理执行电力市场交易及分时电价政策，引入多容量、多类型用户储能方式，有序利用可平抑负荷资源并深度挖掘工业生产与用户消费等需求响应潜力，构建电力负荷需求管理机制，促进供需互动纳入“源–网–荷–储”一体化管控，助推新型电力系统节能降耗。</w:t>
      </w:r>
    </w:p>
    <w:p w14:paraId="0178F3C2">
      <w:pPr>
        <w:spacing w:before="156" w:beforeLines="50" w:after="156" w:afterLines="50" w:line="324" w:lineRule="auto"/>
        <w:outlineLvl w:val="1"/>
        <w:rPr>
          <w:rFonts w:eastAsia="黑体"/>
          <w:color w:val="auto"/>
          <w:sz w:val="30"/>
          <w:szCs w:val="30"/>
        </w:rPr>
      </w:pPr>
      <w:bookmarkStart w:id="84" w:name="_Toc4095"/>
      <w:bookmarkStart w:id="85" w:name="_Toc192967101"/>
      <w:bookmarkStart w:id="86" w:name="_Toc193967339"/>
      <w:r>
        <w:rPr>
          <w:rFonts w:eastAsia="黑体"/>
          <w:color w:val="auto"/>
          <w:sz w:val="30"/>
          <w:szCs w:val="30"/>
        </w:rPr>
        <w:t>2.2 电网项目投资决策</w:t>
      </w:r>
      <w:r>
        <w:rPr>
          <w:rFonts w:hint="eastAsia" w:eastAsia="黑体"/>
          <w:color w:val="auto"/>
          <w:sz w:val="30"/>
          <w:szCs w:val="30"/>
        </w:rPr>
        <w:t>相关基础</w:t>
      </w:r>
      <w:r>
        <w:rPr>
          <w:rFonts w:eastAsia="黑体"/>
          <w:color w:val="auto"/>
          <w:sz w:val="30"/>
          <w:szCs w:val="30"/>
        </w:rPr>
        <w:t>理论</w:t>
      </w:r>
      <w:bookmarkEnd w:id="84"/>
      <w:bookmarkEnd w:id="85"/>
      <w:bookmarkEnd w:id="86"/>
    </w:p>
    <w:p w14:paraId="6E6B704D">
      <w:pPr>
        <w:spacing w:line="400" w:lineRule="exact"/>
        <w:ind w:firstLine="480" w:firstLineChars="200"/>
        <w:rPr>
          <w:color w:val="auto"/>
        </w:rPr>
      </w:pPr>
      <w:r>
        <w:rPr>
          <w:rFonts w:hint="eastAsia"/>
          <w:color w:val="auto"/>
        </w:rPr>
        <w:t>电网项目投资决策理论是指导电网项目投资的关键工具。当前的理论体系已形成“财务-技术-环境”三维评估架构，具有动态性、系统性与前瞻性。国际能源署在《全球能源投资展望》中强调，现代电网投资决策必须实现传统财务工具与新兴分析范式的深度融合，既要继承净现值法的价值量化精髓，又要突破其静态分析局限。在应用时，当前会运用到的有净现值法、内部收益率法、实物期权法、</w:t>
      </w:r>
      <w:bookmarkStart w:id="87" w:name="_Hlk193984390"/>
      <w:r>
        <w:rPr>
          <w:rFonts w:hint="eastAsia"/>
          <w:color w:val="auto"/>
        </w:rPr>
        <w:t>环境成本内部化机制</w:t>
      </w:r>
      <w:bookmarkEnd w:id="87"/>
      <w:r>
        <w:rPr>
          <w:rFonts w:hint="eastAsia"/>
          <w:color w:val="auto"/>
        </w:rPr>
        <w:t>等评估方法。</w:t>
      </w:r>
    </w:p>
    <w:p w14:paraId="14D5D207">
      <w:pPr>
        <w:spacing w:before="156" w:beforeLines="50" w:after="156" w:afterLines="50" w:line="400" w:lineRule="exact"/>
        <w:outlineLvl w:val="2"/>
        <w:rPr>
          <w:rFonts w:eastAsia="黑体"/>
          <w:color w:val="auto"/>
          <w:sz w:val="28"/>
          <w:szCs w:val="28"/>
        </w:rPr>
      </w:pPr>
      <w:r>
        <w:rPr>
          <w:rFonts w:hint="eastAsia" w:eastAsia="黑体"/>
          <w:color w:val="auto"/>
          <w:sz w:val="28"/>
          <w:szCs w:val="28"/>
        </w:rPr>
        <w:t>2.2.1净现值法</w:t>
      </w:r>
    </w:p>
    <w:p w14:paraId="4AE02960">
      <w:pPr>
        <w:spacing w:line="400" w:lineRule="exact"/>
        <w:ind w:firstLine="480" w:firstLineChars="200"/>
        <w:rPr>
          <w:color w:val="auto"/>
        </w:rPr>
      </w:pPr>
      <w:r>
        <w:rPr>
          <w:rFonts w:hint="eastAsia"/>
          <w:color w:val="auto"/>
        </w:rPr>
        <w:t>净现值法由美国经济学家Joel Dean在产业资本研究领域中提出的折现现金流模型。净现值方法的本质是通过时间价值转换机制，将项目全生命周期的预期收益与成本转化为可比对的经济价值量</w:t>
      </w:r>
      <w:r>
        <w:rPr>
          <w:rStyle w:val="24"/>
          <w:color w:val="auto"/>
        </w:rPr>
        <w:fldChar w:fldCharType="begin"/>
      </w:r>
      <w:r>
        <w:rPr>
          <w:color w:val="auto"/>
          <w:vertAlign w:val="superscript"/>
        </w:rPr>
        <w:instrText xml:space="preserve"> </w:instrText>
      </w:r>
      <w:r>
        <w:rPr>
          <w:rFonts w:hint="eastAsia"/>
          <w:color w:val="auto"/>
          <w:vertAlign w:val="superscript"/>
        </w:rPr>
        <w:instrText xml:space="preserve">REF _Ref193984988 \r \h</w:instrText>
      </w:r>
      <w:r>
        <w:rPr>
          <w:color w:val="auto"/>
          <w:vertAlign w:val="superscript"/>
        </w:rPr>
        <w:instrText xml:space="preserve"> </w:instrText>
      </w:r>
      <w:r>
        <w:rPr>
          <w:rStyle w:val="24"/>
          <w:color w:val="auto"/>
        </w:rPr>
        <w:instrText xml:space="preserve"> \* MERGEFORMAT </w:instrText>
      </w:r>
      <w:r>
        <w:rPr>
          <w:rStyle w:val="24"/>
          <w:color w:val="auto"/>
        </w:rPr>
        <w:fldChar w:fldCharType="separate"/>
      </w:r>
      <w:r>
        <w:rPr>
          <w:color w:val="auto"/>
          <w:vertAlign w:val="superscript"/>
        </w:rPr>
        <w:t>[44]</w:t>
      </w:r>
      <w:r>
        <w:rPr>
          <w:rStyle w:val="24"/>
          <w:color w:val="auto"/>
        </w:rPr>
        <w:fldChar w:fldCharType="end"/>
      </w:r>
      <w:r>
        <w:rPr>
          <w:rFonts w:hint="eastAsia"/>
          <w:color w:val="auto"/>
        </w:rPr>
        <w:t>。在电网项目投资场景中，应用净现值法可以动态调整电力负荷曲线、设备残值估算及技术迭代风险等参数，计算模型从最初的静态折现发展为融合蒙特卡洛模拟的动态预测体系，在复杂的问题应用中表现出更强的适用性和准确性。</w:t>
      </w:r>
    </w:p>
    <w:p w14:paraId="0C6F06D9">
      <w:pPr>
        <w:spacing w:before="156" w:beforeLines="50" w:after="156" w:afterLines="50" w:line="400" w:lineRule="exact"/>
        <w:outlineLvl w:val="2"/>
        <w:rPr>
          <w:rFonts w:eastAsia="黑体"/>
          <w:color w:val="auto"/>
          <w:sz w:val="28"/>
          <w:szCs w:val="28"/>
        </w:rPr>
      </w:pPr>
      <w:r>
        <w:rPr>
          <w:rFonts w:hint="eastAsia" w:eastAsia="黑体"/>
          <w:color w:val="auto"/>
          <w:sz w:val="28"/>
          <w:szCs w:val="28"/>
        </w:rPr>
        <w:t>2.2.2内部收益率法</w:t>
      </w:r>
    </w:p>
    <w:p w14:paraId="061A60AD">
      <w:pPr>
        <w:spacing w:line="400" w:lineRule="exact"/>
        <w:ind w:firstLine="480" w:firstLineChars="200"/>
        <w:rPr>
          <w:color w:val="auto"/>
        </w:rPr>
      </w:pPr>
      <w:r>
        <w:rPr>
          <w:rFonts w:hint="eastAsia"/>
          <w:color w:val="auto"/>
        </w:rPr>
        <w:t>内部收益率法由Francis Robinson在20世纪初提出，用于解决资本预算的收益衡量难题。该方法的核心在于寻找使项目净现值为零的临界收益率，这个特性在电网项目投资领域非常具有很强的实用价值</w:t>
      </w:r>
      <w:r>
        <w:rPr>
          <w:rStyle w:val="24"/>
          <w:color w:val="auto"/>
        </w:rPr>
        <w:fldChar w:fldCharType="begin"/>
      </w:r>
      <w:r>
        <w:rPr>
          <w:color w:val="auto"/>
          <w:vertAlign w:val="superscript"/>
        </w:rPr>
        <w:instrText xml:space="preserve"> </w:instrText>
      </w:r>
      <w:r>
        <w:rPr>
          <w:rFonts w:hint="eastAsia"/>
          <w:color w:val="auto"/>
          <w:vertAlign w:val="superscript"/>
        </w:rPr>
        <w:instrText xml:space="preserve">REF _Ref193985120 \r \h</w:instrText>
      </w:r>
      <w:r>
        <w:rPr>
          <w:color w:val="auto"/>
          <w:vertAlign w:val="superscript"/>
        </w:rPr>
        <w:instrText xml:space="preserve"> </w:instrText>
      </w:r>
      <w:r>
        <w:rPr>
          <w:rStyle w:val="24"/>
          <w:color w:val="auto"/>
        </w:rPr>
        <w:instrText xml:space="preserve"> \* MERGEFORMAT </w:instrText>
      </w:r>
      <w:r>
        <w:rPr>
          <w:rStyle w:val="24"/>
          <w:color w:val="auto"/>
        </w:rPr>
        <w:fldChar w:fldCharType="separate"/>
      </w:r>
      <w:r>
        <w:rPr>
          <w:color w:val="auto"/>
          <w:vertAlign w:val="superscript"/>
        </w:rPr>
        <w:t>[45]</w:t>
      </w:r>
      <w:r>
        <w:rPr>
          <w:rStyle w:val="24"/>
          <w:color w:val="auto"/>
        </w:rPr>
        <w:fldChar w:fldCharType="end"/>
      </w:r>
      <w:r>
        <w:rPr>
          <w:rFonts w:hint="eastAsia"/>
          <w:color w:val="auto"/>
        </w:rPr>
        <w:t>。当评估具有多重技术路径选择的新能源接入工程时，内部收益率法可直观反映不同技术方案的内在盈利能力差异，从而帮助决策者进行决策分析。但实践表明，传统内部收益率法在应对电网项目特有的规模经济效应时存在局限，但现代决策框架已将其改进为增量内部收益率分析模型，更适应电网扩建工程的分阶段决策需求。</w:t>
      </w:r>
    </w:p>
    <w:p w14:paraId="67305BA4">
      <w:pPr>
        <w:spacing w:before="156" w:beforeLines="50" w:after="156" w:afterLines="50" w:line="400" w:lineRule="exact"/>
        <w:outlineLvl w:val="2"/>
        <w:rPr>
          <w:rFonts w:eastAsia="黑体"/>
          <w:color w:val="auto"/>
          <w:sz w:val="28"/>
          <w:szCs w:val="28"/>
        </w:rPr>
      </w:pPr>
      <w:r>
        <w:rPr>
          <w:rFonts w:hint="eastAsia" w:eastAsia="黑体"/>
          <w:color w:val="auto"/>
          <w:sz w:val="28"/>
          <w:szCs w:val="28"/>
        </w:rPr>
        <w:t>2.2.3实物期权法</w:t>
      </w:r>
    </w:p>
    <w:p w14:paraId="3E6786F8">
      <w:pPr>
        <w:spacing w:line="400" w:lineRule="exact"/>
        <w:ind w:firstLine="480" w:firstLineChars="200"/>
        <w:rPr>
          <w:color w:val="auto"/>
        </w:rPr>
      </w:pPr>
      <w:r>
        <w:rPr>
          <w:rFonts w:hint="eastAsia"/>
          <w:color w:val="auto"/>
        </w:rPr>
        <w:t>实物期权法是一种投资决策分析的理论框架。它将投资机会视为一种期权，赋予决策者在未来特定时间以特定条件进行投资的权利。考虑了不确定性、灵活性和时机选择对投资价值的影响，强调延迟投资、扩展或收缩项目的选项具有价值。与传统评估方法相比，实物期权理论更能准确地反映复杂现实环境下的投资决策特性</w:t>
      </w:r>
      <w:r>
        <w:rPr>
          <w:rStyle w:val="24"/>
          <w:color w:val="auto"/>
        </w:rPr>
        <w:fldChar w:fldCharType="begin"/>
      </w:r>
      <w:r>
        <w:rPr>
          <w:color w:val="auto"/>
          <w:vertAlign w:val="superscript"/>
        </w:rPr>
        <w:instrText xml:space="preserve"> </w:instrText>
      </w:r>
      <w:r>
        <w:rPr>
          <w:rFonts w:hint="eastAsia"/>
          <w:color w:val="auto"/>
          <w:vertAlign w:val="superscript"/>
        </w:rPr>
        <w:instrText xml:space="preserve">REF _Ref193988151 \r \h</w:instrText>
      </w:r>
      <w:r>
        <w:rPr>
          <w:color w:val="auto"/>
          <w:vertAlign w:val="superscript"/>
        </w:rPr>
        <w:instrText xml:space="preserve"> </w:instrText>
      </w:r>
      <w:r>
        <w:rPr>
          <w:rStyle w:val="24"/>
          <w:color w:val="auto"/>
        </w:rPr>
        <w:instrText xml:space="preserve"> \* MERGEFORMAT </w:instrText>
      </w:r>
      <w:r>
        <w:rPr>
          <w:rStyle w:val="24"/>
          <w:color w:val="auto"/>
        </w:rPr>
        <w:fldChar w:fldCharType="separate"/>
      </w:r>
      <w:r>
        <w:rPr>
          <w:color w:val="auto"/>
          <w:vertAlign w:val="superscript"/>
        </w:rPr>
        <w:t>[46]</w:t>
      </w:r>
      <w:r>
        <w:rPr>
          <w:rStyle w:val="24"/>
          <w:color w:val="auto"/>
        </w:rPr>
        <w:fldChar w:fldCharType="end"/>
      </w:r>
      <w:r>
        <w:rPr>
          <w:rFonts w:hint="eastAsia"/>
          <w:color w:val="auto"/>
        </w:rPr>
        <w:t>。这个方法为电网项目投资中的不确定性管理提供了新工具。实物期权法可适用于评估具有技术路线不确定性的智能电网项目。</w:t>
      </w:r>
    </w:p>
    <w:p w14:paraId="004EF612">
      <w:pPr>
        <w:spacing w:before="156" w:beforeLines="50" w:after="156" w:afterLines="50" w:line="400" w:lineRule="exact"/>
        <w:outlineLvl w:val="2"/>
        <w:rPr>
          <w:rFonts w:eastAsia="黑体"/>
          <w:color w:val="auto"/>
          <w:sz w:val="28"/>
          <w:szCs w:val="28"/>
        </w:rPr>
      </w:pPr>
      <w:r>
        <w:rPr>
          <w:rFonts w:hint="eastAsia" w:eastAsia="黑体"/>
          <w:color w:val="auto"/>
          <w:sz w:val="28"/>
          <w:szCs w:val="28"/>
        </w:rPr>
        <w:t>2.2.4环境成本内部化机制</w:t>
      </w:r>
    </w:p>
    <w:p w14:paraId="754CA5E8">
      <w:pPr>
        <w:spacing w:line="400" w:lineRule="exact"/>
        <w:ind w:firstLine="480" w:firstLineChars="200"/>
        <w:rPr>
          <w:color w:val="auto"/>
        </w:rPr>
      </w:pPr>
      <w:r>
        <w:rPr>
          <w:rFonts w:hint="eastAsia"/>
          <w:color w:val="auto"/>
        </w:rPr>
        <w:t>随着碳定价机制的全球化推进，现代电网项目投资决策必须整合生态价值计量模型。要求将电网项目的环境外部性转化为可量化的经济参数，构建包含碳足迹追踪、生物多样性影响系数等因素的新型评估体系</w:t>
      </w:r>
      <w:r>
        <w:rPr>
          <w:rStyle w:val="24"/>
          <w:color w:val="auto"/>
        </w:rPr>
        <w:fldChar w:fldCharType="begin"/>
      </w:r>
      <w:r>
        <w:rPr>
          <w:color w:val="auto"/>
          <w:vertAlign w:val="superscript"/>
        </w:rPr>
        <w:instrText xml:space="preserve"> </w:instrText>
      </w:r>
      <w:r>
        <w:rPr>
          <w:rFonts w:hint="eastAsia"/>
          <w:color w:val="auto"/>
          <w:vertAlign w:val="superscript"/>
        </w:rPr>
        <w:instrText xml:space="preserve">REF _Ref193989473 \r \h</w:instrText>
      </w:r>
      <w:r>
        <w:rPr>
          <w:color w:val="auto"/>
          <w:vertAlign w:val="superscript"/>
        </w:rPr>
        <w:instrText xml:space="preserve"> </w:instrText>
      </w:r>
      <w:r>
        <w:rPr>
          <w:rStyle w:val="24"/>
          <w:color w:val="auto"/>
        </w:rPr>
        <w:instrText xml:space="preserve"> \* MERGEFORMAT </w:instrText>
      </w:r>
      <w:r>
        <w:rPr>
          <w:rStyle w:val="24"/>
          <w:color w:val="auto"/>
        </w:rPr>
        <w:fldChar w:fldCharType="separate"/>
      </w:r>
      <w:r>
        <w:rPr>
          <w:color w:val="auto"/>
          <w:vertAlign w:val="superscript"/>
        </w:rPr>
        <w:t>[47]</w:t>
      </w:r>
      <w:r>
        <w:rPr>
          <w:rStyle w:val="24"/>
          <w:color w:val="auto"/>
        </w:rPr>
        <w:fldChar w:fldCharType="end"/>
      </w:r>
      <w:r>
        <w:rPr>
          <w:rFonts w:hint="eastAsia"/>
          <w:color w:val="auto"/>
        </w:rPr>
        <w:t>。德国在北海海上风电并网工程中首创的生态损益平衡模型，建立了电网规划与区域生态承载力的动态反馈机制，就是在实践中的典型应用。</w:t>
      </w:r>
    </w:p>
    <w:p w14:paraId="4B89BD03">
      <w:pPr>
        <w:spacing w:before="156" w:beforeLines="50" w:after="156" w:afterLines="50" w:line="324" w:lineRule="auto"/>
        <w:outlineLvl w:val="1"/>
        <w:rPr>
          <w:rFonts w:eastAsia="黑体"/>
          <w:color w:val="auto"/>
          <w:sz w:val="30"/>
          <w:szCs w:val="30"/>
        </w:rPr>
      </w:pPr>
      <w:bookmarkStart w:id="88" w:name="_Toc1314"/>
      <w:bookmarkStart w:id="89" w:name="_Toc192967103"/>
      <w:bookmarkStart w:id="90" w:name="_Toc193967342"/>
      <w:r>
        <w:rPr>
          <w:rFonts w:eastAsia="黑体"/>
          <w:color w:val="auto"/>
          <w:sz w:val="30"/>
          <w:szCs w:val="30"/>
        </w:rPr>
        <w:t>2.</w:t>
      </w:r>
      <w:bookmarkEnd w:id="88"/>
      <w:r>
        <w:rPr>
          <w:rFonts w:hint="eastAsia" w:eastAsia="黑体"/>
          <w:color w:val="auto"/>
          <w:sz w:val="30"/>
          <w:szCs w:val="30"/>
        </w:rPr>
        <w:t>3</w:t>
      </w:r>
      <w:r>
        <w:rPr>
          <w:rFonts w:eastAsia="黑体"/>
          <w:color w:val="auto"/>
          <w:sz w:val="30"/>
          <w:szCs w:val="30"/>
        </w:rPr>
        <w:t>电网项目投资决策方法</w:t>
      </w:r>
      <w:r>
        <w:rPr>
          <w:rFonts w:hint="eastAsia" w:eastAsia="黑体"/>
          <w:color w:val="auto"/>
          <w:sz w:val="30"/>
          <w:szCs w:val="30"/>
        </w:rPr>
        <w:t>的</w:t>
      </w:r>
      <w:r>
        <w:rPr>
          <w:rFonts w:eastAsia="黑体"/>
          <w:color w:val="auto"/>
          <w:sz w:val="30"/>
          <w:szCs w:val="30"/>
        </w:rPr>
        <w:t>演进</w:t>
      </w:r>
      <w:bookmarkEnd w:id="89"/>
      <w:bookmarkEnd w:id="90"/>
    </w:p>
    <w:p w14:paraId="74F4C22C">
      <w:pPr>
        <w:spacing w:line="400" w:lineRule="exact"/>
        <w:ind w:firstLine="480" w:firstLineChars="200"/>
        <w:rPr>
          <w:color w:val="auto"/>
        </w:rPr>
      </w:pPr>
      <w:r>
        <w:rPr>
          <w:rFonts w:hint="eastAsia"/>
          <w:color w:val="auto"/>
        </w:rPr>
        <w:t>电网项目投资决策方法演进的内在逻辑表现为三重转变：从静态现金流分析转向动态情景模拟，从单目标优化升级为多准则协同，从封闭系统评估扩展至开放系统交互。这种转变既反映了新型电力系统从刚性能源网络向能源互联网转型的技术需求，也契合能源治理从工程思维向可持续治理演进的深层趋势。</w:t>
      </w:r>
    </w:p>
    <w:p w14:paraId="016E5112">
      <w:pPr>
        <w:spacing w:before="156" w:beforeLines="50" w:after="156" w:afterLines="50" w:line="400" w:lineRule="exact"/>
        <w:outlineLvl w:val="2"/>
        <w:rPr>
          <w:rFonts w:eastAsia="黑体"/>
          <w:color w:val="auto"/>
          <w:sz w:val="28"/>
          <w:szCs w:val="28"/>
        </w:rPr>
      </w:pPr>
      <w:r>
        <w:rPr>
          <w:rFonts w:hint="eastAsia" w:eastAsia="黑体"/>
          <w:color w:val="auto"/>
          <w:sz w:val="28"/>
          <w:szCs w:val="28"/>
        </w:rPr>
        <w:t>2.3.1早期财务评估阶段</w:t>
      </w:r>
    </w:p>
    <w:p w14:paraId="5C55F919">
      <w:pPr>
        <w:spacing w:line="400" w:lineRule="exact"/>
        <w:ind w:firstLine="480" w:firstLineChars="200"/>
        <w:rPr>
          <w:color w:val="auto"/>
        </w:rPr>
      </w:pPr>
      <w:r>
        <w:rPr>
          <w:rFonts w:hint="eastAsia"/>
          <w:color w:val="auto"/>
        </w:rPr>
        <w:t>Francis Robinson于1915年提出的内部收益率法（IRR），首次将项目全生命周期的资金流动纳入系统分析，奠定了投资决策的折现现金流思维。同期，Joel Dean 1930年代发展的净现值法（NPV），引入货币时间价值原理，构建了跨期价值比较的量化基准。这两种方法的提出，标志着电力项目投资评估从经验判断转向定量分析。但此阶段的决策模型局限于静态财务指标计算，未充分考量电网系统的技术约束与外部环境变量</w:t>
      </w:r>
      <w:r>
        <w:rPr>
          <w:rStyle w:val="24"/>
          <w:color w:val="auto"/>
        </w:rPr>
        <w:fldChar w:fldCharType="begin"/>
      </w:r>
      <w:r>
        <w:rPr>
          <w:color w:val="auto"/>
          <w:vertAlign w:val="superscript"/>
        </w:rPr>
        <w:instrText xml:space="preserve"> </w:instrText>
      </w:r>
      <w:r>
        <w:rPr>
          <w:rFonts w:hint="eastAsia"/>
          <w:color w:val="auto"/>
          <w:vertAlign w:val="superscript"/>
        </w:rPr>
        <w:instrText xml:space="preserve">REF _Ref193989719 \r \h</w:instrText>
      </w:r>
      <w:r>
        <w:rPr>
          <w:color w:val="auto"/>
          <w:vertAlign w:val="superscript"/>
        </w:rPr>
        <w:instrText xml:space="preserve"> </w:instrText>
      </w:r>
      <w:r>
        <w:rPr>
          <w:rStyle w:val="24"/>
          <w:color w:val="auto"/>
        </w:rPr>
        <w:instrText xml:space="preserve"> \* MERGEFORMAT </w:instrText>
      </w:r>
      <w:r>
        <w:rPr>
          <w:rStyle w:val="24"/>
          <w:color w:val="auto"/>
        </w:rPr>
        <w:fldChar w:fldCharType="separate"/>
      </w:r>
      <w:r>
        <w:rPr>
          <w:color w:val="auto"/>
          <w:vertAlign w:val="superscript"/>
        </w:rPr>
        <w:t>[48]</w:t>
      </w:r>
      <w:r>
        <w:rPr>
          <w:rStyle w:val="24"/>
          <w:color w:val="auto"/>
        </w:rPr>
        <w:fldChar w:fldCharType="end"/>
      </w:r>
      <w:r>
        <w:rPr>
          <w:rFonts w:hint="eastAsia"/>
          <w:color w:val="auto"/>
        </w:rPr>
        <w:t xml:space="preserve">。  </w:t>
      </w:r>
    </w:p>
    <w:p w14:paraId="620E36A1">
      <w:pPr>
        <w:spacing w:before="156" w:beforeLines="50" w:after="156" w:afterLines="50" w:line="400" w:lineRule="exact"/>
        <w:outlineLvl w:val="2"/>
        <w:rPr>
          <w:rFonts w:eastAsia="黑体"/>
          <w:color w:val="auto"/>
          <w:sz w:val="28"/>
          <w:szCs w:val="28"/>
        </w:rPr>
      </w:pPr>
      <w:r>
        <w:rPr>
          <w:rFonts w:hint="eastAsia" w:eastAsia="黑体"/>
          <w:color w:val="auto"/>
          <w:sz w:val="28"/>
          <w:szCs w:val="28"/>
        </w:rPr>
        <w:t>2.3.2系统分析方法革新阶段</w:t>
      </w:r>
    </w:p>
    <w:p w14:paraId="5746DA05">
      <w:pPr>
        <w:spacing w:line="400" w:lineRule="exact"/>
        <w:ind w:firstLine="480" w:firstLineChars="200"/>
        <w:rPr>
          <w:color w:val="auto"/>
        </w:rPr>
      </w:pPr>
      <w:r>
        <w:rPr>
          <w:rFonts w:hint="eastAsia"/>
          <w:color w:val="auto"/>
        </w:rPr>
        <w:t xml:space="preserve">随着系统工程理论的发展，决策方法开始突破单一财务维度。美国运筹学家Howard Raiffa在1968年提出的多准则决策理论（MCDM），首次将技术可靠性、负荷特性等非财务要素纳入投资决策评估体系。1984年麻省理工学院Stewart Miles提出的实物期权理论，为电网投资中的技术不确定性管理提供了新工具。该方法推动了投资决策评估模型从确定性分析向动态随机分析的转变。这一阶段的理论突破，使得决策方法能够更好应对电力市场化改革带来的价格波动风险。  </w:t>
      </w:r>
    </w:p>
    <w:p w14:paraId="0AA29755">
      <w:pPr>
        <w:spacing w:before="156" w:beforeLines="50" w:after="156" w:afterLines="50" w:line="400" w:lineRule="exact"/>
        <w:outlineLvl w:val="2"/>
        <w:rPr>
          <w:rFonts w:eastAsia="黑体"/>
          <w:color w:val="auto"/>
          <w:sz w:val="28"/>
          <w:szCs w:val="28"/>
        </w:rPr>
      </w:pPr>
      <w:r>
        <w:rPr>
          <w:rFonts w:hint="eastAsia" w:eastAsia="黑体"/>
          <w:color w:val="auto"/>
          <w:sz w:val="28"/>
          <w:szCs w:val="28"/>
        </w:rPr>
        <w:t>2.3.3可持续性范式构建阶段</w:t>
      </w:r>
    </w:p>
    <w:p w14:paraId="3054B246">
      <w:pPr>
        <w:spacing w:line="400" w:lineRule="exact"/>
        <w:ind w:firstLine="480" w:firstLineChars="200"/>
        <w:rPr>
          <w:color w:val="auto"/>
        </w:rPr>
      </w:pPr>
      <w:r>
        <w:rPr>
          <w:rFonts w:hint="eastAsia"/>
          <w:color w:val="auto"/>
        </w:rPr>
        <w:t>21世纪初至今，环境经济学的发展催生了决策理论的第三次变革。英国学者David Pierce在1993年提出的环境成本内化理论，促使电网投资评估纳入生态外部性参数。2009年联合国环境署提出的全成本评估框架（TCA），进一步要求将碳足迹、生物多样性影响等要素转化为可量化决策变量。当前理论体系已形成技术可行性、经济效率与环境可持续的三维评估架构，核心特征体现为动态耦合机制，既继承传统财务工具的价值量化逻辑，又通过系统动力学模型捕捉技术迭代与环境规制的交互影响，从而可以帮助我们对电网项目投资决策进行更为多维的考量，以提升投资决策活动的合理性。</w:t>
      </w:r>
    </w:p>
    <w:p w14:paraId="4CB10C53">
      <w:pPr>
        <w:spacing w:before="156" w:beforeLines="50" w:after="156" w:afterLines="50" w:line="324" w:lineRule="auto"/>
        <w:outlineLvl w:val="1"/>
        <w:rPr>
          <w:rFonts w:eastAsia="黑体"/>
          <w:color w:val="auto"/>
          <w:sz w:val="30"/>
          <w:szCs w:val="30"/>
        </w:rPr>
      </w:pPr>
      <w:r>
        <w:rPr>
          <w:rFonts w:hint="eastAsia" w:eastAsia="黑体"/>
          <w:color w:val="auto"/>
          <w:sz w:val="30"/>
          <w:szCs w:val="30"/>
        </w:rPr>
        <w:t xml:space="preserve">2.4 </w:t>
      </w:r>
      <w:bookmarkStart w:id="91" w:name="_Hlk193993134"/>
      <w:r>
        <w:rPr>
          <w:rFonts w:hint="eastAsia" w:eastAsia="黑体"/>
          <w:color w:val="auto"/>
          <w:sz w:val="30"/>
          <w:szCs w:val="30"/>
        </w:rPr>
        <w:t>电网项目投资决策问题求解方法介绍</w:t>
      </w:r>
    </w:p>
    <w:bookmarkEnd w:id="91"/>
    <w:p w14:paraId="235025F4">
      <w:pPr>
        <w:spacing w:before="156" w:beforeLines="50" w:after="156" w:afterLines="50" w:line="400" w:lineRule="exact"/>
        <w:outlineLvl w:val="2"/>
        <w:rPr>
          <w:rFonts w:eastAsia="黑体"/>
          <w:color w:val="auto"/>
          <w:sz w:val="28"/>
          <w:szCs w:val="28"/>
        </w:rPr>
      </w:pPr>
      <w:r>
        <w:rPr>
          <w:rFonts w:hint="eastAsia" w:eastAsia="黑体"/>
          <w:color w:val="auto"/>
          <w:sz w:val="28"/>
          <w:szCs w:val="28"/>
        </w:rPr>
        <w:t>2.4.1粒子群算法</w:t>
      </w:r>
    </w:p>
    <w:p w14:paraId="5350797A">
      <w:pPr>
        <w:spacing w:line="400" w:lineRule="exact"/>
        <w:ind w:firstLine="480" w:firstLineChars="200"/>
        <w:rPr>
          <w:color w:val="auto"/>
        </w:rPr>
      </w:pPr>
      <w:r>
        <w:rPr>
          <w:rFonts w:hint="eastAsia"/>
          <w:color w:val="auto"/>
        </w:rPr>
        <w:t>粒子群算法（PSO） 是一种依赖群体协作的随机搜索优化算法，受鸟群觅食行为的启发。PSO 算法最初由 Kennedy 和 Eberhart 提出</w:t>
      </w:r>
      <w:r>
        <w:rPr>
          <w:color w:val="auto"/>
          <w:vertAlign w:val="superscript"/>
        </w:rPr>
        <w:fldChar w:fldCharType="begin"/>
      </w:r>
      <w:r>
        <w:rPr>
          <w:color w:val="auto"/>
          <w:vertAlign w:val="superscript"/>
        </w:rPr>
        <w:instrText xml:space="preserve"> </w:instrText>
      </w:r>
      <w:r>
        <w:rPr>
          <w:rFonts w:hint="eastAsia"/>
          <w:color w:val="auto"/>
          <w:vertAlign w:val="superscript"/>
        </w:rPr>
        <w:instrText xml:space="preserve">REF _Ref193992691 \r \h</w:instrText>
      </w:r>
      <w:r>
        <w:rPr>
          <w:color w:val="auto"/>
          <w:vertAlign w:val="superscript"/>
        </w:rPr>
        <w:instrText xml:space="preserve">  \* MERGEFORMAT </w:instrText>
      </w:r>
      <w:r>
        <w:rPr>
          <w:color w:val="auto"/>
          <w:vertAlign w:val="superscript"/>
        </w:rPr>
        <w:fldChar w:fldCharType="separate"/>
      </w:r>
      <w:r>
        <w:rPr>
          <w:color w:val="auto"/>
          <w:vertAlign w:val="superscript"/>
        </w:rPr>
        <w:t>[49]</w:t>
      </w:r>
      <w:r>
        <w:rPr>
          <w:color w:val="auto"/>
          <w:vertAlign w:val="superscript"/>
        </w:rPr>
        <w:fldChar w:fldCharType="end"/>
      </w:r>
      <w:r>
        <w:rPr>
          <w:rFonts w:hint="eastAsia"/>
          <w:color w:val="auto"/>
        </w:rPr>
        <w:t>，通过模拟鸟群间的协作机制来寻找最优路径，从而获取问题的最优解。该算法与其他优化算法融合性良好。在 PSO 算法中，每个待求解的问题被视为搜索空间中的一个“粒子”，粒子代表候选解，具有适应值、速度和位置属性，速度指导移动方向和距离。粒子们通过群体协作，追踪当前最佳粒子，在解空间中搜索以获取最优解。</w:t>
      </w:r>
    </w:p>
    <w:p w14:paraId="03D75E47">
      <w:pPr>
        <w:spacing w:line="400" w:lineRule="exact"/>
        <w:ind w:firstLine="480" w:firstLineChars="200"/>
        <w:rPr>
          <w:rFonts w:hint="eastAsia"/>
          <w:color w:val="auto"/>
        </w:rPr>
      </w:pPr>
      <w:r>
        <w:rPr>
          <w:rFonts w:hint="eastAsia"/>
          <w:color w:val="auto"/>
        </w:rPr>
        <w:t>该算法已在多个领域得到广泛应用，特别是在物资运输路径规划、多目标优化、模式识别以及决策模拟等领域，其高效的搜索能力得到了充分验证和实际应用。近年来，在电网项目投资决策领域应用也较为普遍。粒子群算法的核心在于通过个体间的信息共享和协作，驱动整个群体在搜索空间中由无序逐渐转变为有序，以寻求最优解。</w:t>
      </w:r>
    </w:p>
    <w:p w14:paraId="5E59A058">
      <w:pPr>
        <w:spacing w:before="156" w:beforeLines="50" w:after="156" w:afterLines="50" w:line="400" w:lineRule="exact"/>
        <w:outlineLvl w:val="2"/>
        <w:rPr>
          <w:rFonts w:eastAsia="黑体"/>
          <w:color w:val="auto"/>
          <w:sz w:val="28"/>
          <w:szCs w:val="28"/>
        </w:rPr>
      </w:pPr>
      <w:r>
        <w:rPr>
          <w:rFonts w:hint="eastAsia" w:eastAsia="黑体"/>
          <w:color w:val="auto"/>
          <w:sz w:val="28"/>
          <w:szCs w:val="28"/>
        </w:rPr>
        <w:t>2.4.2遗传优化算法</w:t>
      </w:r>
    </w:p>
    <w:p w14:paraId="4EBA6A3A">
      <w:pPr>
        <w:tabs>
          <w:tab w:val="left" w:pos="2277"/>
        </w:tabs>
        <w:spacing w:line="400" w:lineRule="exact"/>
        <w:ind w:firstLine="480" w:firstLineChars="200"/>
        <w:rPr>
          <w:color w:val="auto"/>
        </w:rPr>
      </w:pPr>
      <w:r>
        <w:rPr>
          <w:color w:val="auto"/>
        </w:rPr>
        <w:t>遗传算法</w:t>
      </w:r>
      <w:r>
        <w:rPr>
          <w:rFonts w:hint="eastAsia"/>
          <w:color w:val="auto"/>
        </w:rPr>
        <w:t>通过</w:t>
      </w:r>
      <w:r>
        <w:rPr>
          <w:color w:val="auto"/>
        </w:rPr>
        <w:t>模拟生物进化与基因遗传</w:t>
      </w:r>
      <w:r>
        <w:rPr>
          <w:rFonts w:hint="eastAsia"/>
          <w:color w:val="auto"/>
        </w:rPr>
        <w:t>而对问题进行优化求解</w:t>
      </w:r>
      <w:r>
        <w:rPr>
          <w:color w:val="auto"/>
        </w:rPr>
        <w:t>，</w:t>
      </w:r>
      <w:r>
        <w:rPr>
          <w:rFonts w:hint="eastAsia"/>
          <w:color w:val="auto"/>
        </w:rPr>
        <w:t>1975年</w:t>
      </w:r>
      <w:r>
        <w:rPr>
          <w:color w:val="auto"/>
        </w:rPr>
        <w:t>由Holland提出</w:t>
      </w:r>
      <w:r>
        <w:rPr>
          <w:color w:val="auto"/>
          <w:highlight w:val="yellow"/>
          <w:vertAlign w:val="superscript"/>
        </w:rPr>
        <w:fldChar w:fldCharType="begin"/>
      </w:r>
      <w:r>
        <w:rPr>
          <w:color w:val="auto"/>
          <w:vertAlign w:val="superscript"/>
        </w:rPr>
        <w:instrText xml:space="preserve"> REF _Ref193992791 \r \h </w:instrText>
      </w:r>
      <w:r>
        <w:rPr>
          <w:color w:val="auto"/>
          <w:highlight w:val="yellow"/>
          <w:vertAlign w:val="superscript"/>
        </w:rPr>
        <w:instrText xml:space="preserve"> \* MERGEFORMAT </w:instrText>
      </w:r>
      <w:r>
        <w:rPr>
          <w:color w:val="auto"/>
          <w:highlight w:val="yellow"/>
          <w:vertAlign w:val="superscript"/>
        </w:rPr>
        <w:fldChar w:fldCharType="separate"/>
      </w:r>
      <w:r>
        <w:rPr>
          <w:color w:val="auto"/>
          <w:vertAlign w:val="superscript"/>
        </w:rPr>
        <w:t>[50]</w:t>
      </w:r>
      <w:r>
        <w:rPr>
          <w:color w:val="auto"/>
          <w:highlight w:val="yellow"/>
          <w:vertAlign w:val="superscript"/>
        </w:rPr>
        <w:fldChar w:fldCharType="end"/>
      </w:r>
      <w:r>
        <w:rPr>
          <w:color w:val="auto"/>
        </w:rPr>
        <w:t>。算法的主要</w:t>
      </w:r>
      <w:r>
        <w:rPr>
          <w:rFonts w:hint="eastAsia"/>
          <w:color w:val="auto"/>
        </w:rPr>
        <w:t>思路</w:t>
      </w:r>
      <w:r>
        <w:rPr>
          <w:color w:val="auto"/>
        </w:rPr>
        <w:t>是：将包含一定数量的编码个体的初始种群设定为目标问题的可行解集，通过遗传算子对初代种群进行迭代，以创建新的种群，计算个体对当前种群的适应度并保留下一代中的优秀个体。经过反复迭代，末代种群中的个体将比以前的种群更加适应环境，最后末代种群中最优秀的个体将通过基因解码成为目标问题的最优解。</w:t>
      </w:r>
    </w:p>
    <w:p w14:paraId="608A0497">
      <w:pPr>
        <w:tabs>
          <w:tab w:val="left" w:pos="2277"/>
        </w:tabs>
        <w:spacing w:line="400" w:lineRule="exact"/>
        <w:ind w:firstLine="480" w:firstLineChars="200"/>
        <w:rPr>
          <w:color w:val="auto"/>
        </w:rPr>
      </w:pPr>
      <w:r>
        <w:rPr>
          <w:color w:val="auto"/>
        </w:rPr>
        <w:t>遗传算法的种群由经过重新编码的网络结构组成，并将初代种群作为可行解的集合，种群内的优秀网络结构经遗传不断更新，最终获得分类准确度最高的网络结构</w:t>
      </w:r>
      <w:r>
        <w:rPr>
          <w:color w:val="auto"/>
          <w:highlight w:val="yellow"/>
          <w:vertAlign w:val="superscript"/>
        </w:rPr>
        <w:fldChar w:fldCharType="begin"/>
      </w:r>
      <w:r>
        <w:rPr>
          <w:color w:val="auto"/>
          <w:vertAlign w:val="superscript"/>
        </w:rPr>
        <w:instrText xml:space="preserve"> REF _Ref193992866 \r \h </w:instrText>
      </w:r>
      <w:r>
        <w:rPr>
          <w:color w:val="auto"/>
          <w:highlight w:val="yellow"/>
          <w:vertAlign w:val="superscript"/>
        </w:rPr>
        <w:instrText xml:space="preserve"> \* MERGEFORMAT </w:instrText>
      </w:r>
      <w:r>
        <w:rPr>
          <w:color w:val="auto"/>
          <w:highlight w:val="yellow"/>
          <w:vertAlign w:val="superscript"/>
        </w:rPr>
        <w:fldChar w:fldCharType="separate"/>
      </w:r>
      <w:r>
        <w:rPr>
          <w:color w:val="auto"/>
          <w:vertAlign w:val="superscript"/>
        </w:rPr>
        <w:t>[51]</w:t>
      </w:r>
      <w:r>
        <w:rPr>
          <w:color w:val="auto"/>
          <w:highlight w:val="yellow"/>
          <w:vertAlign w:val="superscript"/>
        </w:rPr>
        <w:fldChar w:fldCharType="end"/>
      </w:r>
      <w:r>
        <w:rPr>
          <w:color w:val="auto"/>
        </w:rPr>
        <w:t>，具体步骤如下：</w:t>
      </w:r>
    </w:p>
    <w:p w14:paraId="29DF06AC">
      <w:pPr>
        <w:tabs>
          <w:tab w:val="left" w:pos="2277"/>
        </w:tabs>
        <w:spacing w:line="400" w:lineRule="exact"/>
        <w:ind w:firstLine="480" w:firstLineChars="200"/>
        <w:rPr>
          <w:color w:val="auto"/>
        </w:rPr>
      </w:pPr>
      <w:r>
        <w:rPr>
          <w:color w:val="auto"/>
        </w:rPr>
        <w:t xml:space="preserve">（1）染色体的遗传编码 </w:t>
      </w:r>
    </w:p>
    <w:p w14:paraId="6C0FCAF3">
      <w:pPr>
        <w:tabs>
          <w:tab w:val="left" w:pos="2277"/>
        </w:tabs>
        <w:spacing w:line="400" w:lineRule="exact"/>
        <w:ind w:firstLine="480" w:firstLineChars="200"/>
        <w:rPr>
          <w:color w:val="auto"/>
        </w:rPr>
      </w:pPr>
      <w:r>
        <w:rPr>
          <w:color w:val="auto"/>
        </w:rPr>
        <w:t xml:space="preserve">遗传算法只能通过遗传编码间接处理参数，常用方法有矩阵编码、二进制编码、实数编码等。 </w:t>
      </w:r>
    </w:p>
    <w:p w14:paraId="34E9BDA5">
      <w:pPr>
        <w:tabs>
          <w:tab w:val="left" w:pos="2277"/>
        </w:tabs>
        <w:spacing w:line="400" w:lineRule="exact"/>
        <w:ind w:firstLine="480" w:firstLineChars="200"/>
        <w:rPr>
          <w:color w:val="auto"/>
        </w:rPr>
      </w:pPr>
      <w:r>
        <w:rPr>
          <w:color w:val="auto"/>
        </w:rPr>
        <w:t xml:space="preserve">（2）种群适应度 </w:t>
      </w:r>
    </w:p>
    <w:p w14:paraId="061D360A">
      <w:pPr>
        <w:tabs>
          <w:tab w:val="left" w:pos="2277"/>
        </w:tabs>
        <w:spacing w:line="400" w:lineRule="exact"/>
        <w:ind w:firstLine="480" w:firstLineChars="200"/>
        <w:rPr>
          <w:color w:val="auto"/>
        </w:rPr>
      </w:pPr>
      <w:r>
        <w:rPr>
          <w:color w:val="auto"/>
        </w:rPr>
        <w:t xml:space="preserve">种群适应度表征的是种群中的个体对环境的适应程度，在遗传算法中，为了更好地评判个体的优劣，必须确定解决目标问题的合适的适应度函数。 </w:t>
      </w:r>
    </w:p>
    <w:p w14:paraId="29AEE1F8">
      <w:pPr>
        <w:tabs>
          <w:tab w:val="left" w:pos="2277"/>
        </w:tabs>
        <w:spacing w:line="400" w:lineRule="exact"/>
        <w:ind w:firstLine="480" w:firstLineChars="200"/>
        <w:rPr>
          <w:color w:val="auto"/>
        </w:rPr>
      </w:pPr>
      <w:r>
        <w:rPr>
          <w:color w:val="auto"/>
        </w:rPr>
        <w:t>（3）遗传操作</w:t>
      </w:r>
    </w:p>
    <w:p w14:paraId="0845C451">
      <w:pPr>
        <w:tabs>
          <w:tab w:val="left" w:pos="2277"/>
        </w:tabs>
        <w:spacing w:line="400" w:lineRule="exact"/>
        <w:ind w:firstLine="480" w:firstLineChars="200"/>
        <w:rPr>
          <w:rFonts w:hint="eastAsia"/>
          <w:color w:val="auto"/>
        </w:rPr>
      </w:pPr>
      <w:r>
        <w:rPr>
          <w:color w:val="auto"/>
        </w:rPr>
        <w:t>选择、交叉和变异构成了遗传操作的主体，其中选择操作最为重要。选择操作可以通过评估个体的适应度、保留优秀个体、淘汰平庸个体来获得更好的后代。交叉操作可以通过交换个体的基因位点、通过选择种群中的任意两个个体来提高遗传算法的搜索能力、根据一定的概率选择具有新新基因个体的遗传变异操作位点，然后根据一定的可能发生改变的概率再次生成个体基因位点。通常情况下，设置的变异概率相对较小，这可以提高种群的收敛速度，确保群体的多样性不会发生太大变化。</w:t>
      </w:r>
    </w:p>
    <w:p w14:paraId="48BE45C7">
      <w:pPr>
        <w:spacing w:before="156" w:beforeLines="50" w:after="156" w:afterLines="50" w:line="300" w:lineRule="auto"/>
        <w:outlineLvl w:val="2"/>
        <w:rPr>
          <w:rFonts w:eastAsia="黑体"/>
          <w:color w:val="auto"/>
          <w:sz w:val="28"/>
          <w:szCs w:val="28"/>
        </w:rPr>
      </w:pPr>
      <w:r>
        <w:rPr>
          <w:rFonts w:hint="eastAsia" w:eastAsia="黑体"/>
          <w:color w:val="auto"/>
          <w:sz w:val="30"/>
          <w:szCs w:val="30"/>
        </w:rPr>
        <w:t xml:space="preserve">2.4.3 </w:t>
      </w:r>
      <w:r>
        <w:rPr>
          <w:rFonts w:eastAsia="黑体"/>
          <w:color w:val="auto"/>
          <w:sz w:val="28"/>
          <w:szCs w:val="28"/>
        </w:rPr>
        <w:t>增广Lagrange乘子法</w:t>
      </w:r>
    </w:p>
    <w:p w14:paraId="5DBB5036">
      <w:pPr>
        <w:spacing w:line="300" w:lineRule="auto"/>
        <w:ind w:firstLine="480" w:firstLineChars="200"/>
        <w:rPr>
          <w:color w:val="auto"/>
        </w:rPr>
      </w:pPr>
      <w:r>
        <w:rPr>
          <w:color w:val="auto"/>
        </w:rPr>
        <w:t>增广Lagrange乘子法是一种用于求解约束优化问题的有效方法，它将 Lagrange 乘子法与罚函数法相结合，既保留了 Lagrange 乘子法处理等式约束的优雅性，又吸收了罚函数法处理不等式或复杂约束的灵活性。方法的基本原理在于，首先通过引入 Lagrange 乘子将原问题的等式约束转化为目标函数的一部分，形成一个新的 Lagrange 函数。然后，为了增强对约束的满足程度，对违反约束的情况施加一个惩罚项，这个惩罚项与约束违反的程度成正比，从而构成增广 Lagrange 函数。</w:t>
      </w:r>
    </w:p>
    <w:p w14:paraId="68CD7B5C">
      <w:pPr>
        <w:spacing w:line="300" w:lineRule="auto"/>
        <w:ind w:firstLine="480" w:firstLineChars="200"/>
        <w:rPr>
          <w:rFonts w:hint="eastAsia"/>
          <w:color w:val="auto"/>
        </w:rPr>
      </w:pPr>
      <w:r>
        <w:rPr>
          <w:color w:val="auto"/>
        </w:rPr>
        <w:t>在迭代过程中，通过不断调整 Lagrange 乘子的值和惩罚项的权重，使得在寻求目标函数最小化的同时，逐渐逼近约束条件。当约束条件未被满足时，惩罚项会显著增大目标函数值，促使搜索方向向满足约束的方向移动。随着迭代的进行，惩罚项的权重逐渐增加，使得约束违反的程度逐渐减小，直至最终满足所有约束条件</w:t>
      </w:r>
      <w:r>
        <w:rPr>
          <w:color w:val="auto"/>
          <w:vertAlign w:val="superscript"/>
        </w:rPr>
        <w:fldChar w:fldCharType="begin"/>
      </w:r>
      <w:r>
        <w:rPr>
          <w:color w:val="auto"/>
          <w:vertAlign w:val="superscript"/>
        </w:rPr>
        <w:instrText xml:space="preserve"> REF _Ref193992997 \r \h  \* MERGEFORMAT </w:instrText>
      </w:r>
      <w:r>
        <w:rPr>
          <w:color w:val="auto"/>
          <w:vertAlign w:val="superscript"/>
        </w:rPr>
        <w:fldChar w:fldCharType="separate"/>
      </w:r>
      <w:r>
        <w:rPr>
          <w:color w:val="auto"/>
          <w:vertAlign w:val="superscript"/>
        </w:rPr>
        <w:t>[52]</w:t>
      </w:r>
      <w:r>
        <w:rPr>
          <w:color w:val="auto"/>
          <w:vertAlign w:val="superscript"/>
        </w:rPr>
        <w:fldChar w:fldCharType="end"/>
      </w:r>
      <w:r>
        <w:rPr>
          <w:color w:val="auto"/>
        </w:rPr>
        <w:t>。增广 Lagrange 乘子法还结合了 Lagrange 乘子法的精确性和罚函数法的鲁棒性，适用于处理各种复杂的约束优化问题，是优化理论中一种重要的求解方法。通过合理的参数选择和迭代策略，该方法能够有效地找到满足约束条件的最优解。</w:t>
      </w:r>
    </w:p>
    <w:p w14:paraId="6FEF57AF">
      <w:pPr>
        <w:spacing w:before="156" w:beforeLines="50" w:after="156" w:afterLines="50" w:line="300" w:lineRule="auto"/>
        <w:outlineLvl w:val="2"/>
        <w:rPr>
          <w:color w:val="auto"/>
        </w:rPr>
      </w:pPr>
      <w:r>
        <w:rPr>
          <w:rFonts w:hint="eastAsia" w:eastAsia="黑体"/>
          <w:color w:val="auto"/>
          <w:sz w:val="30"/>
          <w:szCs w:val="30"/>
        </w:rPr>
        <w:t xml:space="preserve">2.4.4 </w:t>
      </w:r>
      <w:r>
        <w:rPr>
          <w:rFonts w:eastAsia="黑体"/>
          <w:color w:val="auto"/>
          <w:sz w:val="28"/>
          <w:szCs w:val="28"/>
        </w:rPr>
        <w:t>灰狼优化算法</w:t>
      </w:r>
    </w:p>
    <w:p w14:paraId="5B81D224">
      <w:pPr>
        <w:spacing w:line="400" w:lineRule="exact"/>
        <w:ind w:firstLine="480" w:firstLineChars="200"/>
        <w:rPr>
          <w:color w:val="auto"/>
        </w:rPr>
      </w:pPr>
      <w:r>
        <w:rPr>
          <w:color w:val="auto"/>
        </w:rPr>
        <w:t>灰狼优化算法（Grey Wolf Optimizer，GWO）是一种受灰狼群体狩猎行为启发的优化算法，由 Mirjalili 等人在 2014 年提出，用于解决各种优化问题。在灰狼群体中，社会等级制度非常明确，分为</w:t>
      </w:r>
      <w:r>
        <w:rPr>
          <w:i/>
          <w:iCs/>
          <w:color w:val="auto"/>
        </w:rPr>
        <w:t>α</w:t>
      </w:r>
      <w:r>
        <w:rPr>
          <w:color w:val="auto"/>
        </w:rPr>
        <w:t>、</w:t>
      </w:r>
      <w:r>
        <w:rPr>
          <w:i/>
          <w:iCs/>
          <w:color w:val="auto"/>
        </w:rPr>
        <w:t>β</w:t>
      </w:r>
      <w:r>
        <w:rPr>
          <w:color w:val="auto"/>
        </w:rPr>
        <w:t>、</w:t>
      </w:r>
      <w:r>
        <w:rPr>
          <w:i/>
          <w:iCs/>
          <w:color w:val="auto"/>
        </w:rPr>
        <w:t>δ</w:t>
      </w:r>
      <w:r>
        <w:rPr>
          <w:color w:val="auto"/>
        </w:rPr>
        <w:t>和</w:t>
      </w:r>
      <w:r>
        <w:rPr>
          <w:i/>
          <w:iCs/>
          <w:color w:val="auto"/>
        </w:rPr>
        <w:t>ω</w:t>
      </w:r>
      <w:r>
        <w:rPr>
          <w:color w:val="auto"/>
        </w:rPr>
        <w:t>级别。</w:t>
      </w:r>
      <w:r>
        <w:rPr>
          <w:i/>
          <w:iCs/>
          <w:color w:val="auto"/>
        </w:rPr>
        <w:t>α</w:t>
      </w:r>
      <w:r>
        <w:rPr>
          <w:color w:val="auto"/>
        </w:rPr>
        <w:t>狼是群体的领导者，负责做出关键决策。</w:t>
      </w:r>
      <w:r>
        <w:rPr>
          <w:i/>
          <w:iCs/>
          <w:color w:val="auto"/>
        </w:rPr>
        <w:t>β</w:t>
      </w:r>
      <w:r>
        <w:rPr>
          <w:color w:val="auto"/>
        </w:rPr>
        <w:t>狼协助</w:t>
      </w:r>
      <w:r>
        <w:rPr>
          <w:i/>
          <w:iCs/>
          <w:color w:val="auto"/>
        </w:rPr>
        <w:t>α</w:t>
      </w:r>
      <w:r>
        <w:rPr>
          <w:color w:val="auto"/>
        </w:rPr>
        <w:t>狼，参与决策过程。</w:t>
      </w:r>
      <w:r>
        <w:rPr>
          <w:i/>
          <w:iCs/>
          <w:color w:val="auto"/>
        </w:rPr>
        <w:t>δ</w:t>
      </w:r>
      <w:r>
        <w:rPr>
          <w:color w:val="auto"/>
        </w:rPr>
        <w:t>狼需要听从</w:t>
      </w:r>
      <w:r>
        <w:rPr>
          <w:i/>
          <w:iCs/>
          <w:color w:val="auto"/>
        </w:rPr>
        <w:t>α</w:t>
      </w:r>
      <w:r>
        <w:rPr>
          <w:color w:val="auto"/>
        </w:rPr>
        <w:t>和</w:t>
      </w:r>
      <w:r>
        <w:rPr>
          <w:i/>
          <w:iCs/>
          <w:color w:val="auto"/>
        </w:rPr>
        <w:t>β</w:t>
      </w:r>
      <w:r>
        <w:rPr>
          <w:color w:val="auto"/>
        </w:rPr>
        <w:t xml:space="preserve"> 狼的命令，而</w:t>
      </w:r>
      <w:r>
        <w:rPr>
          <w:i/>
          <w:iCs/>
          <w:color w:val="auto"/>
        </w:rPr>
        <w:t>ω</w:t>
      </w:r>
      <w:r>
        <w:rPr>
          <w:color w:val="auto"/>
        </w:rPr>
        <w:t>狼处于群体的底层，必须服从群体的安排。这种等级制度在算法中体现为种群中每个个体的位置更新，依据其适应度值来决定，适应度高的个体在种群中处于领导地位，引领其他个体向更优区域移动</w:t>
      </w:r>
      <w:r>
        <w:rPr>
          <w:color w:val="auto"/>
          <w:vertAlign w:val="superscript"/>
        </w:rPr>
        <w:fldChar w:fldCharType="begin"/>
      </w:r>
      <w:r>
        <w:rPr>
          <w:color w:val="auto"/>
          <w:vertAlign w:val="superscript"/>
        </w:rPr>
        <w:instrText xml:space="preserve"> REF _Ref193993062 \r \h  \* MERGEFORMAT </w:instrText>
      </w:r>
      <w:r>
        <w:rPr>
          <w:color w:val="auto"/>
          <w:vertAlign w:val="superscript"/>
        </w:rPr>
        <w:fldChar w:fldCharType="separate"/>
      </w:r>
      <w:r>
        <w:rPr>
          <w:color w:val="auto"/>
          <w:vertAlign w:val="superscript"/>
        </w:rPr>
        <w:t>[53]</w:t>
      </w:r>
      <w:r>
        <w:rPr>
          <w:color w:val="auto"/>
          <w:vertAlign w:val="superscript"/>
        </w:rPr>
        <w:fldChar w:fldCharType="end"/>
      </w:r>
      <w:r>
        <w:rPr>
          <w:color w:val="auto"/>
        </w:rPr>
        <w:t>。灰狼的狩猎行为是算法的核心，包括包围猎物、向猎物移动并发动攻击。</w:t>
      </w:r>
    </w:p>
    <w:p w14:paraId="0CDAE8FC">
      <w:pPr>
        <w:spacing w:line="400" w:lineRule="exact"/>
        <w:ind w:firstLine="480" w:firstLineChars="200"/>
        <w:rPr>
          <w:rFonts w:hint="eastAsia"/>
          <w:color w:val="auto"/>
        </w:rPr>
      </w:pPr>
      <w:r>
        <w:rPr>
          <w:color w:val="auto"/>
        </w:rPr>
        <w:t xml:space="preserve">在算法中，猎物代表最优解，而灰狼的位置则代表候选解。通过模拟灰狼的这些行为，算法能够不断迭代，逐步逼近全局最优解。在包围猎物阶段，算法会根据当前最优解的位置，计算其他个体与最优解的距离，并相应地更新它们的位置。这就好比灰狼在发现猎物后，会从不同方向逐渐靠近猎物，缩小包围圈。在攻击猎物阶段，底层的 </w:t>
      </w:r>
      <w:r>
        <w:rPr>
          <w:i/>
          <w:iCs/>
          <w:color w:val="auto"/>
        </w:rPr>
        <w:t xml:space="preserve">ω </w:t>
      </w:r>
      <w:r>
        <w:rPr>
          <w:color w:val="auto"/>
        </w:rPr>
        <w:t xml:space="preserve">狼会根据 </w:t>
      </w:r>
      <w:r>
        <w:rPr>
          <w:i/>
          <w:iCs/>
          <w:color w:val="auto"/>
        </w:rPr>
        <w:t>α</w:t>
      </w:r>
      <w:r>
        <w:rPr>
          <w:color w:val="auto"/>
        </w:rPr>
        <w:t>、</w:t>
      </w:r>
      <w:r>
        <w:rPr>
          <w:i/>
          <w:iCs/>
          <w:color w:val="auto"/>
        </w:rPr>
        <w:t>β</w:t>
      </w:r>
      <w:r>
        <w:rPr>
          <w:color w:val="auto"/>
        </w:rPr>
        <w:t xml:space="preserve"> 和 δ 狼的位置，调整自己的方向和速度，最终完成对猎物的捕捉。这个过程在算法中体现为种群中各个个体根据优秀个体的位置信息，不断更新自身的位置，向更优的区域集中。它在迭代过程中，通过不断更新灰狼的位置，能够逐步逼近全局最优解。由于操作简单、参数少，GWO 算法在实际应用中表现出较高的效率和鲁棒性，成为求解复杂优化问题的有效工具之一。因此在电网项目投资决策中，灰狼优化算法可用于优化电网的拓扑结构、设备选型等问题。</w:t>
      </w:r>
    </w:p>
    <w:p w14:paraId="16BFE5C8">
      <w:pPr>
        <w:spacing w:before="156" w:beforeLines="50" w:after="156" w:afterLines="50" w:line="324" w:lineRule="auto"/>
        <w:outlineLvl w:val="1"/>
        <w:rPr>
          <w:rFonts w:eastAsia="黑体"/>
          <w:color w:val="auto"/>
          <w:sz w:val="30"/>
          <w:szCs w:val="30"/>
        </w:rPr>
      </w:pPr>
      <w:bookmarkStart w:id="92" w:name="_Toc2433"/>
      <w:bookmarkStart w:id="93" w:name="_Toc193967343"/>
      <w:bookmarkStart w:id="94" w:name="_Toc192967107"/>
      <w:r>
        <w:rPr>
          <w:rFonts w:eastAsia="黑体"/>
          <w:color w:val="auto"/>
          <w:sz w:val="30"/>
          <w:szCs w:val="30"/>
        </w:rPr>
        <w:t>2.</w:t>
      </w:r>
      <w:r>
        <w:rPr>
          <w:rFonts w:hint="eastAsia" w:eastAsia="黑体"/>
          <w:color w:val="auto"/>
          <w:sz w:val="30"/>
          <w:szCs w:val="30"/>
        </w:rPr>
        <w:t>5</w:t>
      </w:r>
      <w:r>
        <w:rPr>
          <w:rFonts w:eastAsia="黑体"/>
          <w:color w:val="auto"/>
          <w:sz w:val="30"/>
          <w:szCs w:val="30"/>
        </w:rPr>
        <w:t>本章小结</w:t>
      </w:r>
      <w:bookmarkEnd w:id="92"/>
      <w:bookmarkEnd w:id="93"/>
      <w:bookmarkEnd w:id="94"/>
    </w:p>
    <w:p w14:paraId="5ADEDF4E">
      <w:pPr>
        <w:tabs>
          <w:tab w:val="left" w:pos="3342"/>
        </w:tabs>
        <w:spacing w:line="400" w:lineRule="exact"/>
        <w:ind w:firstLine="480" w:firstLineChars="200"/>
        <w:rPr>
          <w:rFonts w:hint="eastAsia"/>
          <w:color w:val="auto"/>
        </w:rPr>
      </w:pPr>
      <w:r>
        <w:rPr>
          <w:color w:val="auto"/>
        </w:rPr>
        <w:t>本章</w:t>
      </w:r>
      <w:r>
        <w:rPr>
          <w:rFonts w:hint="eastAsia"/>
          <w:color w:val="auto"/>
        </w:rPr>
        <w:t>系统</w:t>
      </w:r>
      <w:r>
        <w:rPr>
          <w:color w:val="auto"/>
        </w:rPr>
        <w:t>阐述</w:t>
      </w:r>
      <w:r>
        <w:rPr>
          <w:rFonts w:hint="eastAsia"/>
          <w:color w:val="auto"/>
        </w:rPr>
        <w:t>了</w:t>
      </w:r>
      <w:r>
        <w:rPr>
          <w:color w:val="auto"/>
        </w:rPr>
        <w:t>新型电力系统清洁低碳、安全</w:t>
      </w:r>
      <w:r>
        <w:rPr>
          <w:rFonts w:hint="eastAsia"/>
          <w:color w:val="auto"/>
        </w:rPr>
        <w:t>可控</w:t>
      </w:r>
      <w:r>
        <w:rPr>
          <w:color w:val="auto"/>
        </w:rPr>
        <w:t>、经济高效、智能友好、开放互动</w:t>
      </w:r>
      <w:r>
        <w:rPr>
          <w:rFonts w:hint="eastAsia"/>
          <w:color w:val="auto"/>
        </w:rPr>
        <w:t>等特征，并从电源侧、电网侧和需求侧角度解释了新型电力系统的内涵，为我们了解新型电力系统提供了多元化视角</w:t>
      </w:r>
      <w:r>
        <w:rPr>
          <w:color w:val="auto"/>
        </w:rPr>
        <w:t>。</w:t>
      </w:r>
      <w:r>
        <w:rPr>
          <w:rFonts w:hint="eastAsia"/>
          <w:color w:val="auto"/>
        </w:rPr>
        <w:t>其次，</w:t>
      </w:r>
      <w:r>
        <w:rPr>
          <w:color w:val="auto"/>
        </w:rPr>
        <w:t>介绍了电网项目投资决策</w:t>
      </w:r>
      <w:r>
        <w:rPr>
          <w:rFonts w:hint="eastAsia"/>
          <w:color w:val="auto"/>
        </w:rPr>
        <w:t>相关基础</w:t>
      </w:r>
      <w:r>
        <w:rPr>
          <w:color w:val="auto"/>
        </w:rPr>
        <w:t>理论，</w:t>
      </w:r>
      <w:r>
        <w:rPr>
          <w:rFonts w:hint="eastAsia"/>
          <w:color w:val="auto"/>
        </w:rPr>
        <w:t>包括净现值法、内部收益率法、实物期权法以及环境成本内部化机制</w:t>
      </w:r>
      <w:r>
        <w:rPr>
          <w:color w:val="auto"/>
        </w:rPr>
        <w:t>。</w:t>
      </w:r>
      <w:r>
        <w:rPr>
          <w:rFonts w:hint="eastAsia"/>
          <w:color w:val="auto"/>
        </w:rPr>
        <w:t>然后，对电网项目投资决策方法的演进进行梳理，可分为早期财务评估阶段、系统分析方法革新阶段和可持续性范式构建阶段。最后，对电网项目投资决策问题求解方法进行介绍，涉及粒子群算法、遗传优化算法、</w:t>
      </w:r>
      <w:r>
        <w:rPr>
          <w:color w:val="auto"/>
        </w:rPr>
        <w:t>增广Lagrange乘子法</w:t>
      </w:r>
      <w:r>
        <w:rPr>
          <w:rFonts w:hint="eastAsia"/>
          <w:color w:val="auto"/>
        </w:rPr>
        <w:t>和灰狼优化算法。</w:t>
      </w:r>
    </w:p>
    <w:p w14:paraId="3455328B">
      <w:pPr>
        <w:tabs>
          <w:tab w:val="left" w:pos="3342"/>
        </w:tabs>
        <w:spacing w:line="400" w:lineRule="exact"/>
        <w:ind w:firstLine="480" w:firstLineChars="200"/>
        <w:rPr>
          <w:rFonts w:hint="eastAsia"/>
          <w:color w:val="auto"/>
        </w:rPr>
      </w:pPr>
      <w:r>
        <w:rPr>
          <w:color w:val="auto"/>
        </w:rPr>
        <w:br w:type="page"/>
      </w:r>
    </w:p>
    <w:p w14:paraId="18590CE7">
      <w:pPr>
        <w:spacing w:before="312" w:beforeLines="100" w:after="156" w:afterLines="50"/>
        <w:jc w:val="center"/>
        <w:outlineLvl w:val="0"/>
        <w:rPr>
          <w:rFonts w:eastAsia="黑体"/>
          <w:color w:val="auto"/>
          <w:sz w:val="36"/>
          <w:szCs w:val="36"/>
        </w:rPr>
      </w:pPr>
      <w:bookmarkStart w:id="95" w:name="_Toc193967344"/>
      <w:bookmarkStart w:id="96" w:name="_Toc192967109"/>
      <w:bookmarkStart w:id="97" w:name="_Toc192967120"/>
      <w:bookmarkStart w:id="98" w:name="_Toc31699"/>
      <w:bookmarkStart w:id="99" w:name="_Toc193967358"/>
      <w:r>
        <w:rPr>
          <w:rFonts w:hint="eastAsia" w:eastAsia="黑体"/>
          <w:color w:val="auto"/>
          <w:sz w:val="36"/>
          <w:szCs w:val="36"/>
        </w:rPr>
        <w:t>第3章 新型电力系统背景下J电网项目技术经济评估体系构建</w:t>
      </w:r>
      <w:bookmarkEnd w:id="95"/>
    </w:p>
    <w:p w14:paraId="6F05878F">
      <w:pPr>
        <w:spacing w:line="400" w:lineRule="exact"/>
        <w:ind w:firstLine="480" w:firstLineChars="200"/>
        <w:rPr>
          <w:color w:val="auto"/>
        </w:rPr>
      </w:pPr>
      <w:r>
        <w:rPr>
          <w:color w:val="auto"/>
        </w:rPr>
        <w:t>新型电力系统</w:t>
      </w:r>
      <w:r>
        <w:rPr>
          <w:rFonts w:hint="eastAsia"/>
          <w:color w:val="auto"/>
        </w:rPr>
        <w:t>的构建</w:t>
      </w:r>
      <w:r>
        <w:rPr>
          <w:color w:val="auto"/>
        </w:rPr>
        <w:t>正推动电网投资范式从</w:t>
      </w:r>
      <w:r>
        <w:rPr>
          <w:rFonts w:hint="eastAsia"/>
          <w:color w:val="auto"/>
        </w:rPr>
        <w:t>“</w:t>
      </w:r>
      <w:r>
        <w:rPr>
          <w:color w:val="auto"/>
        </w:rPr>
        <w:t>被动扩容</w:t>
      </w:r>
      <w:r>
        <w:rPr>
          <w:rFonts w:hint="eastAsia"/>
          <w:color w:val="auto"/>
        </w:rPr>
        <w:t>”</w:t>
      </w:r>
      <w:r>
        <w:rPr>
          <w:color w:val="auto"/>
        </w:rPr>
        <w:t>向</w:t>
      </w:r>
      <w:r>
        <w:rPr>
          <w:rFonts w:hint="eastAsia"/>
          <w:color w:val="auto"/>
        </w:rPr>
        <w:t>“</w:t>
      </w:r>
      <w:r>
        <w:rPr>
          <w:color w:val="auto"/>
        </w:rPr>
        <w:t>主动适配</w:t>
      </w:r>
      <w:r>
        <w:rPr>
          <w:rFonts w:hint="eastAsia"/>
          <w:color w:val="auto"/>
        </w:rPr>
        <w:t>”</w:t>
      </w:r>
      <w:r>
        <w:rPr>
          <w:color w:val="auto"/>
        </w:rPr>
        <w:t>转型。传统</w:t>
      </w:r>
      <w:r>
        <w:rPr>
          <w:rFonts w:hint="eastAsia"/>
          <w:color w:val="auto"/>
        </w:rPr>
        <w:t>的电网项目</w:t>
      </w:r>
      <w:r>
        <w:rPr>
          <w:color w:val="auto"/>
        </w:rPr>
        <w:t>技术经济评估体系</w:t>
      </w:r>
      <w:r>
        <w:rPr>
          <w:rFonts w:hint="eastAsia"/>
          <w:color w:val="auto"/>
        </w:rPr>
        <w:t>可能</w:t>
      </w:r>
      <w:r>
        <w:rPr>
          <w:color w:val="auto"/>
        </w:rPr>
        <w:t>囿于</w:t>
      </w:r>
      <w:r>
        <w:rPr>
          <w:rFonts w:hint="eastAsia"/>
          <w:color w:val="auto"/>
        </w:rPr>
        <w:t>较为</w:t>
      </w:r>
      <w:r>
        <w:rPr>
          <w:color w:val="auto"/>
        </w:rPr>
        <w:t>单一</w:t>
      </w:r>
      <w:r>
        <w:rPr>
          <w:rFonts w:hint="eastAsia"/>
          <w:color w:val="auto"/>
        </w:rPr>
        <w:t>和较少的分析</w:t>
      </w:r>
      <w:r>
        <w:rPr>
          <w:color w:val="auto"/>
        </w:rPr>
        <w:t>维度，难以应对</w:t>
      </w:r>
      <w:r>
        <w:rPr>
          <w:rFonts w:hint="eastAsia"/>
          <w:color w:val="auto"/>
        </w:rPr>
        <w:t>具有</w:t>
      </w:r>
      <w:r>
        <w:rPr>
          <w:color w:val="auto"/>
        </w:rPr>
        <w:t>新能源高渗透率、多能互补协同、源网荷储互动等复杂</w:t>
      </w:r>
      <w:r>
        <w:rPr>
          <w:rFonts w:hint="eastAsia"/>
          <w:color w:val="auto"/>
        </w:rPr>
        <w:t>特征的新评估对象</w:t>
      </w:r>
      <w:r>
        <w:rPr>
          <w:color w:val="auto"/>
        </w:rPr>
        <w:t>。因此，本章立足</w:t>
      </w:r>
      <w:r>
        <w:rPr>
          <w:rFonts w:hint="eastAsia"/>
          <w:color w:val="auto"/>
        </w:rPr>
        <w:t>新型电力系统背景下的</w:t>
      </w:r>
      <w:r>
        <w:rPr>
          <w:color w:val="auto"/>
        </w:rPr>
        <w:t>电网项目</w:t>
      </w:r>
      <w:r>
        <w:rPr>
          <w:rFonts w:hint="eastAsia"/>
          <w:color w:val="auto"/>
        </w:rPr>
        <w:t>技术经济评估</w:t>
      </w:r>
      <w:r>
        <w:rPr>
          <w:color w:val="auto"/>
        </w:rPr>
        <w:t>，构建涵盖技术性能、经济收益、环境效益等多维度的评估框架，通过主成分分析穿透海量异构数据，结合模糊综合评估</w:t>
      </w:r>
      <w:r>
        <w:rPr>
          <w:rFonts w:hint="eastAsia"/>
          <w:color w:val="auto"/>
        </w:rPr>
        <w:t>方法</w:t>
      </w:r>
      <w:r>
        <w:rPr>
          <w:color w:val="auto"/>
        </w:rPr>
        <w:t>破解指标隶属度模糊难题，</w:t>
      </w:r>
      <w:r>
        <w:rPr>
          <w:rFonts w:hint="eastAsia"/>
          <w:color w:val="auto"/>
        </w:rPr>
        <w:t>从而形成全面客观的评估结果</w:t>
      </w:r>
      <w:r>
        <w:rPr>
          <w:color w:val="auto"/>
        </w:rPr>
        <w:t>。</w:t>
      </w:r>
      <w:bookmarkEnd w:id="96"/>
    </w:p>
    <w:p w14:paraId="24520F90">
      <w:pPr>
        <w:spacing w:before="156" w:beforeLines="50" w:after="156" w:afterLines="50" w:line="324" w:lineRule="auto"/>
        <w:outlineLvl w:val="1"/>
        <w:rPr>
          <w:rFonts w:eastAsia="黑体"/>
          <w:color w:val="auto"/>
          <w:sz w:val="30"/>
          <w:szCs w:val="30"/>
        </w:rPr>
      </w:pPr>
      <w:bookmarkStart w:id="100" w:name="_Toc193967345"/>
      <w:r>
        <w:rPr>
          <w:rFonts w:eastAsia="黑体"/>
          <w:color w:val="auto"/>
          <w:sz w:val="30"/>
          <w:szCs w:val="30"/>
        </w:rPr>
        <w:t xml:space="preserve">3.1 </w:t>
      </w:r>
      <w:r>
        <w:rPr>
          <w:rFonts w:hint="eastAsia" w:eastAsia="黑体"/>
          <w:color w:val="auto"/>
          <w:sz w:val="30"/>
          <w:szCs w:val="30"/>
        </w:rPr>
        <w:t>J电网项目投资现状分析</w:t>
      </w:r>
      <w:bookmarkEnd w:id="100"/>
    </w:p>
    <w:p w14:paraId="4A40FBD9">
      <w:pPr>
        <w:spacing w:before="156" w:beforeLines="50" w:after="156" w:afterLines="50" w:line="400" w:lineRule="exact"/>
        <w:outlineLvl w:val="2"/>
        <w:rPr>
          <w:rFonts w:eastAsia="黑体"/>
          <w:color w:val="auto"/>
          <w:sz w:val="28"/>
          <w:szCs w:val="28"/>
        </w:rPr>
      </w:pPr>
      <w:bookmarkStart w:id="101" w:name="_Toc193967346"/>
      <w:r>
        <w:rPr>
          <w:rFonts w:hint="eastAsia" w:eastAsia="黑体"/>
          <w:color w:val="auto"/>
          <w:sz w:val="28"/>
          <w:szCs w:val="28"/>
        </w:rPr>
        <w:t xml:space="preserve">3.1.1 </w:t>
      </w:r>
      <w:bookmarkStart w:id="102" w:name="_Hlk193892580"/>
      <w:r>
        <w:rPr>
          <w:rFonts w:hint="eastAsia" w:eastAsia="黑体"/>
          <w:color w:val="auto"/>
          <w:sz w:val="28"/>
          <w:szCs w:val="28"/>
        </w:rPr>
        <w:t>J电网投资项目</w:t>
      </w:r>
      <w:bookmarkEnd w:id="102"/>
      <w:r>
        <w:rPr>
          <w:rFonts w:hint="eastAsia" w:eastAsia="黑体"/>
          <w:color w:val="auto"/>
          <w:sz w:val="28"/>
          <w:szCs w:val="28"/>
        </w:rPr>
        <w:t>分类</w:t>
      </w:r>
      <w:bookmarkEnd w:id="101"/>
    </w:p>
    <w:p w14:paraId="77AF1908">
      <w:pPr>
        <w:spacing w:line="400" w:lineRule="exact"/>
        <w:ind w:firstLine="480" w:firstLineChars="200"/>
        <w:rPr>
          <w:rFonts w:hint="eastAsia" w:eastAsiaTheme="minorEastAsia"/>
          <w:color w:val="auto"/>
        </w:rPr>
      </w:pPr>
      <w:r>
        <w:rPr>
          <w:rFonts w:hint="eastAsia"/>
          <w:color w:val="auto"/>
        </w:rPr>
        <w:t>根据J电网企业综合管理计划，当前J电网企业投资项目主要分为电网基建项目和电网技术改造项目两大类。其中，又可以分为输变电工程、电网安全与服务和电网生产辅助设施三类。具体的电网投资项目分类如</w:t>
      </w:r>
      <w:r>
        <w:rPr>
          <w:color w:val="auto"/>
        </w:rPr>
        <w:fldChar w:fldCharType="begin"/>
      </w:r>
      <w:r>
        <w:rPr>
          <w:color w:val="auto"/>
        </w:rPr>
        <w:instrText xml:space="preserve"> </w:instrText>
      </w:r>
      <w:r>
        <w:rPr>
          <w:rFonts w:hint="eastAsia"/>
          <w:color w:val="auto"/>
        </w:rPr>
        <w:instrText xml:space="preserve">REF _Ref193839134 \h</w:instrText>
      </w:r>
      <w:r>
        <w:rPr>
          <w:color w:val="auto"/>
        </w:rPr>
        <w:instrText xml:space="preserve">  \* MERGEFORMAT </w:instrText>
      </w:r>
      <w:r>
        <w:rPr>
          <w:color w:val="auto"/>
        </w:rPr>
        <w:fldChar w:fldCharType="separate"/>
      </w:r>
      <w:r>
        <w:rPr>
          <w:rFonts w:eastAsiaTheme="minorEastAsia"/>
          <w:color w:val="auto"/>
        </w:rPr>
        <w:t>图3-1</w:t>
      </w:r>
      <w:r>
        <w:rPr>
          <w:color w:val="auto"/>
        </w:rPr>
        <w:fldChar w:fldCharType="end"/>
      </w:r>
      <w:r>
        <w:rPr>
          <w:rFonts w:hint="eastAsia"/>
          <w:color w:val="auto"/>
        </w:rPr>
        <w:t>所示。这些项目的投资从提升电网输变电能力、智能化数字化能力和灵活调节能力等不同角度出发，旨在满足新型电力构建对电网提出的更高要求，推动能源转型尽快落实到位。</w:t>
      </w:r>
    </w:p>
    <w:p w14:paraId="17E1F669">
      <w:pPr>
        <w:jc w:val="center"/>
        <w:rPr>
          <w:rFonts w:hint="eastAsia"/>
          <w:color w:val="auto"/>
        </w:rPr>
      </w:pPr>
      <w:bookmarkStart w:id="103" w:name="_Ref193839134"/>
      <w:r>
        <w:rPr>
          <w:color w:val="auto"/>
        </w:rPr>
        <w:drawing>
          <wp:inline distT="0" distB="0" distL="0" distR="0">
            <wp:extent cx="4456430" cy="3003550"/>
            <wp:effectExtent l="0" t="0" r="1270" b="6350"/>
            <wp:docPr id="5151330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133030" name="图片 1"/>
                    <pic:cNvPicPr>
                      <a:picLocks noChangeAspect="1"/>
                    </pic:cNvPicPr>
                  </pic:nvPicPr>
                  <pic:blipFill>
                    <a:blip r:embed="rId12"/>
                    <a:stretch>
                      <a:fillRect/>
                    </a:stretch>
                  </pic:blipFill>
                  <pic:spPr>
                    <a:xfrm>
                      <a:off x="0" y="0"/>
                      <a:ext cx="4491295" cy="3026758"/>
                    </a:xfrm>
                    <a:prstGeom prst="rect">
                      <a:avLst/>
                    </a:prstGeom>
                  </pic:spPr>
                </pic:pic>
              </a:graphicData>
            </a:graphic>
          </wp:inline>
        </w:drawing>
      </w:r>
    </w:p>
    <w:p w14:paraId="2E245739">
      <w:pPr>
        <w:pStyle w:val="5"/>
        <w:spacing w:line="400" w:lineRule="exact"/>
        <w:ind w:firstLine="420" w:firstLineChars="20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图3-</w:t>
      </w:r>
      <w:r>
        <w:rPr>
          <w:rFonts w:ascii="Times New Roman" w:hAnsi="Times New Roman" w:cs="Times New Roman" w:eastAsiaTheme="minorEastAsia"/>
          <w:color w:val="auto"/>
          <w:sz w:val="21"/>
          <w:szCs w:val="21"/>
        </w:rPr>
        <w:fldChar w:fldCharType="begin"/>
      </w:r>
      <w:r>
        <w:rPr>
          <w:rFonts w:ascii="Times New Roman" w:hAnsi="Times New Roman" w:cs="Times New Roman" w:eastAsiaTheme="minorEastAsia"/>
          <w:color w:val="auto"/>
          <w:sz w:val="21"/>
          <w:szCs w:val="21"/>
        </w:rPr>
        <w:instrText xml:space="preserve"> SEQ 图3- \* ARABIC </w:instrText>
      </w:r>
      <w:r>
        <w:rPr>
          <w:rFonts w:ascii="Times New Roman" w:hAnsi="Times New Roman" w:cs="Times New Roman" w:eastAsiaTheme="minorEastAsia"/>
          <w:color w:val="auto"/>
          <w:sz w:val="21"/>
          <w:szCs w:val="21"/>
        </w:rPr>
        <w:fldChar w:fldCharType="separate"/>
      </w:r>
      <w:r>
        <w:rPr>
          <w:rFonts w:ascii="Times New Roman" w:hAnsi="Times New Roman" w:cs="Times New Roman" w:eastAsiaTheme="minorEastAsia"/>
          <w:color w:val="auto"/>
          <w:sz w:val="21"/>
          <w:szCs w:val="21"/>
        </w:rPr>
        <w:t>1</w:t>
      </w:r>
      <w:r>
        <w:rPr>
          <w:rFonts w:ascii="Times New Roman" w:hAnsi="Times New Roman" w:cs="Times New Roman" w:eastAsiaTheme="minorEastAsia"/>
          <w:color w:val="auto"/>
          <w:sz w:val="21"/>
          <w:szCs w:val="21"/>
        </w:rPr>
        <w:fldChar w:fldCharType="end"/>
      </w:r>
      <w:bookmarkEnd w:id="103"/>
      <w:r>
        <w:rPr>
          <w:rFonts w:ascii="Times New Roman" w:hAnsi="Times New Roman" w:cs="Times New Roman" w:eastAsiaTheme="minorEastAsia"/>
          <w:color w:val="auto"/>
          <w:sz w:val="21"/>
          <w:szCs w:val="21"/>
        </w:rPr>
        <w:t xml:space="preserve"> J电网投资项目分类</w:t>
      </w:r>
    </w:p>
    <w:p w14:paraId="077B527C">
      <w:pPr>
        <w:spacing w:line="400" w:lineRule="exact"/>
        <w:ind w:firstLine="480" w:firstLineChars="200"/>
        <w:rPr>
          <w:rFonts w:hint="eastAsia"/>
          <w:color w:val="auto"/>
        </w:rPr>
      </w:pPr>
      <w:r>
        <w:rPr>
          <w:rFonts w:hint="eastAsia"/>
          <w:color w:val="auto"/>
        </w:rPr>
        <w:t>新型电力系统背景下，电</w:t>
      </w:r>
      <w:r>
        <w:rPr>
          <w:color w:val="auto"/>
        </w:rPr>
        <w:t>源侧和</w:t>
      </w:r>
      <w:r>
        <w:rPr>
          <w:rFonts w:hint="eastAsia"/>
          <w:color w:val="auto"/>
        </w:rPr>
        <w:t>负</w:t>
      </w:r>
      <w:r>
        <w:rPr>
          <w:color w:val="auto"/>
        </w:rPr>
        <w:t>荷侧波动</w:t>
      </w:r>
      <w:r>
        <w:rPr>
          <w:rFonts w:hint="eastAsia"/>
          <w:color w:val="auto"/>
        </w:rPr>
        <w:t>较大</w:t>
      </w:r>
      <w:r>
        <w:rPr>
          <w:color w:val="auto"/>
        </w:rPr>
        <w:t>，对电网扩容和变电站</w:t>
      </w:r>
      <w:r>
        <w:rPr>
          <w:rFonts w:hint="eastAsia"/>
          <w:color w:val="auto"/>
        </w:rPr>
        <w:t>升级</w:t>
      </w:r>
      <w:r>
        <w:rPr>
          <w:color w:val="auto"/>
        </w:rPr>
        <w:t>要求</w:t>
      </w:r>
      <w:r>
        <w:rPr>
          <w:rFonts w:hint="eastAsia"/>
          <w:color w:val="auto"/>
        </w:rPr>
        <w:t>显著</w:t>
      </w:r>
      <w:r>
        <w:rPr>
          <w:color w:val="auto"/>
        </w:rPr>
        <w:t>提升</w:t>
      </w:r>
      <w:r>
        <w:rPr>
          <w:rFonts w:hint="eastAsia"/>
          <w:color w:val="auto"/>
        </w:rPr>
        <w:t>。</w:t>
      </w:r>
      <w:r>
        <w:rPr>
          <w:color w:val="auto"/>
        </w:rPr>
        <w:t>随着可再生能源大规模并网和经济绿色发展，电力系统</w:t>
      </w:r>
      <w:r>
        <w:rPr>
          <w:rFonts w:hint="eastAsia"/>
          <w:color w:val="auto"/>
        </w:rPr>
        <w:t>电</w:t>
      </w:r>
      <w:r>
        <w:rPr>
          <w:color w:val="auto"/>
        </w:rPr>
        <w:t>源侧和</w:t>
      </w:r>
      <w:r>
        <w:rPr>
          <w:rFonts w:hint="eastAsia"/>
          <w:color w:val="auto"/>
        </w:rPr>
        <w:t>负</w:t>
      </w:r>
      <w:r>
        <w:rPr>
          <w:color w:val="auto"/>
        </w:rPr>
        <w:t>荷侧变动加大，电力用户同时具备接收电能和反输送电能两种能力，电网扩容</w:t>
      </w:r>
      <w:r>
        <w:rPr>
          <w:rFonts w:hint="eastAsia"/>
          <w:color w:val="auto"/>
        </w:rPr>
        <w:t>和变电站升级</w:t>
      </w:r>
      <w:r>
        <w:rPr>
          <w:color w:val="auto"/>
        </w:rPr>
        <w:t>的必要性凸显。</w:t>
      </w:r>
      <w:r>
        <w:rPr>
          <w:rFonts w:hint="eastAsia"/>
          <w:color w:val="auto"/>
        </w:rPr>
        <w:t>因此，电网企业需要通过投资建设新的基建项目和对已有设备进行技术改造，支撑电网安全稳定运行。另外，</w:t>
      </w:r>
      <w:r>
        <w:rPr>
          <w:color w:val="auto"/>
        </w:rPr>
        <w:t>随着</w:t>
      </w:r>
      <w:r>
        <w:rPr>
          <w:rFonts w:hint="eastAsia"/>
          <w:color w:val="auto"/>
        </w:rPr>
        <w:t>整个电力系统</w:t>
      </w:r>
      <w:r>
        <w:rPr>
          <w:color w:val="auto"/>
        </w:rPr>
        <w:t>不稳定因素大幅</w:t>
      </w:r>
      <w:r>
        <w:rPr>
          <w:rFonts w:hint="eastAsia"/>
          <w:color w:val="auto"/>
        </w:rPr>
        <w:t>增加</w:t>
      </w:r>
      <w:r>
        <w:rPr>
          <w:color w:val="auto"/>
        </w:rPr>
        <w:t>，电网</w:t>
      </w:r>
      <w:r>
        <w:rPr>
          <w:rFonts w:hint="eastAsia"/>
          <w:color w:val="auto"/>
        </w:rPr>
        <w:t>需要</w:t>
      </w:r>
      <w:r>
        <w:rPr>
          <w:color w:val="auto"/>
        </w:rPr>
        <w:t>逐步向数字化转型。电网数字化通过利用物联网、大数据、</w:t>
      </w:r>
      <w:r>
        <w:rPr>
          <w:rFonts w:hint="eastAsia"/>
          <w:color w:val="auto"/>
        </w:rPr>
        <w:t>人工</w:t>
      </w:r>
      <w:r>
        <w:rPr>
          <w:color w:val="auto"/>
        </w:rPr>
        <w:t>智能AI、云计算等技术实现电源侧、负荷侧、储能侧的各类可控资源的数据接入、数据处理</w:t>
      </w:r>
      <w:r>
        <w:rPr>
          <w:rFonts w:hint="eastAsia"/>
          <w:color w:val="auto"/>
        </w:rPr>
        <w:t>，从而实现对整个电力系统的有效统筹。因此，加大对智能电网和数字化电网项目的投资已经成为趋势，也是构建新型电力系统的关键之举。</w:t>
      </w:r>
    </w:p>
    <w:p w14:paraId="2E01D2CA">
      <w:pPr>
        <w:spacing w:line="400" w:lineRule="exact"/>
        <w:rPr>
          <w:rFonts w:eastAsia="黑体"/>
          <w:color w:val="auto"/>
          <w:sz w:val="28"/>
          <w:szCs w:val="28"/>
          <w:highlight w:val="none"/>
        </w:rPr>
      </w:pPr>
      <w:r>
        <w:rPr>
          <w:rFonts w:hint="eastAsia" w:eastAsia="黑体"/>
          <w:color w:val="auto"/>
          <w:sz w:val="28"/>
          <w:szCs w:val="28"/>
          <w:highlight w:val="none"/>
        </w:rPr>
        <w:t>3.1.2 J</w:t>
      </w:r>
      <w:r>
        <w:rPr>
          <w:rFonts w:eastAsia="黑体"/>
          <w:color w:val="auto"/>
          <w:sz w:val="28"/>
          <w:szCs w:val="28"/>
          <w:highlight w:val="none"/>
        </w:rPr>
        <w:t>电网</w:t>
      </w:r>
      <w:r>
        <w:rPr>
          <w:rFonts w:hint="eastAsia" w:eastAsia="黑体"/>
          <w:color w:val="auto"/>
          <w:sz w:val="28"/>
          <w:szCs w:val="28"/>
          <w:highlight w:val="none"/>
        </w:rPr>
        <w:t>项目投资现状</w:t>
      </w:r>
    </w:p>
    <w:p w14:paraId="7A7C3B9B">
      <w:pPr>
        <w:spacing w:line="360" w:lineRule="exact"/>
        <w:ind w:firstLine="480" w:firstLineChars="200"/>
        <w:rPr>
          <w:rFonts w:hint="eastAsia" w:eastAsia="黑体"/>
          <w:color w:val="auto"/>
          <w:sz w:val="28"/>
          <w:szCs w:val="28"/>
        </w:rPr>
      </w:pPr>
      <w:r>
        <w:rPr>
          <w:rFonts w:hint="eastAsia" w:ascii="Times New Roman" w:hAnsi="Times New Roman" w:cs="Times New Roman"/>
          <w:color w:val="auto"/>
          <w:sz w:val="24"/>
        </w:rPr>
        <w:t>新型电力系统建设的背景下，随着J省经济的快速发展，全社会对电力的需求持续增长，电力负荷稳步上升。为满足日益增长的电力需求，J电网加大了对新型电力系统建设的投资，拟提升输变电能力。例如，2023年J电网预计投产35千伏及以上工程项目267个，新增线路总长2898公里，总投资额约180.4亿元。这些投资不仅包括传统的输变电项目，涵盖了智能电网、储能设施等新型电力系统的建设。但是，新型电力系统强调新能源为主体地位，具有高比例新能源、高比例电力电子化、低转动惯量的“双高一低”特点。这意味着J电网需要处理大量新能源接入带来的数据和不确定性问题。而传统电力系统中，煤电机组逐渐被风电机组和光伏发电所取代，分布式特征更加明显，系统需要处理的数据量呈几何式增长。因此为了适应这一变化，J电网需要在数据处理和投资决策上进行革新。本节主要对于J电网项目库的220kV智能变电站项目进行技术经济评估。项目涵盖了 a、b、c、d、e、f、g、h、i、j、k、l、m、n、o等15个工程项目。</w:t>
      </w:r>
    </w:p>
    <w:p w14:paraId="18EA3D92">
      <w:pPr>
        <w:tabs>
          <w:tab w:val="left" w:pos="2795"/>
        </w:tabs>
        <w:spacing w:before="156" w:beforeLines="50" w:after="156" w:afterLines="50" w:line="324" w:lineRule="auto"/>
        <w:outlineLvl w:val="1"/>
        <w:rPr>
          <w:rFonts w:eastAsia="黑体"/>
          <w:color w:val="auto"/>
          <w:sz w:val="30"/>
          <w:szCs w:val="30"/>
        </w:rPr>
      </w:pPr>
      <w:bookmarkStart w:id="104" w:name="_Toc192967113"/>
      <w:bookmarkStart w:id="105" w:name="_Toc193967350"/>
      <w:bookmarkStart w:id="106" w:name="_Toc3982"/>
      <w:r>
        <w:rPr>
          <w:rFonts w:eastAsia="黑体"/>
          <w:color w:val="auto"/>
          <w:sz w:val="30"/>
          <w:szCs w:val="30"/>
        </w:rPr>
        <w:t>3.</w:t>
      </w:r>
      <w:r>
        <w:rPr>
          <w:rFonts w:hint="eastAsia" w:eastAsia="黑体"/>
          <w:color w:val="auto"/>
          <w:sz w:val="30"/>
          <w:szCs w:val="30"/>
        </w:rPr>
        <w:t>2</w:t>
      </w:r>
      <w:r>
        <w:rPr>
          <w:rFonts w:eastAsia="黑体"/>
          <w:color w:val="auto"/>
          <w:sz w:val="30"/>
          <w:szCs w:val="30"/>
        </w:rPr>
        <w:t xml:space="preserve"> </w:t>
      </w:r>
      <w:bookmarkEnd w:id="104"/>
      <w:bookmarkEnd w:id="105"/>
      <w:bookmarkEnd w:id="106"/>
      <w:r>
        <w:rPr>
          <w:rFonts w:eastAsia="黑体"/>
          <w:color w:val="auto"/>
          <w:sz w:val="30"/>
          <w:szCs w:val="30"/>
        </w:rPr>
        <w:t>基于 Scrapy 的</w:t>
      </w:r>
      <w:r>
        <w:rPr>
          <w:rFonts w:hint="eastAsia" w:eastAsia="黑体"/>
          <w:color w:val="auto"/>
          <w:sz w:val="30"/>
          <w:szCs w:val="30"/>
        </w:rPr>
        <w:t>电网项目投资决策</w:t>
      </w:r>
      <w:r>
        <w:rPr>
          <w:rFonts w:eastAsia="黑体"/>
          <w:color w:val="auto"/>
          <w:sz w:val="30"/>
          <w:szCs w:val="30"/>
        </w:rPr>
        <w:t>影响因素信息爬取</w:t>
      </w:r>
    </w:p>
    <w:p w14:paraId="14522B8D">
      <w:pPr>
        <w:tabs>
          <w:tab w:val="left" w:pos="2795"/>
        </w:tabs>
        <w:adjustRightInd w:val="0"/>
        <w:spacing w:before="156" w:beforeLines="50" w:after="156" w:afterLines="50" w:line="400" w:lineRule="exact"/>
        <w:outlineLvl w:val="2"/>
        <w:rPr>
          <w:rFonts w:eastAsia="黑体"/>
          <w:color w:val="auto"/>
          <w:sz w:val="28"/>
          <w:szCs w:val="28"/>
        </w:rPr>
      </w:pPr>
      <w:bookmarkStart w:id="107" w:name="_Toc193967351"/>
      <w:bookmarkStart w:id="108" w:name="_Toc192967114"/>
      <w:bookmarkStart w:id="109" w:name="_Toc9038"/>
      <w:r>
        <w:rPr>
          <w:rFonts w:eastAsia="黑体"/>
          <w:color w:val="auto"/>
          <w:sz w:val="28"/>
          <w:szCs w:val="28"/>
        </w:rPr>
        <w:t>3.</w:t>
      </w:r>
      <w:r>
        <w:rPr>
          <w:rFonts w:hint="eastAsia" w:eastAsia="黑体"/>
          <w:color w:val="auto"/>
          <w:sz w:val="28"/>
          <w:szCs w:val="28"/>
        </w:rPr>
        <w:t>2</w:t>
      </w:r>
      <w:r>
        <w:rPr>
          <w:rFonts w:eastAsia="黑体"/>
          <w:color w:val="auto"/>
          <w:sz w:val="28"/>
          <w:szCs w:val="28"/>
        </w:rPr>
        <w:t>.1</w:t>
      </w:r>
      <w:bookmarkEnd w:id="107"/>
      <w:bookmarkEnd w:id="108"/>
      <w:bookmarkEnd w:id="109"/>
      <w:r>
        <w:rPr>
          <w:rFonts w:hint="eastAsia" w:eastAsia="黑体"/>
          <w:color w:val="auto"/>
          <w:sz w:val="28"/>
          <w:szCs w:val="28"/>
        </w:rPr>
        <w:t xml:space="preserve"> 爬虫网站选择</w:t>
      </w:r>
    </w:p>
    <w:p w14:paraId="0772172D">
      <w:pPr>
        <w:tabs>
          <w:tab w:val="left" w:pos="2795"/>
        </w:tabs>
        <w:adjustRightInd w:val="0"/>
        <w:spacing w:before="156" w:beforeLines="50" w:after="156" w:afterLines="50" w:line="400" w:lineRule="exact"/>
        <w:ind w:firstLine="480" w:firstLineChars="200"/>
        <w:jc w:val="left"/>
        <w:outlineLvl w:val="2"/>
        <w:rPr>
          <w:rFonts w:hint="eastAsia" w:eastAsia="黑体"/>
          <w:color w:val="auto"/>
          <w:sz w:val="28"/>
          <w:szCs w:val="28"/>
        </w:rPr>
      </w:pPr>
      <w:r>
        <w:rPr>
          <w:rFonts w:hint="eastAsia"/>
          <w:color w:val="auto"/>
        </w:rPr>
        <w:t>本</w:t>
      </w:r>
      <w:r>
        <w:rPr>
          <w:rFonts w:hint="eastAsia"/>
          <w:color w:val="auto"/>
          <w:lang w:val="en-US" w:eastAsia="zh-CN"/>
        </w:rPr>
        <w:t>文</w:t>
      </w:r>
      <w:r>
        <w:rPr>
          <w:rFonts w:hint="eastAsia"/>
          <w:color w:val="auto"/>
        </w:rPr>
        <w:t>基于电网项目投资决策影响因素的数据特征与</w:t>
      </w:r>
      <w:r>
        <w:rPr>
          <w:rFonts w:hint="eastAsia"/>
          <w:color w:val="auto"/>
          <w:lang w:val="en-US" w:eastAsia="zh-CN"/>
        </w:rPr>
        <w:t>本文的</w:t>
      </w:r>
      <w:r>
        <w:rPr>
          <w:rFonts w:hint="eastAsia"/>
          <w:color w:val="auto"/>
        </w:rPr>
        <w:t>研究目标，遵循权威性与专业性标准，选取政府机构官方网站及行业核心期刊平台作为基础数据源。其中，国家能源局作为国务院直属机构，其发布的政策文件、统计数据及行业白皮书具有法定效力</w:t>
      </w:r>
      <w:r>
        <w:rPr>
          <w:rFonts w:hint="eastAsia"/>
          <w:color w:val="auto"/>
          <w:lang w:eastAsia="zh-CN"/>
        </w:rPr>
        <w:t>。</w:t>
      </w:r>
      <w:r>
        <w:rPr>
          <w:rFonts w:hint="eastAsia"/>
          <w:color w:val="auto"/>
        </w:rPr>
        <w:t>《中国电力企业管理》期刊（纸质与电子版同步收录）则涵盖电力行业前沿技术经济研究成果，两者共同构成政策与理论的双重支撑。针对行业动态与项目实施特征，选取具有垂直领域优势的媒体平台。北极星电力新闻网（www.bjx.com.cn）作为国内最大电力行业门户网站，项目案例库覆盖全国31个省级行政区的电网投资报道</w:t>
      </w:r>
      <w:r>
        <w:rPr>
          <w:rFonts w:hint="eastAsia"/>
          <w:color w:val="auto"/>
          <w:lang w:eastAsia="zh-CN"/>
        </w:rPr>
        <w:t>。</w:t>
      </w:r>
      <w:r>
        <w:rPr>
          <w:rFonts w:hint="eastAsia"/>
          <w:color w:val="auto"/>
        </w:rPr>
        <w:t>中国电力网（www.chinapower.com.cn）提供超过20万篇技术文档与工程实践分析，包含新型电力系统建设的全周期数据。中国能源新闻网（www.cnenergy.org）</w:t>
      </w:r>
      <w:r>
        <w:rPr>
          <w:rFonts w:hint="eastAsia"/>
          <w:color w:val="auto"/>
          <w:lang w:val="en-US" w:eastAsia="zh-CN"/>
        </w:rPr>
        <w:t>主要</w:t>
      </w:r>
      <w:r>
        <w:rPr>
          <w:rFonts w:hint="eastAsia"/>
          <w:color w:val="auto"/>
        </w:rPr>
        <w:t xml:space="preserve">聚焦新能源政策解读与投资趋势预测，专题数据库收录近五年行业关键指标演变数据。数据源的时效性与技术适配性亦为重要考量维度。所选平台均具备动态更新机制，其中87.6%的网页内容更新周期小于30天，且支持结构化数据抓取。通过HTTP状态码检测与Robots协议合规性验证，确认目标网站未设置反爬虫技术壁垒。最终形成的多源异构数据采集体系（表3-2），既包含宏观政策文本（占总量32.7%），又涵盖微观项目参数（占总量41.2%），为后续量化分析提供多维度数据支撑。  </w:t>
      </w:r>
    </w:p>
    <w:p w14:paraId="16AEE7E1">
      <w:pPr>
        <w:tabs>
          <w:tab w:val="left" w:pos="2795"/>
        </w:tabs>
        <w:adjustRightInd w:val="0"/>
        <w:spacing w:before="156" w:beforeLines="50" w:after="156" w:afterLines="50" w:line="400" w:lineRule="exact"/>
        <w:outlineLvl w:val="2"/>
        <w:rPr>
          <w:rFonts w:hint="eastAsia" w:eastAsia="黑体"/>
          <w:color w:val="auto"/>
          <w:sz w:val="28"/>
          <w:szCs w:val="28"/>
        </w:rPr>
      </w:pPr>
      <w:r>
        <w:rPr>
          <w:rFonts w:hint="eastAsia" w:eastAsia="黑体"/>
          <w:color w:val="auto"/>
          <w:sz w:val="28"/>
          <w:szCs w:val="28"/>
        </w:rPr>
        <w:t>3.2.2 数据信息爬取</w:t>
      </w:r>
    </w:p>
    <w:p w14:paraId="2D1EEA8C">
      <w:pPr>
        <w:tabs>
          <w:tab w:val="left" w:pos="2795"/>
        </w:tabs>
        <w:spacing w:line="400" w:lineRule="exact"/>
        <w:ind w:firstLine="480" w:firstLineChars="200"/>
        <w:rPr>
          <w:color w:val="auto"/>
        </w:rPr>
      </w:pPr>
      <w:r>
        <w:rPr>
          <w:color w:val="auto"/>
        </w:rPr>
        <w:t>为了对上述评估指标进行量化分析，本文将采用网络爬虫技术从相关电力行业网站和数据库中抓取数据。选择权威的电力行业网站和数据库，如国家能源局网站、电力行业统计数据平台等。随后使用Python的Scrapy框架建立爬虫，针对选定的数据源进行数据抓取</w:t>
      </w:r>
      <w:r>
        <w:rPr>
          <w:color w:val="auto"/>
        </w:rPr>
        <w:fldChar w:fldCharType="begin"/>
      </w:r>
      <w:r>
        <w:rPr>
          <w:color w:val="auto"/>
        </w:rPr>
        <w:instrText xml:space="preserve"> REF _Ref193109460 \r \h  \* MERGEFORMAT </w:instrText>
      </w:r>
      <w:r>
        <w:rPr>
          <w:color w:val="auto"/>
        </w:rPr>
        <w:fldChar w:fldCharType="separate"/>
      </w:r>
      <w:r>
        <w:rPr>
          <w:color w:val="auto"/>
        </w:rPr>
        <w:t>[57]</w:t>
      </w:r>
      <w:r>
        <w:rPr>
          <w:color w:val="auto"/>
        </w:rPr>
        <w:fldChar w:fldCharType="end"/>
      </w:r>
      <w:r>
        <w:rPr>
          <w:color w:val="auto"/>
        </w:rPr>
        <w:t>。步骤如下：通过Scrapy的Scheduler管理URL队列，数据抓取的顺序和效率。使用Scrapy的Downloader模块下载网页数据。使用Scrapy的Spider模块对下载的网页数据进行解析，提取所需指标数据。将提取的数据存储到本地数据库或文件中。对抓取到的数据进行清洗和预处理，包括去除重复数据、填补缺失值、数据类型转换等。通过对爬取到的数据进行整理和归纳后得到了，原始新闻数据如见表3-2所示。</w:t>
      </w:r>
    </w:p>
    <w:p w14:paraId="2C3B343F">
      <w:pPr>
        <w:tabs>
          <w:tab w:val="left" w:pos="2795"/>
        </w:tabs>
        <w:spacing w:line="400" w:lineRule="exact"/>
        <w:ind w:firstLine="420" w:firstLineChars="200"/>
        <w:jc w:val="center"/>
        <w:rPr>
          <w:color w:val="auto"/>
          <w:sz w:val="21"/>
          <w:szCs w:val="18"/>
        </w:rPr>
      </w:pPr>
      <w:r>
        <w:rPr>
          <w:color w:val="auto"/>
          <w:sz w:val="21"/>
          <w:szCs w:val="18"/>
        </w:rPr>
        <w:t>表3-2 爬取网页数据信息结果</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20"/>
        <w:gridCol w:w="2231"/>
        <w:gridCol w:w="1125"/>
        <w:gridCol w:w="1246"/>
      </w:tblGrid>
      <w:tr w14:paraId="16DBB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single" w:color="auto" w:sz="12" w:space="0"/>
              <w:left w:val="nil"/>
              <w:bottom w:val="single" w:color="auto" w:sz="4" w:space="0"/>
              <w:right w:val="nil"/>
            </w:tcBorders>
          </w:tcPr>
          <w:p w14:paraId="11C05741">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关键词</w:t>
            </w:r>
          </w:p>
        </w:tc>
        <w:tc>
          <w:tcPr>
            <w:tcW w:w="2231" w:type="dxa"/>
            <w:tcBorders>
              <w:top w:val="single" w:color="auto" w:sz="12" w:space="0"/>
              <w:left w:val="nil"/>
              <w:bottom w:val="single" w:color="auto" w:sz="4" w:space="0"/>
              <w:right w:val="nil"/>
            </w:tcBorders>
          </w:tcPr>
          <w:p w14:paraId="1C5888FD">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网站名称</w:t>
            </w:r>
          </w:p>
        </w:tc>
        <w:tc>
          <w:tcPr>
            <w:tcW w:w="1125" w:type="dxa"/>
            <w:tcBorders>
              <w:top w:val="single" w:color="auto" w:sz="12" w:space="0"/>
              <w:left w:val="nil"/>
              <w:bottom w:val="single" w:color="auto" w:sz="4" w:space="0"/>
              <w:right w:val="nil"/>
            </w:tcBorders>
          </w:tcPr>
          <w:p w14:paraId="68CF0F57">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数据条数</w:t>
            </w:r>
          </w:p>
        </w:tc>
        <w:tc>
          <w:tcPr>
            <w:tcW w:w="1246" w:type="dxa"/>
            <w:tcBorders>
              <w:top w:val="single" w:color="auto" w:sz="12" w:space="0"/>
              <w:left w:val="nil"/>
              <w:bottom w:val="single" w:color="auto" w:sz="4" w:space="0"/>
              <w:right w:val="nil"/>
            </w:tcBorders>
          </w:tcPr>
          <w:p w14:paraId="4776A210">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字符数</w:t>
            </w:r>
          </w:p>
        </w:tc>
      </w:tr>
      <w:tr w14:paraId="4478B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single" w:color="auto" w:sz="4" w:space="0"/>
              <w:left w:val="nil"/>
              <w:bottom w:val="nil"/>
              <w:right w:val="nil"/>
            </w:tcBorders>
          </w:tcPr>
          <w:p w14:paraId="0435CA3F">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电网项目投资+决策优化+新型电力系统</w:t>
            </w:r>
          </w:p>
        </w:tc>
        <w:tc>
          <w:tcPr>
            <w:tcW w:w="2231" w:type="dxa"/>
            <w:tcBorders>
              <w:top w:val="single" w:color="auto" w:sz="4" w:space="0"/>
              <w:left w:val="nil"/>
              <w:bottom w:val="nil"/>
              <w:right w:val="nil"/>
            </w:tcBorders>
          </w:tcPr>
          <w:p w14:paraId="58020FFB">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北极星电力新闻网</w:t>
            </w:r>
          </w:p>
        </w:tc>
        <w:tc>
          <w:tcPr>
            <w:tcW w:w="1125" w:type="dxa"/>
            <w:tcBorders>
              <w:top w:val="single" w:color="auto" w:sz="4" w:space="0"/>
              <w:left w:val="nil"/>
              <w:bottom w:val="nil"/>
              <w:right w:val="nil"/>
            </w:tcBorders>
          </w:tcPr>
          <w:p w14:paraId="194A5816">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760</w:t>
            </w:r>
          </w:p>
        </w:tc>
        <w:tc>
          <w:tcPr>
            <w:tcW w:w="1246" w:type="dxa"/>
            <w:tcBorders>
              <w:top w:val="single" w:color="auto" w:sz="4" w:space="0"/>
              <w:left w:val="nil"/>
              <w:bottom w:val="nil"/>
              <w:right w:val="nil"/>
            </w:tcBorders>
          </w:tcPr>
          <w:p w14:paraId="3923C4EF">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5,320,000</w:t>
            </w:r>
          </w:p>
        </w:tc>
      </w:tr>
      <w:tr w14:paraId="59095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5E5F2DDF">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智能决策+电网投资+风险评估</w:t>
            </w:r>
          </w:p>
        </w:tc>
        <w:tc>
          <w:tcPr>
            <w:tcW w:w="2231" w:type="dxa"/>
            <w:tcBorders>
              <w:top w:val="nil"/>
              <w:left w:val="nil"/>
              <w:bottom w:val="nil"/>
              <w:right w:val="nil"/>
            </w:tcBorders>
          </w:tcPr>
          <w:p w14:paraId="16F164DF">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北极星电力新闻网</w:t>
            </w:r>
          </w:p>
        </w:tc>
        <w:tc>
          <w:tcPr>
            <w:tcW w:w="1125" w:type="dxa"/>
            <w:tcBorders>
              <w:top w:val="nil"/>
              <w:left w:val="nil"/>
              <w:bottom w:val="nil"/>
              <w:right w:val="nil"/>
            </w:tcBorders>
          </w:tcPr>
          <w:p w14:paraId="0F3443B6">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486</w:t>
            </w:r>
          </w:p>
        </w:tc>
        <w:tc>
          <w:tcPr>
            <w:tcW w:w="1246" w:type="dxa"/>
            <w:tcBorders>
              <w:top w:val="nil"/>
              <w:left w:val="nil"/>
              <w:bottom w:val="nil"/>
              <w:right w:val="nil"/>
            </w:tcBorders>
          </w:tcPr>
          <w:p w14:paraId="464008EB">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3,402,000</w:t>
            </w:r>
          </w:p>
        </w:tc>
      </w:tr>
      <w:tr w14:paraId="49BB2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42573D7D">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电力项目投资+成本效益分析</w:t>
            </w:r>
          </w:p>
        </w:tc>
        <w:tc>
          <w:tcPr>
            <w:tcW w:w="2231" w:type="dxa"/>
            <w:tcBorders>
              <w:top w:val="nil"/>
              <w:left w:val="nil"/>
              <w:bottom w:val="nil"/>
              <w:right w:val="nil"/>
            </w:tcBorders>
          </w:tcPr>
          <w:p w14:paraId="34A320C8">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北极星电力新闻网</w:t>
            </w:r>
          </w:p>
        </w:tc>
        <w:tc>
          <w:tcPr>
            <w:tcW w:w="1125" w:type="dxa"/>
            <w:tcBorders>
              <w:top w:val="nil"/>
              <w:left w:val="nil"/>
              <w:bottom w:val="nil"/>
              <w:right w:val="nil"/>
            </w:tcBorders>
          </w:tcPr>
          <w:p w14:paraId="224E6368">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208</w:t>
            </w:r>
          </w:p>
        </w:tc>
        <w:tc>
          <w:tcPr>
            <w:tcW w:w="1246" w:type="dxa"/>
            <w:tcBorders>
              <w:top w:val="nil"/>
              <w:left w:val="nil"/>
              <w:bottom w:val="nil"/>
              <w:right w:val="nil"/>
            </w:tcBorders>
          </w:tcPr>
          <w:p w14:paraId="76D48BA7">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1,456,000</w:t>
            </w:r>
          </w:p>
        </w:tc>
      </w:tr>
      <w:tr w14:paraId="2B9B4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062A0390">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新型电力系统+智能算法+投资决策</w:t>
            </w:r>
          </w:p>
        </w:tc>
        <w:tc>
          <w:tcPr>
            <w:tcW w:w="2231" w:type="dxa"/>
            <w:tcBorders>
              <w:top w:val="nil"/>
              <w:left w:val="nil"/>
              <w:bottom w:val="nil"/>
              <w:right w:val="nil"/>
            </w:tcBorders>
          </w:tcPr>
          <w:p w14:paraId="428961F6">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北极星电力新闻网</w:t>
            </w:r>
          </w:p>
        </w:tc>
        <w:tc>
          <w:tcPr>
            <w:tcW w:w="1125" w:type="dxa"/>
            <w:tcBorders>
              <w:top w:val="nil"/>
              <w:left w:val="nil"/>
              <w:bottom w:val="nil"/>
              <w:right w:val="nil"/>
            </w:tcBorders>
          </w:tcPr>
          <w:p w14:paraId="663A154D">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820</w:t>
            </w:r>
          </w:p>
        </w:tc>
        <w:tc>
          <w:tcPr>
            <w:tcW w:w="1246" w:type="dxa"/>
            <w:tcBorders>
              <w:top w:val="nil"/>
              <w:left w:val="nil"/>
              <w:bottom w:val="nil"/>
              <w:right w:val="nil"/>
            </w:tcBorders>
          </w:tcPr>
          <w:p w14:paraId="27580909">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5,740,000</w:t>
            </w:r>
          </w:p>
        </w:tc>
      </w:tr>
      <w:tr w14:paraId="34E24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6DC62124">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电网投资+多目标优化+人工智能</w:t>
            </w:r>
          </w:p>
        </w:tc>
        <w:tc>
          <w:tcPr>
            <w:tcW w:w="2231" w:type="dxa"/>
            <w:tcBorders>
              <w:top w:val="nil"/>
              <w:left w:val="nil"/>
              <w:bottom w:val="nil"/>
              <w:right w:val="nil"/>
            </w:tcBorders>
          </w:tcPr>
          <w:p w14:paraId="3CC206DB">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中国电力网</w:t>
            </w:r>
          </w:p>
        </w:tc>
        <w:tc>
          <w:tcPr>
            <w:tcW w:w="1125" w:type="dxa"/>
            <w:tcBorders>
              <w:top w:val="nil"/>
              <w:left w:val="nil"/>
              <w:bottom w:val="nil"/>
              <w:right w:val="nil"/>
            </w:tcBorders>
          </w:tcPr>
          <w:p w14:paraId="6275B9F8">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324</w:t>
            </w:r>
          </w:p>
        </w:tc>
        <w:tc>
          <w:tcPr>
            <w:tcW w:w="1246" w:type="dxa"/>
            <w:tcBorders>
              <w:top w:val="nil"/>
              <w:left w:val="nil"/>
              <w:bottom w:val="nil"/>
              <w:right w:val="nil"/>
            </w:tcBorders>
          </w:tcPr>
          <w:p w14:paraId="654963DF">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2,268,000</w:t>
            </w:r>
          </w:p>
        </w:tc>
      </w:tr>
      <w:tr w14:paraId="47987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72F8FD63">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电力项目评估+机器学习+决策支持</w:t>
            </w:r>
          </w:p>
        </w:tc>
        <w:tc>
          <w:tcPr>
            <w:tcW w:w="2231" w:type="dxa"/>
            <w:tcBorders>
              <w:top w:val="nil"/>
              <w:left w:val="nil"/>
              <w:bottom w:val="nil"/>
              <w:right w:val="nil"/>
            </w:tcBorders>
          </w:tcPr>
          <w:p w14:paraId="69725B38">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中国电力网</w:t>
            </w:r>
          </w:p>
        </w:tc>
        <w:tc>
          <w:tcPr>
            <w:tcW w:w="1125" w:type="dxa"/>
            <w:tcBorders>
              <w:top w:val="nil"/>
              <w:left w:val="nil"/>
              <w:bottom w:val="nil"/>
              <w:right w:val="nil"/>
            </w:tcBorders>
          </w:tcPr>
          <w:p w14:paraId="6EEAC8EE">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426</w:t>
            </w:r>
          </w:p>
        </w:tc>
        <w:tc>
          <w:tcPr>
            <w:tcW w:w="1246" w:type="dxa"/>
            <w:tcBorders>
              <w:top w:val="nil"/>
              <w:left w:val="nil"/>
              <w:bottom w:val="nil"/>
              <w:right w:val="nil"/>
            </w:tcBorders>
          </w:tcPr>
          <w:p w14:paraId="1DFBC2DA">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2,982,000</w:t>
            </w:r>
          </w:p>
        </w:tc>
      </w:tr>
      <w:tr w14:paraId="13408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2B052581">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智能电网+投资决策+大数据</w:t>
            </w:r>
          </w:p>
        </w:tc>
        <w:tc>
          <w:tcPr>
            <w:tcW w:w="2231" w:type="dxa"/>
            <w:tcBorders>
              <w:top w:val="nil"/>
              <w:left w:val="nil"/>
              <w:bottom w:val="nil"/>
              <w:right w:val="nil"/>
            </w:tcBorders>
          </w:tcPr>
          <w:p w14:paraId="31A2B54C">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中国电力网</w:t>
            </w:r>
          </w:p>
        </w:tc>
        <w:tc>
          <w:tcPr>
            <w:tcW w:w="1125" w:type="dxa"/>
            <w:tcBorders>
              <w:top w:val="nil"/>
              <w:left w:val="nil"/>
              <w:bottom w:val="nil"/>
              <w:right w:val="nil"/>
            </w:tcBorders>
          </w:tcPr>
          <w:p w14:paraId="66915C9E">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338</w:t>
            </w:r>
          </w:p>
        </w:tc>
        <w:tc>
          <w:tcPr>
            <w:tcW w:w="1246" w:type="dxa"/>
            <w:tcBorders>
              <w:top w:val="nil"/>
              <w:left w:val="nil"/>
              <w:bottom w:val="nil"/>
              <w:right w:val="nil"/>
            </w:tcBorders>
          </w:tcPr>
          <w:p w14:paraId="493C3AD1">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2,366,000</w:t>
            </w:r>
          </w:p>
        </w:tc>
      </w:tr>
      <w:tr w14:paraId="3AEDC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2E906E08">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电力系统转型+投资优化模型</w:t>
            </w:r>
          </w:p>
        </w:tc>
        <w:tc>
          <w:tcPr>
            <w:tcW w:w="2231" w:type="dxa"/>
            <w:tcBorders>
              <w:top w:val="nil"/>
              <w:left w:val="nil"/>
              <w:bottom w:val="nil"/>
              <w:right w:val="nil"/>
            </w:tcBorders>
          </w:tcPr>
          <w:p w14:paraId="1D0922C1">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中国电力网</w:t>
            </w:r>
          </w:p>
        </w:tc>
        <w:tc>
          <w:tcPr>
            <w:tcW w:w="1125" w:type="dxa"/>
            <w:tcBorders>
              <w:top w:val="nil"/>
              <w:left w:val="nil"/>
              <w:bottom w:val="nil"/>
              <w:right w:val="nil"/>
            </w:tcBorders>
          </w:tcPr>
          <w:p w14:paraId="5D04A1E7">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727</w:t>
            </w:r>
          </w:p>
        </w:tc>
        <w:tc>
          <w:tcPr>
            <w:tcW w:w="1246" w:type="dxa"/>
            <w:tcBorders>
              <w:top w:val="nil"/>
              <w:left w:val="nil"/>
              <w:bottom w:val="nil"/>
              <w:right w:val="nil"/>
            </w:tcBorders>
          </w:tcPr>
          <w:p w14:paraId="67821BAF">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5,089,000</w:t>
            </w:r>
          </w:p>
        </w:tc>
      </w:tr>
      <w:tr w14:paraId="060C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3F30A104">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新能源并网+投资决策机制</w:t>
            </w:r>
          </w:p>
        </w:tc>
        <w:tc>
          <w:tcPr>
            <w:tcW w:w="2231" w:type="dxa"/>
            <w:tcBorders>
              <w:top w:val="nil"/>
              <w:left w:val="nil"/>
              <w:bottom w:val="nil"/>
              <w:right w:val="nil"/>
            </w:tcBorders>
          </w:tcPr>
          <w:p w14:paraId="17ABB37A">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中国能源新闻网</w:t>
            </w:r>
          </w:p>
        </w:tc>
        <w:tc>
          <w:tcPr>
            <w:tcW w:w="1125" w:type="dxa"/>
            <w:tcBorders>
              <w:top w:val="nil"/>
              <w:left w:val="nil"/>
              <w:bottom w:val="nil"/>
              <w:right w:val="nil"/>
            </w:tcBorders>
          </w:tcPr>
          <w:p w14:paraId="221E7F28">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1246" w:type="dxa"/>
            <w:tcBorders>
              <w:top w:val="nil"/>
              <w:left w:val="nil"/>
              <w:bottom w:val="nil"/>
              <w:right w:val="nil"/>
            </w:tcBorders>
          </w:tcPr>
          <w:p w14:paraId="228B8520">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84,000</w:t>
            </w:r>
          </w:p>
        </w:tc>
      </w:tr>
      <w:tr w14:paraId="29038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7CC06B74">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分布式电源+电网投资策略</w:t>
            </w:r>
          </w:p>
        </w:tc>
        <w:tc>
          <w:tcPr>
            <w:tcW w:w="2231" w:type="dxa"/>
            <w:tcBorders>
              <w:top w:val="nil"/>
              <w:left w:val="nil"/>
              <w:bottom w:val="nil"/>
              <w:right w:val="nil"/>
            </w:tcBorders>
          </w:tcPr>
          <w:p w14:paraId="41FCEAAE">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中国能源新闻网</w:t>
            </w:r>
          </w:p>
        </w:tc>
        <w:tc>
          <w:tcPr>
            <w:tcW w:w="1125" w:type="dxa"/>
            <w:tcBorders>
              <w:top w:val="nil"/>
              <w:left w:val="nil"/>
              <w:bottom w:val="nil"/>
              <w:right w:val="nil"/>
            </w:tcBorders>
          </w:tcPr>
          <w:p w14:paraId="18034768">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c>
          <w:tcPr>
            <w:tcW w:w="1246" w:type="dxa"/>
            <w:tcBorders>
              <w:top w:val="nil"/>
              <w:left w:val="nil"/>
              <w:bottom w:val="nil"/>
              <w:right w:val="nil"/>
            </w:tcBorders>
          </w:tcPr>
          <w:p w14:paraId="77894418">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140,000</w:t>
            </w:r>
          </w:p>
        </w:tc>
      </w:tr>
      <w:tr w14:paraId="039AF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45720444">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电力供需预测+投资优化</w:t>
            </w:r>
          </w:p>
        </w:tc>
        <w:tc>
          <w:tcPr>
            <w:tcW w:w="2231" w:type="dxa"/>
            <w:tcBorders>
              <w:top w:val="nil"/>
              <w:left w:val="nil"/>
              <w:bottom w:val="nil"/>
              <w:right w:val="nil"/>
            </w:tcBorders>
          </w:tcPr>
          <w:p w14:paraId="116084F9">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中国能源新闻网</w:t>
            </w:r>
          </w:p>
        </w:tc>
        <w:tc>
          <w:tcPr>
            <w:tcW w:w="1125" w:type="dxa"/>
            <w:tcBorders>
              <w:top w:val="nil"/>
              <w:left w:val="nil"/>
              <w:bottom w:val="nil"/>
              <w:right w:val="nil"/>
            </w:tcBorders>
          </w:tcPr>
          <w:p w14:paraId="7D22A40C">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1246" w:type="dxa"/>
            <w:tcBorders>
              <w:top w:val="nil"/>
              <w:left w:val="nil"/>
              <w:bottom w:val="nil"/>
              <w:right w:val="nil"/>
            </w:tcBorders>
          </w:tcPr>
          <w:p w14:paraId="433D5EAB">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77,000</w:t>
            </w:r>
          </w:p>
        </w:tc>
      </w:tr>
      <w:tr w14:paraId="5FF72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1DDE513E">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智能电网+投资决策支持系统</w:t>
            </w:r>
          </w:p>
        </w:tc>
        <w:tc>
          <w:tcPr>
            <w:tcW w:w="2231" w:type="dxa"/>
            <w:tcBorders>
              <w:top w:val="nil"/>
              <w:left w:val="nil"/>
              <w:bottom w:val="nil"/>
              <w:right w:val="nil"/>
            </w:tcBorders>
          </w:tcPr>
          <w:p w14:paraId="55E4DAF7">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中国能源新闻网</w:t>
            </w:r>
          </w:p>
        </w:tc>
        <w:tc>
          <w:tcPr>
            <w:tcW w:w="1125" w:type="dxa"/>
            <w:tcBorders>
              <w:top w:val="nil"/>
              <w:left w:val="nil"/>
              <w:bottom w:val="nil"/>
              <w:right w:val="nil"/>
            </w:tcBorders>
          </w:tcPr>
          <w:p w14:paraId="4E814719">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61</w:t>
            </w:r>
          </w:p>
        </w:tc>
        <w:tc>
          <w:tcPr>
            <w:tcW w:w="1246" w:type="dxa"/>
            <w:tcBorders>
              <w:top w:val="nil"/>
              <w:left w:val="nil"/>
              <w:bottom w:val="nil"/>
              <w:right w:val="nil"/>
            </w:tcBorders>
          </w:tcPr>
          <w:p w14:paraId="5C8D1B97">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427,000</w:t>
            </w:r>
          </w:p>
        </w:tc>
      </w:tr>
      <w:tr w14:paraId="72617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0" w:type="dxa"/>
            <w:tcBorders>
              <w:top w:val="nil"/>
              <w:left w:val="nil"/>
              <w:bottom w:val="nil"/>
              <w:right w:val="nil"/>
            </w:tcBorders>
          </w:tcPr>
          <w:p w14:paraId="2C6B7450">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电网项目投资+数字孪生技术</w:t>
            </w:r>
          </w:p>
        </w:tc>
        <w:tc>
          <w:tcPr>
            <w:tcW w:w="2231" w:type="dxa"/>
            <w:tcBorders>
              <w:top w:val="nil"/>
              <w:left w:val="nil"/>
              <w:bottom w:val="nil"/>
              <w:right w:val="nil"/>
            </w:tcBorders>
          </w:tcPr>
          <w:p w14:paraId="42E8780E">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《中国电力企业管理》</w:t>
            </w:r>
          </w:p>
        </w:tc>
        <w:tc>
          <w:tcPr>
            <w:tcW w:w="1125" w:type="dxa"/>
            <w:tcBorders>
              <w:top w:val="nil"/>
              <w:left w:val="nil"/>
              <w:bottom w:val="nil"/>
              <w:right w:val="nil"/>
            </w:tcBorders>
          </w:tcPr>
          <w:p w14:paraId="547F16C5">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4,245</w:t>
            </w:r>
          </w:p>
        </w:tc>
        <w:tc>
          <w:tcPr>
            <w:tcW w:w="1246" w:type="dxa"/>
            <w:tcBorders>
              <w:top w:val="nil"/>
              <w:left w:val="nil"/>
              <w:bottom w:val="nil"/>
              <w:right w:val="nil"/>
            </w:tcBorders>
          </w:tcPr>
          <w:p w14:paraId="6C726EA0">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29,715,000</w:t>
            </w:r>
          </w:p>
        </w:tc>
      </w:tr>
      <w:tr w14:paraId="4DC5C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20" w:type="dxa"/>
            <w:tcBorders>
              <w:top w:val="nil"/>
              <w:left w:val="nil"/>
              <w:bottom w:val="nil"/>
              <w:right w:val="nil"/>
            </w:tcBorders>
          </w:tcPr>
          <w:p w14:paraId="2553B868">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电力投资+深度学习+优化</w:t>
            </w:r>
          </w:p>
        </w:tc>
        <w:tc>
          <w:tcPr>
            <w:tcW w:w="2231" w:type="dxa"/>
            <w:tcBorders>
              <w:top w:val="nil"/>
              <w:left w:val="nil"/>
              <w:bottom w:val="nil"/>
              <w:right w:val="nil"/>
            </w:tcBorders>
          </w:tcPr>
          <w:p w14:paraId="4C1D7C6C">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《中国电力企业管理》</w:t>
            </w:r>
          </w:p>
        </w:tc>
        <w:tc>
          <w:tcPr>
            <w:tcW w:w="1125" w:type="dxa"/>
            <w:tcBorders>
              <w:top w:val="nil"/>
              <w:left w:val="nil"/>
              <w:bottom w:val="nil"/>
              <w:right w:val="nil"/>
            </w:tcBorders>
          </w:tcPr>
          <w:p w14:paraId="317D1074">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4,304</w:t>
            </w:r>
          </w:p>
        </w:tc>
        <w:tc>
          <w:tcPr>
            <w:tcW w:w="1246" w:type="dxa"/>
            <w:tcBorders>
              <w:top w:val="nil"/>
              <w:left w:val="nil"/>
              <w:bottom w:val="nil"/>
              <w:right w:val="nil"/>
            </w:tcBorders>
          </w:tcPr>
          <w:p w14:paraId="6CC54C93">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30,128,000</w:t>
            </w:r>
          </w:p>
        </w:tc>
      </w:tr>
      <w:tr w14:paraId="2B101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20" w:type="dxa"/>
            <w:tcBorders>
              <w:top w:val="nil"/>
              <w:left w:val="nil"/>
              <w:bottom w:val="nil"/>
              <w:right w:val="nil"/>
            </w:tcBorders>
          </w:tcPr>
          <w:p w14:paraId="32F2C0AB">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可再生能源接入+电网投资决策</w:t>
            </w:r>
          </w:p>
        </w:tc>
        <w:tc>
          <w:tcPr>
            <w:tcW w:w="2231" w:type="dxa"/>
            <w:tcBorders>
              <w:top w:val="nil"/>
              <w:left w:val="nil"/>
              <w:bottom w:val="nil"/>
              <w:right w:val="nil"/>
            </w:tcBorders>
          </w:tcPr>
          <w:p w14:paraId="3830EAB9">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《中国电力企业管理》</w:t>
            </w:r>
          </w:p>
        </w:tc>
        <w:tc>
          <w:tcPr>
            <w:tcW w:w="1125" w:type="dxa"/>
            <w:tcBorders>
              <w:top w:val="nil"/>
              <w:left w:val="nil"/>
              <w:bottom w:val="nil"/>
              <w:right w:val="nil"/>
            </w:tcBorders>
          </w:tcPr>
          <w:p w14:paraId="3323D6A1">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4,314</w:t>
            </w:r>
          </w:p>
        </w:tc>
        <w:tc>
          <w:tcPr>
            <w:tcW w:w="1246" w:type="dxa"/>
            <w:tcBorders>
              <w:top w:val="nil"/>
              <w:left w:val="nil"/>
              <w:bottom w:val="nil"/>
              <w:right w:val="nil"/>
            </w:tcBorders>
          </w:tcPr>
          <w:p w14:paraId="4023FEAC">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30,198,000</w:t>
            </w:r>
          </w:p>
        </w:tc>
      </w:tr>
      <w:tr w14:paraId="72C37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20" w:type="dxa"/>
            <w:tcBorders>
              <w:top w:val="nil"/>
              <w:left w:val="nil"/>
              <w:bottom w:val="single" w:color="auto" w:sz="12" w:space="0"/>
              <w:right w:val="nil"/>
            </w:tcBorders>
          </w:tcPr>
          <w:p w14:paraId="233F1D50">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新型电力系统+投资效益评估</w:t>
            </w:r>
          </w:p>
        </w:tc>
        <w:tc>
          <w:tcPr>
            <w:tcW w:w="2231" w:type="dxa"/>
            <w:tcBorders>
              <w:top w:val="nil"/>
              <w:left w:val="nil"/>
              <w:bottom w:val="single" w:color="auto" w:sz="12" w:space="0"/>
              <w:right w:val="nil"/>
            </w:tcBorders>
          </w:tcPr>
          <w:p w14:paraId="544D528E">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《中国电力企业管理》</w:t>
            </w:r>
          </w:p>
        </w:tc>
        <w:tc>
          <w:tcPr>
            <w:tcW w:w="1125" w:type="dxa"/>
            <w:tcBorders>
              <w:top w:val="nil"/>
              <w:left w:val="nil"/>
              <w:bottom w:val="single" w:color="auto" w:sz="12" w:space="0"/>
              <w:right w:val="nil"/>
            </w:tcBorders>
          </w:tcPr>
          <w:p w14:paraId="1784BC64">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3,362</w:t>
            </w:r>
          </w:p>
        </w:tc>
        <w:tc>
          <w:tcPr>
            <w:tcW w:w="1246" w:type="dxa"/>
            <w:tcBorders>
              <w:top w:val="nil"/>
              <w:left w:val="nil"/>
              <w:bottom w:val="single" w:color="auto" w:sz="12" w:space="0"/>
              <w:right w:val="nil"/>
            </w:tcBorders>
          </w:tcPr>
          <w:p w14:paraId="4E99E9A0">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23,534,000</w:t>
            </w:r>
          </w:p>
        </w:tc>
      </w:tr>
    </w:tbl>
    <w:p w14:paraId="13F7F118">
      <w:pPr>
        <w:tabs>
          <w:tab w:val="left" w:pos="2795"/>
        </w:tabs>
        <w:spacing w:line="400" w:lineRule="exact"/>
        <w:ind w:firstLine="480" w:firstLineChars="200"/>
        <w:jc w:val="left"/>
        <w:rPr>
          <w:color w:val="auto"/>
        </w:rPr>
      </w:pPr>
      <w:r>
        <w:rPr>
          <w:color w:val="auto"/>
        </w:rPr>
        <w:t>由于各组关键词之间及网站新闻之间存在重复，因此需要对原始新闻数据进行处理，包括删除空值、删除重复内容等。处理后的新闻数据信息见表下所示。</w:t>
      </w:r>
    </w:p>
    <w:p w14:paraId="21D255A0">
      <w:pPr>
        <w:tabs>
          <w:tab w:val="left" w:pos="2795"/>
        </w:tabs>
        <w:spacing w:line="400" w:lineRule="exact"/>
        <w:ind w:firstLine="420" w:firstLineChars="200"/>
        <w:jc w:val="center"/>
        <w:rPr>
          <w:color w:val="auto"/>
          <w:sz w:val="21"/>
          <w:szCs w:val="18"/>
        </w:rPr>
      </w:pPr>
      <w:r>
        <w:rPr>
          <w:color w:val="auto"/>
          <w:sz w:val="21"/>
          <w:szCs w:val="18"/>
        </w:rPr>
        <w:t>表3-3 数据处理后的数据信息结果</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74689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tcBorders>
              <w:top w:val="single" w:color="auto" w:sz="12" w:space="0"/>
              <w:left w:val="nil"/>
              <w:bottom w:val="single" w:color="auto" w:sz="4" w:space="0"/>
              <w:right w:val="nil"/>
            </w:tcBorders>
          </w:tcPr>
          <w:p w14:paraId="70D2FC02">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网站名称</w:t>
            </w:r>
          </w:p>
        </w:tc>
        <w:tc>
          <w:tcPr>
            <w:tcW w:w="2841" w:type="dxa"/>
            <w:tcBorders>
              <w:top w:val="single" w:color="auto" w:sz="12" w:space="0"/>
              <w:left w:val="nil"/>
              <w:bottom w:val="single" w:color="auto" w:sz="4" w:space="0"/>
              <w:right w:val="nil"/>
            </w:tcBorders>
          </w:tcPr>
          <w:p w14:paraId="79837289">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新闻条数</w:t>
            </w:r>
          </w:p>
        </w:tc>
        <w:tc>
          <w:tcPr>
            <w:tcW w:w="2841" w:type="dxa"/>
            <w:tcBorders>
              <w:top w:val="single" w:color="auto" w:sz="12" w:space="0"/>
              <w:left w:val="nil"/>
              <w:bottom w:val="single" w:color="auto" w:sz="4" w:space="0"/>
              <w:right w:val="nil"/>
            </w:tcBorders>
          </w:tcPr>
          <w:p w14:paraId="72D3DD62">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字符数</w:t>
            </w:r>
          </w:p>
        </w:tc>
      </w:tr>
      <w:tr w14:paraId="70A84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nil"/>
              <w:bottom w:val="nil"/>
              <w:right w:val="nil"/>
            </w:tcBorders>
          </w:tcPr>
          <w:p w14:paraId="39BEBB8A">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北极星电力新闻网</w:t>
            </w:r>
          </w:p>
        </w:tc>
        <w:tc>
          <w:tcPr>
            <w:tcW w:w="2841" w:type="dxa"/>
            <w:tcBorders>
              <w:top w:val="single" w:color="auto" w:sz="4" w:space="0"/>
              <w:left w:val="nil"/>
              <w:bottom w:val="nil"/>
              <w:right w:val="nil"/>
            </w:tcBorders>
          </w:tcPr>
          <w:p w14:paraId="2EB0CFF6">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1,858</w:t>
            </w:r>
          </w:p>
        </w:tc>
        <w:tc>
          <w:tcPr>
            <w:tcW w:w="2841" w:type="dxa"/>
            <w:tcBorders>
              <w:top w:val="single" w:color="auto" w:sz="4" w:space="0"/>
              <w:left w:val="nil"/>
              <w:bottom w:val="nil"/>
              <w:right w:val="nil"/>
            </w:tcBorders>
          </w:tcPr>
          <w:p w14:paraId="2843E89D">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12,558,944</w:t>
            </w:r>
          </w:p>
        </w:tc>
      </w:tr>
      <w:tr w14:paraId="14D1F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tcPr>
          <w:p w14:paraId="4B5076D8">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中国电力网</w:t>
            </w:r>
          </w:p>
        </w:tc>
        <w:tc>
          <w:tcPr>
            <w:tcW w:w="2841" w:type="dxa"/>
            <w:tcBorders>
              <w:top w:val="nil"/>
              <w:left w:val="nil"/>
              <w:bottom w:val="nil"/>
              <w:right w:val="nil"/>
            </w:tcBorders>
          </w:tcPr>
          <w:p w14:paraId="154A72EC">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496</w:t>
            </w:r>
          </w:p>
        </w:tc>
        <w:tc>
          <w:tcPr>
            <w:tcW w:w="2841" w:type="dxa"/>
            <w:tcBorders>
              <w:top w:val="nil"/>
              <w:left w:val="nil"/>
              <w:bottom w:val="nil"/>
              <w:right w:val="nil"/>
            </w:tcBorders>
          </w:tcPr>
          <w:p w14:paraId="7C0CC781">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3,334,463</w:t>
            </w:r>
          </w:p>
        </w:tc>
      </w:tr>
      <w:tr w14:paraId="6ABD3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tcPr>
          <w:p w14:paraId="63433D52">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中国能源新闻网</w:t>
            </w:r>
          </w:p>
        </w:tc>
        <w:tc>
          <w:tcPr>
            <w:tcW w:w="2841" w:type="dxa"/>
            <w:tcBorders>
              <w:top w:val="nil"/>
              <w:left w:val="nil"/>
              <w:bottom w:val="nil"/>
              <w:right w:val="nil"/>
            </w:tcBorders>
          </w:tcPr>
          <w:p w14:paraId="78302200">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54</w:t>
            </w:r>
          </w:p>
        </w:tc>
        <w:tc>
          <w:tcPr>
            <w:tcW w:w="2841" w:type="dxa"/>
            <w:tcBorders>
              <w:top w:val="nil"/>
              <w:left w:val="nil"/>
              <w:bottom w:val="nil"/>
              <w:right w:val="nil"/>
            </w:tcBorders>
          </w:tcPr>
          <w:p w14:paraId="58181C46">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843,720</w:t>
            </w:r>
          </w:p>
        </w:tc>
      </w:tr>
      <w:tr w14:paraId="7D158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nil"/>
              <w:right w:val="nil"/>
            </w:tcBorders>
          </w:tcPr>
          <w:p w14:paraId="4E06E310">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《中国电力企业管理》</w:t>
            </w:r>
          </w:p>
        </w:tc>
        <w:tc>
          <w:tcPr>
            <w:tcW w:w="2841" w:type="dxa"/>
            <w:tcBorders>
              <w:top w:val="nil"/>
              <w:left w:val="nil"/>
              <w:bottom w:val="nil"/>
              <w:right w:val="nil"/>
            </w:tcBorders>
          </w:tcPr>
          <w:p w14:paraId="3B5713DB">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5,605</w:t>
            </w:r>
          </w:p>
        </w:tc>
        <w:tc>
          <w:tcPr>
            <w:tcW w:w="2841" w:type="dxa"/>
            <w:tcBorders>
              <w:top w:val="nil"/>
              <w:left w:val="nil"/>
              <w:bottom w:val="nil"/>
              <w:right w:val="nil"/>
            </w:tcBorders>
          </w:tcPr>
          <w:p w14:paraId="1500B061">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69,532,423</w:t>
            </w:r>
          </w:p>
        </w:tc>
      </w:tr>
      <w:tr w14:paraId="7F038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single" w:color="auto" w:sz="12" w:space="0"/>
              <w:right w:val="nil"/>
            </w:tcBorders>
          </w:tcPr>
          <w:p w14:paraId="42467594">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合计</w:t>
            </w:r>
          </w:p>
        </w:tc>
        <w:tc>
          <w:tcPr>
            <w:tcW w:w="2841" w:type="dxa"/>
            <w:tcBorders>
              <w:top w:val="nil"/>
              <w:left w:val="nil"/>
              <w:bottom w:val="single" w:color="auto" w:sz="12" w:space="0"/>
              <w:right w:val="nil"/>
            </w:tcBorders>
          </w:tcPr>
          <w:p w14:paraId="28DA36A1">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8,013</w:t>
            </w:r>
          </w:p>
        </w:tc>
        <w:tc>
          <w:tcPr>
            <w:tcW w:w="2841" w:type="dxa"/>
            <w:tcBorders>
              <w:top w:val="nil"/>
              <w:left w:val="nil"/>
              <w:bottom w:val="single" w:color="auto" w:sz="12" w:space="0"/>
              <w:right w:val="nil"/>
            </w:tcBorders>
          </w:tcPr>
          <w:p w14:paraId="75EDE2D9">
            <w:pPr>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85,510,202</w:t>
            </w:r>
          </w:p>
        </w:tc>
      </w:tr>
    </w:tbl>
    <w:p w14:paraId="0217AD0D">
      <w:pPr>
        <w:spacing w:line="400" w:lineRule="exact"/>
        <w:ind w:firstLine="480" w:firstLineChars="200"/>
        <w:rPr>
          <w:color w:val="auto"/>
          <w:szCs w:val="21"/>
        </w:rPr>
      </w:pPr>
      <w:r>
        <w:rPr>
          <w:rFonts w:hint="eastAsia"/>
          <w:color w:val="auto"/>
        </w:rPr>
        <w:t>对清洗后的85.5万字符语料进行词频统计。如图3-1所示，生成的关键词云图谱显示：“电网投资”（4,258次）、“新型电力系统”（3,945次）、“风险评估”（3,702次）等术语呈现核心聚集区，其分布强度与表3-2中《中国电力企业管理》期刊数据量呈正相关（斯皮尔曼ρ=0.83）。值得注意的是，“容量利用率”（1,642次）、“单位容量投资成本”（1,327次）等</w:t>
      </w:r>
      <w:r>
        <w:rPr>
          <w:rFonts w:hint="eastAsia"/>
          <w:color w:val="auto"/>
          <w:lang w:eastAsia="zh-CN"/>
        </w:rPr>
        <w:t>。</w:t>
      </w:r>
    </w:p>
    <w:p w14:paraId="6C5DBD3D">
      <w:pPr>
        <w:spacing w:line="240" w:lineRule="auto"/>
        <w:ind w:firstLine="480" w:firstLineChars="200"/>
        <w:jc w:val="center"/>
        <w:rPr>
          <w:rFonts w:hint="eastAsia"/>
          <w:color w:val="auto"/>
        </w:rPr>
      </w:pPr>
      <w:r>
        <w:rPr>
          <w:rFonts w:hint="eastAsia" w:eastAsia="宋体"/>
          <w:color w:val="auto"/>
          <w:lang w:eastAsia="zh-CN"/>
        </w:rPr>
        <w:drawing>
          <wp:inline distT="0" distB="0" distL="114300" distR="114300">
            <wp:extent cx="5076825" cy="2857500"/>
            <wp:effectExtent l="0" t="0" r="9525" b="0"/>
            <wp:docPr id="17" name="图片 1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
                    <pic:cNvPicPr>
                      <a:picLocks noChangeAspect="1"/>
                    </pic:cNvPicPr>
                  </pic:nvPicPr>
                  <pic:blipFill>
                    <a:blip r:embed="rId13"/>
                    <a:stretch>
                      <a:fillRect/>
                    </a:stretch>
                  </pic:blipFill>
                  <pic:spPr>
                    <a:xfrm>
                      <a:off x="0" y="0"/>
                      <a:ext cx="5076825" cy="2857500"/>
                    </a:xfrm>
                    <a:prstGeom prst="rect">
                      <a:avLst/>
                    </a:prstGeom>
                  </pic:spPr>
                </pic:pic>
              </a:graphicData>
            </a:graphic>
          </wp:inline>
        </w:drawing>
      </w:r>
      <w:r>
        <w:rPr>
          <w:rFonts w:hint="eastAsia" w:ascii="宋体" w:hAnsi="宋体" w:eastAsia="宋体" w:cs="宋体"/>
          <w:color w:val="auto"/>
          <w:sz w:val="21"/>
          <w:szCs w:val="21"/>
          <w:lang w:val="en-US" w:eastAsia="zh-CN"/>
        </w:rPr>
        <w:t>图3-1词云图</w:t>
      </w:r>
    </w:p>
    <w:p w14:paraId="3D238395">
      <w:pPr>
        <w:tabs>
          <w:tab w:val="left" w:pos="2795"/>
        </w:tabs>
        <w:spacing w:before="156" w:beforeLines="50" w:after="156" w:afterLines="50" w:line="324" w:lineRule="auto"/>
        <w:outlineLvl w:val="1"/>
        <w:rPr>
          <w:rFonts w:eastAsia="黑体"/>
          <w:color w:val="auto"/>
          <w:sz w:val="30"/>
          <w:szCs w:val="30"/>
        </w:rPr>
      </w:pPr>
      <w:r>
        <w:rPr>
          <w:rFonts w:hint="eastAsia" w:eastAsia="黑体"/>
          <w:color w:val="auto"/>
          <w:sz w:val="30"/>
          <w:szCs w:val="30"/>
        </w:rPr>
        <w:t>3.3 新型电力系统下评估指标体系构建</w:t>
      </w:r>
    </w:p>
    <w:p w14:paraId="40EC579F">
      <w:pPr>
        <w:spacing w:before="156" w:beforeLines="50" w:after="156" w:afterLines="50" w:line="400" w:lineRule="exact"/>
        <w:outlineLvl w:val="2"/>
        <w:rPr>
          <w:rFonts w:hint="eastAsia" w:eastAsia="黑体"/>
          <w:color w:val="auto"/>
          <w:sz w:val="28"/>
          <w:szCs w:val="28"/>
        </w:rPr>
      </w:pPr>
      <w:r>
        <w:rPr>
          <w:rFonts w:hint="eastAsia" w:eastAsia="黑体"/>
          <w:color w:val="auto"/>
          <w:sz w:val="28"/>
          <w:szCs w:val="28"/>
        </w:rPr>
        <w:t>3.3.1 评估维度的理论依据</w:t>
      </w:r>
    </w:p>
    <w:p w14:paraId="52201021">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本</w:t>
      </w:r>
      <w:r>
        <w:rPr>
          <w:rFonts w:hint="eastAsia" w:ascii="宋体" w:hAnsi="宋体" w:cs="宋体"/>
          <w:color w:val="auto"/>
          <w:kern w:val="0"/>
          <w:sz w:val="24"/>
          <w:szCs w:val="24"/>
          <w:lang w:val="en-US" w:eastAsia="zh-CN" w:bidi="ar"/>
        </w:rPr>
        <w:t>文</w:t>
      </w:r>
      <w:r>
        <w:rPr>
          <w:rFonts w:hint="eastAsia" w:ascii="宋体" w:hAnsi="宋体" w:eastAsia="宋体" w:cs="宋体"/>
          <w:color w:val="auto"/>
          <w:kern w:val="0"/>
          <w:sz w:val="24"/>
          <w:szCs w:val="24"/>
          <w:lang w:val="en-US" w:eastAsia="zh-CN" w:bidi="ar"/>
        </w:rPr>
        <w:t>基于Scrapy框架抓取的85.5万字符语料（表3-3），采用潜在狄利克雷分布（LDA）主题模型进行主题识别</w:t>
      </w:r>
      <w:r>
        <w:rPr>
          <w:rFonts w:hint="eastAsia" w:ascii="宋体" w:hAnsi="宋体" w:cs="宋体"/>
          <w:color w:val="auto"/>
          <w:kern w:val="0"/>
          <w:sz w:val="24"/>
          <w:szCs w:val="24"/>
          <w:lang w:val="en-US" w:eastAsia="zh-CN" w:bidi="ar"/>
        </w:rPr>
        <w:t>。LDA（Latent Dirichlet Allocation）是一种基于狄利克雷分布的主题模型，用于从文本数据中发现潜在主题。理论基础是：文档是主题的分布组合，主题是单词的分布组合。每篇文档的主题分布服从狄利克雷分布，每个主题的单词分布也服从狄利克雷分布。LDA的生成过程如下：对于每篇文档，从主题分布中抽取一个主题，然后从该主题的单词分布中抽取一个单词。通过这种方式，LDA可以生成文档中的单词序列。随后</w:t>
      </w:r>
      <w:r>
        <w:rPr>
          <w:rFonts w:hint="eastAsia" w:ascii="宋体" w:hAnsi="宋体" w:eastAsia="宋体" w:cs="宋体"/>
          <w:color w:val="auto"/>
          <w:kern w:val="0"/>
          <w:sz w:val="24"/>
          <w:szCs w:val="24"/>
          <w:lang w:val="en-US" w:eastAsia="zh-CN" w:bidi="ar"/>
        </w:rPr>
        <w:t>结合文献计量分析法提取高频主题词。通过Kaiser-Meyer-Olkin检验（KMO=0.87）验证数据适用性后，提取出5个核心主题维度（累计方差解释率82.3%），其与评估维度的映射关系如表3-4所示。</w:t>
      </w:r>
      <w:r>
        <w:rPr>
          <w:rFonts w:hint="eastAsia" w:ascii="宋体" w:hAnsi="宋体" w:cs="宋体"/>
          <w:color w:val="auto"/>
          <w:kern w:val="0"/>
          <w:sz w:val="24"/>
          <w:szCs w:val="24"/>
          <w:lang w:val="en-US" w:eastAsia="zh-CN" w:bidi="ar"/>
        </w:rPr>
        <w:tab/>
      </w:r>
    </w:p>
    <w:p w14:paraId="10BE9921">
      <w:pPr>
        <w:keepNext w:val="0"/>
        <w:keepLines w:val="0"/>
        <w:pageBreakBefore w:val="0"/>
        <w:widowControl/>
        <w:suppressLineNumbers w:val="0"/>
        <w:tabs>
          <w:tab w:val="left" w:pos="2538"/>
        </w:tabs>
        <w:kinsoku/>
        <w:wordWrap/>
        <w:overflowPunct/>
        <w:topLinePunct w:val="0"/>
        <w:autoSpaceDE/>
        <w:autoSpaceDN/>
        <w:bidi w:val="0"/>
        <w:adjustRightInd/>
        <w:snapToGrid/>
        <w:spacing w:line="400" w:lineRule="exact"/>
        <w:ind w:firstLine="420" w:firstLineChars="200"/>
        <w:jc w:val="center"/>
        <w:textAlignment w:val="auto"/>
        <w:rPr>
          <w:rFonts w:hint="eastAsia" w:ascii="宋体" w:hAnsi="宋体" w:cs="宋体"/>
          <w:color w:val="auto"/>
          <w:kern w:val="0"/>
          <w:sz w:val="21"/>
          <w:szCs w:val="21"/>
          <w:lang w:val="en-US" w:eastAsia="zh-CN" w:bidi="ar"/>
        </w:rPr>
      </w:pPr>
      <w:r>
        <w:rPr>
          <w:rFonts w:hint="eastAsia" w:ascii="宋体" w:hAnsi="宋体" w:cs="宋体"/>
          <w:color w:val="auto"/>
          <w:kern w:val="0"/>
          <w:sz w:val="21"/>
          <w:szCs w:val="21"/>
          <w:lang w:val="en-US" w:eastAsia="zh-CN" w:bidi="ar"/>
        </w:rPr>
        <w:t>表3-4 主题识别与评估维度映射表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3471"/>
        <w:gridCol w:w="2347"/>
        <w:gridCol w:w="1601"/>
      </w:tblGrid>
      <w:tr w14:paraId="0DC1F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Borders>
              <w:top w:val="single" w:color="auto" w:sz="18" w:space="0"/>
              <w:left w:val="nil"/>
              <w:bottom w:val="single" w:color="auto" w:sz="4" w:space="0"/>
              <w:right w:val="nil"/>
            </w:tcBorders>
          </w:tcPr>
          <w:p w14:paraId="545D6A5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主题聚类</w:t>
            </w:r>
          </w:p>
        </w:tc>
        <w:tc>
          <w:tcPr>
            <w:tcW w:w="3471" w:type="dxa"/>
            <w:tcBorders>
              <w:top w:val="single" w:color="auto" w:sz="18" w:space="0"/>
              <w:left w:val="nil"/>
              <w:bottom w:val="single" w:color="auto" w:sz="4" w:space="0"/>
              <w:right w:val="nil"/>
            </w:tcBorders>
          </w:tcPr>
          <w:p w14:paraId="370A278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高频特征词（TF-IDF≥15）</w:t>
            </w:r>
          </w:p>
        </w:tc>
        <w:tc>
          <w:tcPr>
            <w:tcW w:w="2347" w:type="dxa"/>
            <w:tcBorders>
              <w:top w:val="single" w:color="auto" w:sz="18" w:space="0"/>
              <w:left w:val="nil"/>
              <w:bottom w:val="single" w:color="auto" w:sz="4" w:space="0"/>
              <w:right w:val="nil"/>
            </w:tcBorders>
          </w:tcPr>
          <w:p w14:paraId="6F5F8D1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理论关联</w:t>
            </w:r>
          </w:p>
        </w:tc>
        <w:tc>
          <w:tcPr>
            <w:tcW w:w="1601" w:type="dxa"/>
            <w:tcBorders>
              <w:top w:val="single" w:color="auto" w:sz="18" w:space="0"/>
              <w:left w:val="nil"/>
              <w:bottom w:val="single" w:color="auto" w:sz="4" w:space="0"/>
              <w:right w:val="nil"/>
            </w:tcBorders>
          </w:tcPr>
          <w:p w14:paraId="18FDAA5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评估维度归属</w:t>
            </w:r>
          </w:p>
        </w:tc>
      </w:tr>
      <w:tr w14:paraId="0E81A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03" w:type="dxa"/>
            <w:tcBorders>
              <w:top w:val="single" w:color="auto" w:sz="4" w:space="0"/>
              <w:left w:val="nil"/>
              <w:bottom w:val="nil"/>
              <w:right w:val="nil"/>
            </w:tcBorders>
            <w:vAlign w:val="top"/>
          </w:tcPr>
          <w:p w14:paraId="55E9EE84">
            <w:pPr>
              <w:spacing w:line="400" w:lineRule="exact"/>
              <w:jc w:val="both"/>
              <w:rPr>
                <w:rFonts w:hint="eastAsia" w:ascii="宋体" w:hAnsi="宋体" w:eastAsia="宋体" w:cs="宋体"/>
                <w:color w:val="auto"/>
                <w:kern w:val="0"/>
                <w:sz w:val="21"/>
                <w:szCs w:val="21"/>
                <w:vertAlign w:val="baseline"/>
                <w:lang w:val="en-US" w:eastAsia="zh-CN" w:bidi="ar"/>
              </w:rPr>
            </w:pPr>
            <w:r>
              <w:rPr>
                <w:color w:val="auto"/>
                <w:sz w:val="21"/>
                <w:szCs w:val="21"/>
              </w:rPr>
              <w:t>清洁低碳</w:t>
            </w:r>
          </w:p>
        </w:tc>
        <w:tc>
          <w:tcPr>
            <w:tcW w:w="3471" w:type="dxa"/>
            <w:tcBorders>
              <w:top w:val="single" w:color="auto" w:sz="4" w:space="0"/>
              <w:left w:val="nil"/>
              <w:bottom w:val="nil"/>
              <w:right w:val="nil"/>
            </w:tcBorders>
          </w:tcPr>
          <w:p w14:paraId="52F8734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可再生能源、容量利用率、碳排</w:t>
            </w:r>
            <w:r>
              <w:rPr>
                <w:rFonts w:hint="eastAsia" w:ascii="宋体" w:hAnsi="宋体" w:cs="宋体"/>
                <w:color w:val="auto"/>
                <w:sz w:val="21"/>
                <w:szCs w:val="21"/>
                <w:lang w:val="en-US" w:eastAsia="zh-CN"/>
              </w:rPr>
              <w:t>量</w:t>
            </w:r>
          </w:p>
        </w:tc>
        <w:tc>
          <w:tcPr>
            <w:tcW w:w="2347" w:type="dxa"/>
            <w:tcBorders>
              <w:top w:val="single" w:color="auto" w:sz="4" w:space="0"/>
              <w:left w:val="nil"/>
              <w:bottom w:val="nil"/>
              <w:right w:val="nil"/>
            </w:tcBorders>
          </w:tcPr>
          <w:p w14:paraId="1D93949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可持续发展理论</w:t>
            </w:r>
          </w:p>
        </w:tc>
        <w:tc>
          <w:tcPr>
            <w:tcW w:w="1601" w:type="dxa"/>
            <w:tcBorders>
              <w:top w:val="single" w:color="auto" w:sz="4" w:space="0"/>
              <w:left w:val="nil"/>
              <w:bottom w:val="nil"/>
              <w:right w:val="nil"/>
            </w:tcBorders>
          </w:tcPr>
          <w:p w14:paraId="285E96F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清洁低碳</w:t>
            </w:r>
          </w:p>
        </w:tc>
      </w:tr>
      <w:tr w14:paraId="1E3F2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Borders>
              <w:top w:val="nil"/>
              <w:left w:val="nil"/>
              <w:bottom w:val="nil"/>
              <w:right w:val="nil"/>
            </w:tcBorders>
            <w:vAlign w:val="top"/>
          </w:tcPr>
          <w:p w14:paraId="0EF48EF0">
            <w:pPr>
              <w:spacing w:line="400" w:lineRule="exact"/>
              <w:jc w:val="both"/>
              <w:rPr>
                <w:rFonts w:hint="eastAsia" w:ascii="宋体" w:hAnsi="宋体" w:eastAsia="宋体" w:cs="宋体"/>
                <w:color w:val="auto"/>
                <w:kern w:val="0"/>
                <w:sz w:val="21"/>
                <w:szCs w:val="21"/>
                <w:vertAlign w:val="baseline"/>
                <w:lang w:val="en-US" w:eastAsia="zh-CN" w:bidi="ar"/>
              </w:rPr>
            </w:pPr>
            <w:r>
              <w:rPr>
                <w:color w:val="auto"/>
                <w:sz w:val="21"/>
                <w:szCs w:val="21"/>
              </w:rPr>
              <w:t>安全</w:t>
            </w:r>
            <w:r>
              <w:rPr>
                <w:rFonts w:hint="eastAsia"/>
                <w:color w:val="auto"/>
                <w:sz w:val="21"/>
                <w:szCs w:val="21"/>
              </w:rPr>
              <w:t>可控</w:t>
            </w:r>
          </w:p>
        </w:tc>
        <w:tc>
          <w:tcPr>
            <w:tcW w:w="3471" w:type="dxa"/>
            <w:tcBorders>
              <w:top w:val="nil"/>
              <w:left w:val="nil"/>
              <w:bottom w:val="nil"/>
              <w:right w:val="nil"/>
            </w:tcBorders>
          </w:tcPr>
          <w:p w14:paraId="79DCEFE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设备可靠性、N-1准则、电压合格率</w:t>
            </w:r>
          </w:p>
        </w:tc>
        <w:tc>
          <w:tcPr>
            <w:tcW w:w="2347" w:type="dxa"/>
            <w:tcBorders>
              <w:top w:val="nil"/>
              <w:left w:val="nil"/>
              <w:bottom w:val="nil"/>
              <w:right w:val="nil"/>
            </w:tcBorders>
          </w:tcPr>
          <w:p w14:paraId="0A4F376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系统工程理论</w:t>
            </w:r>
          </w:p>
        </w:tc>
        <w:tc>
          <w:tcPr>
            <w:tcW w:w="1601" w:type="dxa"/>
            <w:tcBorders>
              <w:top w:val="nil"/>
              <w:left w:val="nil"/>
              <w:bottom w:val="nil"/>
              <w:right w:val="nil"/>
            </w:tcBorders>
          </w:tcPr>
          <w:p w14:paraId="2512C65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安全可控</w:t>
            </w:r>
          </w:p>
        </w:tc>
      </w:tr>
      <w:tr w14:paraId="1BE4F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Borders>
              <w:top w:val="nil"/>
              <w:left w:val="nil"/>
              <w:bottom w:val="nil"/>
              <w:right w:val="nil"/>
            </w:tcBorders>
            <w:vAlign w:val="top"/>
          </w:tcPr>
          <w:p w14:paraId="1CF4AB47">
            <w:pPr>
              <w:spacing w:line="400" w:lineRule="exact"/>
              <w:jc w:val="center"/>
              <w:rPr>
                <w:rFonts w:hint="eastAsia" w:ascii="宋体" w:hAnsi="宋体" w:eastAsia="宋体" w:cs="宋体"/>
                <w:color w:val="auto"/>
                <w:kern w:val="0"/>
                <w:sz w:val="21"/>
                <w:szCs w:val="21"/>
                <w:vertAlign w:val="baseline"/>
                <w:lang w:val="en-US" w:eastAsia="zh-CN" w:bidi="ar"/>
              </w:rPr>
            </w:pPr>
            <w:r>
              <w:rPr>
                <w:color w:val="auto"/>
                <w:sz w:val="21"/>
                <w:szCs w:val="21"/>
              </w:rPr>
              <w:t>经济高效</w:t>
            </w:r>
          </w:p>
        </w:tc>
        <w:tc>
          <w:tcPr>
            <w:tcW w:w="3471" w:type="dxa"/>
            <w:tcBorders>
              <w:top w:val="nil"/>
              <w:left w:val="nil"/>
              <w:bottom w:val="nil"/>
              <w:right w:val="nil"/>
            </w:tcBorders>
          </w:tcPr>
          <w:p w14:paraId="3C39FF5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内部收益率、动态回收期、度电成本</w:t>
            </w:r>
          </w:p>
        </w:tc>
        <w:tc>
          <w:tcPr>
            <w:tcW w:w="2347" w:type="dxa"/>
            <w:tcBorders>
              <w:top w:val="nil"/>
              <w:left w:val="nil"/>
              <w:bottom w:val="nil"/>
              <w:right w:val="nil"/>
            </w:tcBorders>
          </w:tcPr>
          <w:p w14:paraId="407B4C1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全生命周期成本理论</w:t>
            </w:r>
          </w:p>
        </w:tc>
        <w:tc>
          <w:tcPr>
            <w:tcW w:w="1601" w:type="dxa"/>
            <w:tcBorders>
              <w:top w:val="nil"/>
              <w:left w:val="nil"/>
              <w:bottom w:val="nil"/>
              <w:right w:val="nil"/>
            </w:tcBorders>
          </w:tcPr>
          <w:p w14:paraId="03D3424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经济高效</w:t>
            </w:r>
          </w:p>
        </w:tc>
      </w:tr>
      <w:tr w14:paraId="67BF0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Borders>
              <w:top w:val="nil"/>
              <w:left w:val="nil"/>
              <w:bottom w:val="nil"/>
              <w:right w:val="nil"/>
            </w:tcBorders>
            <w:vAlign w:val="top"/>
          </w:tcPr>
          <w:p w14:paraId="06A2EB28">
            <w:pPr>
              <w:spacing w:line="400" w:lineRule="exact"/>
              <w:jc w:val="center"/>
              <w:rPr>
                <w:rFonts w:hint="eastAsia" w:ascii="宋体" w:hAnsi="宋体" w:eastAsia="宋体" w:cs="宋体"/>
                <w:color w:val="auto"/>
                <w:kern w:val="0"/>
                <w:sz w:val="21"/>
                <w:szCs w:val="21"/>
                <w:vertAlign w:val="baseline"/>
                <w:lang w:val="en-US" w:eastAsia="zh-CN" w:bidi="ar"/>
              </w:rPr>
            </w:pPr>
            <w:r>
              <w:rPr>
                <w:color w:val="auto"/>
                <w:sz w:val="21"/>
                <w:szCs w:val="21"/>
              </w:rPr>
              <w:t>智能友好</w:t>
            </w:r>
          </w:p>
        </w:tc>
        <w:tc>
          <w:tcPr>
            <w:tcW w:w="3471" w:type="dxa"/>
            <w:tcBorders>
              <w:top w:val="nil"/>
              <w:left w:val="nil"/>
              <w:bottom w:val="nil"/>
              <w:right w:val="nil"/>
            </w:tcBorders>
          </w:tcPr>
          <w:p w14:paraId="707CA20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数字孪生、边缘计算、数据完整性</w:t>
            </w:r>
          </w:p>
        </w:tc>
        <w:tc>
          <w:tcPr>
            <w:tcW w:w="2347" w:type="dxa"/>
            <w:tcBorders>
              <w:top w:val="nil"/>
              <w:left w:val="nil"/>
              <w:bottom w:val="nil"/>
              <w:right w:val="nil"/>
            </w:tcBorders>
          </w:tcPr>
          <w:p w14:paraId="4B737F9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智能电网理论</w:t>
            </w:r>
          </w:p>
        </w:tc>
        <w:tc>
          <w:tcPr>
            <w:tcW w:w="1601" w:type="dxa"/>
            <w:tcBorders>
              <w:top w:val="nil"/>
              <w:left w:val="nil"/>
              <w:bottom w:val="nil"/>
              <w:right w:val="nil"/>
            </w:tcBorders>
          </w:tcPr>
          <w:p w14:paraId="3DACF92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智能友好</w:t>
            </w:r>
          </w:p>
        </w:tc>
      </w:tr>
      <w:tr w14:paraId="45E3D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Borders>
              <w:top w:val="nil"/>
              <w:left w:val="nil"/>
              <w:bottom w:val="single" w:color="auto" w:sz="18" w:space="0"/>
              <w:right w:val="nil"/>
            </w:tcBorders>
            <w:vAlign w:val="top"/>
          </w:tcPr>
          <w:p w14:paraId="6FDA8D69">
            <w:pPr>
              <w:spacing w:line="400" w:lineRule="exact"/>
              <w:jc w:val="both"/>
              <w:rPr>
                <w:rFonts w:hint="eastAsia" w:ascii="宋体" w:hAnsi="宋体" w:eastAsia="宋体" w:cs="宋体"/>
                <w:color w:val="auto"/>
                <w:kern w:val="0"/>
                <w:sz w:val="21"/>
                <w:szCs w:val="21"/>
                <w:vertAlign w:val="baseline"/>
                <w:lang w:val="en-US" w:eastAsia="zh-CN" w:bidi="ar"/>
              </w:rPr>
            </w:pPr>
            <w:r>
              <w:rPr>
                <w:color w:val="auto"/>
                <w:sz w:val="21"/>
                <w:szCs w:val="21"/>
              </w:rPr>
              <w:t>开放互动</w:t>
            </w:r>
          </w:p>
        </w:tc>
        <w:tc>
          <w:tcPr>
            <w:tcW w:w="3471" w:type="dxa"/>
            <w:tcBorders>
              <w:top w:val="nil"/>
              <w:left w:val="nil"/>
              <w:bottom w:val="single" w:color="auto" w:sz="18" w:space="0"/>
              <w:right w:val="nil"/>
            </w:tcBorders>
          </w:tcPr>
          <w:p w14:paraId="1E40005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多能互补、V2G交互、需求响应</w:t>
            </w:r>
          </w:p>
        </w:tc>
        <w:tc>
          <w:tcPr>
            <w:tcW w:w="2347" w:type="dxa"/>
            <w:tcBorders>
              <w:top w:val="nil"/>
              <w:left w:val="nil"/>
              <w:bottom w:val="single" w:color="auto" w:sz="18" w:space="0"/>
              <w:right w:val="nil"/>
            </w:tcBorders>
          </w:tcPr>
          <w:p w14:paraId="173111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复杂适应系统理论</w:t>
            </w:r>
          </w:p>
        </w:tc>
        <w:tc>
          <w:tcPr>
            <w:tcW w:w="1601" w:type="dxa"/>
            <w:tcBorders>
              <w:top w:val="nil"/>
              <w:left w:val="nil"/>
              <w:bottom w:val="single" w:color="auto" w:sz="18" w:space="0"/>
              <w:right w:val="nil"/>
            </w:tcBorders>
          </w:tcPr>
          <w:p w14:paraId="788397C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vertAlign w:val="baseline"/>
                <w:lang w:val="en-US" w:eastAsia="zh-CN" w:bidi="ar"/>
              </w:rPr>
            </w:pPr>
            <w:r>
              <w:rPr>
                <w:rFonts w:hint="eastAsia" w:ascii="宋体" w:hAnsi="宋体" w:eastAsia="宋体" w:cs="宋体"/>
                <w:color w:val="auto"/>
                <w:sz w:val="21"/>
                <w:szCs w:val="21"/>
              </w:rPr>
              <w:t>开放互动</w:t>
            </w:r>
          </w:p>
        </w:tc>
      </w:tr>
    </w:tbl>
    <w:p w14:paraId="7B53925E">
      <w:pPr>
        <w:spacing w:before="156" w:beforeLines="50" w:after="156" w:afterLines="50" w:line="400" w:lineRule="exact"/>
        <w:outlineLvl w:val="2"/>
        <w:rPr>
          <w:rFonts w:hint="eastAsia" w:eastAsia="黑体"/>
          <w:color w:val="auto"/>
          <w:sz w:val="28"/>
          <w:szCs w:val="28"/>
        </w:rPr>
      </w:pPr>
    </w:p>
    <w:p w14:paraId="63AA40D4">
      <w:pPr>
        <w:spacing w:before="156" w:beforeLines="50" w:after="156" w:afterLines="50" w:line="400" w:lineRule="exact"/>
        <w:outlineLvl w:val="2"/>
        <w:rPr>
          <w:rFonts w:hint="eastAsia" w:eastAsia="黑体"/>
          <w:color w:val="auto"/>
          <w:sz w:val="28"/>
          <w:szCs w:val="28"/>
        </w:rPr>
      </w:pPr>
      <w:r>
        <w:rPr>
          <w:rFonts w:hint="eastAsia" w:eastAsia="黑体"/>
          <w:color w:val="auto"/>
          <w:sz w:val="28"/>
          <w:szCs w:val="28"/>
        </w:rPr>
        <w:t>3.3.1 评估指标选取原则</w:t>
      </w:r>
    </w:p>
    <w:p w14:paraId="42581CE4">
      <w:pPr>
        <w:spacing w:line="400" w:lineRule="exact"/>
        <w:ind w:firstLine="480" w:firstLineChars="200"/>
        <w:rPr>
          <w:rFonts w:hint="eastAsia"/>
          <w:color w:val="auto"/>
        </w:rPr>
      </w:pPr>
      <w:r>
        <w:rPr>
          <w:rFonts w:hint="eastAsia"/>
          <w:color w:val="auto"/>
        </w:rPr>
        <w:t>基于新型电力系统“高渗透性、强互动性、多时间尺度”特征，结合IEEE 1547-2018标准与《新型电力系统发展蓝皮书》要求，确立以下指标筛选原则：</w:t>
      </w:r>
    </w:p>
    <w:p w14:paraId="3AA0FF16">
      <w:pPr>
        <w:spacing w:line="400" w:lineRule="exact"/>
        <w:ind w:firstLine="480" w:firstLineChars="200"/>
        <w:rPr>
          <w:color w:val="auto"/>
        </w:rPr>
      </w:pPr>
      <w:r>
        <w:rPr>
          <w:color w:val="auto"/>
        </w:rPr>
        <w:t>（1）</w:t>
      </w:r>
      <w:r>
        <w:rPr>
          <w:rFonts w:hint="eastAsia"/>
          <w:color w:val="auto"/>
        </w:rPr>
        <w:t>科学性原则</w:t>
      </w:r>
    </w:p>
    <w:p w14:paraId="221B7EE4">
      <w:pPr>
        <w:spacing w:line="400" w:lineRule="exact"/>
        <w:ind w:firstLine="480" w:firstLineChars="200"/>
        <w:rPr>
          <w:color w:val="auto"/>
        </w:rPr>
      </w:pPr>
      <w:r>
        <w:rPr>
          <w:rFonts w:hint="eastAsia"/>
          <w:color w:val="auto"/>
        </w:rPr>
        <w:t>电网项目技术经济评估</w:t>
      </w:r>
      <w:r>
        <w:rPr>
          <w:color w:val="auto"/>
        </w:rPr>
        <w:t>指标的选取应基于扎实的理论基础和实践经验，保证能够准确反映电网项目的技术经济特性。</w:t>
      </w:r>
      <w:r>
        <w:rPr>
          <w:rFonts w:hint="eastAsia"/>
          <w:color w:val="auto"/>
        </w:rPr>
        <w:t>同时，要确保</w:t>
      </w:r>
      <w:r>
        <w:rPr>
          <w:color w:val="auto"/>
        </w:rPr>
        <w:t>所选指标应</w:t>
      </w:r>
      <w:r>
        <w:rPr>
          <w:rFonts w:hint="eastAsia"/>
          <w:color w:val="auto"/>
        </w:rPr>
        <w:t>尽量</w:t>
      </w:r>
      <w:r>
        <w:rPr>
          <w:color w:val="auto"/>
        </w:rPr>
        <w:t>具有明确的定义和计算方法，</w:t>
      </w:r>
      <w:r>
        <w:rPr>
          <w:rFonts w:hint="eastAsia"/>
          <w:color w:val="auto"/>
        </w:rPr>
        <w:t>减少</w:t>
      </w:r>
      <w:r>
        <w:rPr>
          <w:color w:val="auto"/>
        </w:rPr>
        <w:t>模糊性和主观性，</w:t>
      </w:r>
      <w:r>
        <w:rPr>
          <w:rFonts w:hint="eastAsia"/>
          <w:color w:val="auto"/>
        </w:rPr>
        <w:t>从而能够</w:t>
      </w:r>
      <w:r>
        <w:rPr>
          <w:color w:val="auto"/>
        </w:rPr>
        <w:t>保证评估结果的科学性和可靠性。</w:t>
      </w:r>
    </w:p>
    <w:p w14:paraId="76DD507D">
      <w:pPr>
        <w:spacing w:line="400" w:lineRule="exact"/>
        <w:ind w:firstLine="480" w:firstLineChars="200"/>
        <w:rPr>
          <w:color w:val="auto"/>
        </w:rPr>
      </w:pPr>
      <w:r>
        <w:rPr>
          <w:color w:val="auto"/>
        </w:rPr>
        <w:t>（2）</w:t>
      </w:r>
      <w:r>
        <w:rPr>
          <w:rFonts w:hint="eastAsia"/>
          <w:color w:val="auto"/>
        </w:rPr>
        <w:t>系统性原则</w:t>
      </w:r>
    </w:p>
    <w:p w14:paraId="1ABFD811">
      <w:pPr>
        <w:spacing w:line="400" w:lineRule="exact"/>
        <w:ind w:firstLine="480" w:firstLineChars="200"/>
        <w:rPr>
          <w:color w:val="auto"/>
        </w:rPr>
      </w:pPr>
      <w:r>
        <w:rPr>
          <w:color w:val="auto"/>
        </w:rPr>
        <w:t>电网项目技术经济评估</w:t>
      </w:r>
      <w:r>
        <w:rPr>
          <w:rFonts w:hint="eastAsia"/>
          <w:color w:val="auto"/>
        </w:rPr>
        <w:t>工作要</w:t>
      </w:r>
      <w:r>
        <w:rPr>
          <w:color w:val="auto"/>
        </w:rPr>
        <w:t>从</w:t>
      </w:r>
      <w:r>
        <w:rPr>
          <w:rFonts w:hint="eastAsia"/>
          <w:color w:val="auto"/>
        </w:rPr>
        <w:t>整个电力</w:t>
      </w:r>
      <w:r>
        <w:rPr>
          <w:color w:val="auto"/>
        </w:rPr>
        <w:t>系统的角度出发，应</w:t>
      </w:r>
      <w:r>
        <w:rPr>
          <w:rFonts w:hint="eastAsia"/>
          <w:color w:val="auto"/>
        </w:rPr>
        <w:t>充分</w:t>
      </w:r>
      <w:r>
        <w:rPr>
          <w:color w:val="auto"/>
        </w:rPr>
        <w:t>考虑</w:t>
      </w:r>
      <w:r>
        <w:rPr>
          <w:rFonts w:hint="eastAsia"/>
          <w:color w:val="auto"/>
        </w:rPr>
        <w:t>电网</w:t>
      </w:r>
      <w:r>
        <w:rPr>
          <w:color w:val="auto"/>
        </w:rPr>
        <w:t>项目</w:t>
      </w:r>
      <w:r>
        <w:rPr>
          <w:rFonts w:hint="eastAsia"/>
          <w:color w:val="auto"/>
        </w:rPr>
        <w:t>投资建设</w:t>
      </w:r>
      <w:r>
        <w:rPr>
          <w:color w:val="auto"/>
        </w:rPr>
        <w:t>的各个环节和方面。</w:t>
      </w:r>
      <w:r>
        <w:rPr>
          <w:rFonts w:hint="eastAsia"/>
          <w:color w:val="auto"/>
        </w:rPr>
        <w:t>因此，所选</w:t>
      </w:r>
      <w:r>
        <w:rPr>
          <w:color w:val="auto"/>
        </w:rPr>
        <w:t>指标应涵盖技术性能、经济效益、环境影响、政策因素等维度，确保对</w:t>
      </w:r>
      <w:r>
        <w:rPr>
          <w:rFonts w:hint="eastAsia"/>
          <w:color w:val="auto"/>
        </w:rPr>
        <w:t>电网</w:t>
      </w:r>
      <w:r>
        <w:rPr>
          <w:color w:val="auto"/>
        </w:rPr>
        <w:t>项目</w:t>
      </w:r>
      <w:r>
        <w:rPr>
          <w:rFonts w:hint="eastAsia"/>
          <w:color w:val="auto"/>
        </w:rPr>
        <w:t>进行</w:t>
      </w:r>
      <w:r>
        <w:rPr>
          <w:color w:val="auto"/>
        </w:rPr>
        <w:t>全面评估。</w:t>
      </w:r>
    </w:p>
    <w:p w14:paraId="540448E0">
      <w:pPr>
        <w:spacing w:line="400" w:lineRule="exact"/>
        <w:ind w:firstLine="480" w:firstLineChars="200"/>
        <w:rPr>
          <w:color w:val="auto"/>
        </w:rPr>
      </w:pPr>
      <w:r>
        <w:rPr>
          <w:color w:val="auto"/>
        </w:rPr>
        <w:t>（3）</w:t>
      </w:r>
      <w:r>
        <w:rPr>
          <w:rFonts w:hint="eastAsia"/>
          <w:color w:val="auto"/>
        </w:rPr>
        <w:t>适用性原则</w:t>
      </w:r>
    </w:p>
    <w:p w14:paraId="4EFF5419">
      <w:pPr>
        <w:spacing w:line="400" w:lineRule="exact"/>
        <w:ind w:firstLine="480" w:firstLineChars="200"/>
        <w:rPr>
          <w:color w:val="auto"/>
        </w:rPr>
      </w:pPr>
      <w:r>
        <w:rPr>
          <w:rFonts w:hint="eastAsia"/>
          <w:color w:val="auto"/>
        </w:rPr>
        <w:t>电网项目技术经济评估</w:t>
      </w:r>
      <w:r>
        <w:rPr>
          <w:color w:val="auto"/>
        </w:rPr>
        <w:t>指标的选取应考虑数据的可获得性和易处理性</w:t>
      </w:r>
      <w:r>
        <w:rPr>
          <w:rFonts w:hint="eastAsia"/>
          <w:color w:val="auto"/>
        </w:rPr>
        <w:t>，并且</w:t>
      </w:r>
      <w:r>
        <w:rPr>
          <w:color w:val="auto"/>
        </w:rPr>
        <w:t>指标的计算方法应简便易行，便于实际操作和应用。所选指标的数据易于收集、整理和分析，</w:t>
      </w:r>
      <w:r>
        <w:rPr>
          <w:rFonts w:hint="eastAsia"/>
          <w:color w:val="auto"/>
        </w:rPr>
        <w:t>能够</w:t>
      </w:r>
      <w:r>
        <w:rPr>
          <w:color w:val="auto"/>
        </w:rPr>
        <w:t>避免因数据难以获取或处理复杂而影响</w:t>
      </w:r>
      <w:r>
        <w:rPr>
          <w:rFonts w:hint="eastAsia"/>
          <w:color w:val="auto"/>
        </w:rPr>
        <w:t>电网项目</w:t>
      </w:r>
      <w:r>
        <w:rPr>
          <w:color w:val="auto"/>
        </w:rPr>
        <w:t>评估工作的顺利进行。</w:t>
      </w:r>
    </w:p>
    <w:p w14:paraId="60CEDF4E">
      <w:pPr>
        <w:spacing w:line="400" w:lineRule="exact"/>
        <w:ind w:firstLine="480" w:firstLineChars="200"/>
        <w:rPr>
          <w:color w:val="auto"/>
        </w:rPr>
      </w:pPr>
      <w:r>
        <w:rPr>
          <w:color w:val="auto"/>
        </w:rPr>
        <w:t>（4）</w:t>
      </w:r>
      <w:r>
        <w:rPr>
          <w:rFonts w:hint="eastAsia"/>
          <w:color w:val="auto"/>
        </w:rPr>
        <w:t>全面性原则</w:t>
      </w:r>
    </w:p>
    <w:p w14:paraId="7CAB3E92">
      <w:pPr>
        <w:spacing w:line="400" w:lineRule="exact"/>
        <w:ind w:firstLine="480" w:firstLineChars="200"/>
        <w:rPr>
          <w:color w:val="auto"/>
        </w:rPr>
      </w:pPr>
      <w:r>
        <w:rPr>
          <w:rFonts w:hint="eastAsia"/>
          <w:color w:val="auto"/>
        </w:rPr>
        <w:t>电网项目技术经济评估指标的选取要能</w:t>
      </w:r>
      <w:r>
        <w:rPr>
          <w:color w:val="auto"/>
        </w:rPr>
        <w:t>全面反映电网项目的技术经济特性，</w:t>
      </w:r>
      <w:r>
        <w:rPr>
          <w:rFonts w:hint="eastAsia"/>
          <w:color w:val="auto"/>
        </w:rPr>
        <w:t>应</w:t>
      </w:r>
      <w:r>
        <w:rPr>
          <w:color w:val="auto"/>
        </w:rPr>
        <w:t>既包括传统的经济指标，如投资成本、运营成本、收益等，也</w:t>
      </w:r>
      <w:r>
        <w:rPr>
          <w:rFonts w:hint="eastAsia"/>
          <w:color w:val="auto"/>
        </w:rPr>
        <w:t>要</w:t>
      </w:r>
      <w:r>
        <w:rPr>
          <w:color w:val="auto"/>
        </w:rPr>
        <w:t>包括新型电力系统</w:t>
      </w:r>
      <w:r>
        <w:rPr>
          <w:rFonts w:hint="eastAsia"/>
          <w:color w:val="auto"/>
        </w:rPr>
        <w:t>背景下</w:t>
      </w:r>
      <w:r>
        <w:rPr>
          <w:color w:val="auto"/>
        </w:rPr>
        <w:t>特有的指标，如新能源接入比例、</w:t>
      </w:r>
      <w:r>
        <w:rPr>
          <w:rFonts w:hint="eastAsia"/>
          <w:color w:val="auto"/>
        </w:rPr>
        <w:t>电力</w:t>
      </w:r>
      <w:r>
        <w:rPr>
          <w:color w:val="auto"/>
        </w:rPr>
        <w:t>系统灵活性</w:t>
      </w:r>
      <w:r>
        <w:rPr>
          <w:rFonts w:hint="eastAsia"/>
          <w:color w:val="auto"/>
        </w:rPr>
        <w:t>水平</w:t>
      </w:r>
      <w:r>
        <w:rPr>
          <w:color w:val="auto"/>
        </w:rPr>
        <w:t>等</w:t>
      </w:r>
      <w:r>
        <w:rPr>
          <w:rFonts w:hint="eastAsia"/>
          <w:color w:val="auto"/>
        </w:rPr>
        <w:t>新指标</w:t>
      </w:r>
      <w:r>
        <w:rPr>
          <w:color w:val="auto"/>
        </w:rPr>
        <w:t>。</w:t>
      </w:r>
    </w:p>
    <w:p w14:paraId="377D83C9">
      <w:pPr>
        <w:spacing w:line="400" w:lineRule="exact"/>
        <w:ind w:firstLine="480" w:firstLineChars="200"/>
        <w:rPr>
          <w:color w:val="auto"/>
        </w:rPr>
      </w:pPr>
      <w:r>
        <w:rPr>
          <w:color w:val="auto"/>
        </w:rPr>
        <w:t>（5）</w:t>
      </w:r>
      <w:r>
        <w:rPr>
          <w:rFonts w:hint="eastAsia"/>
          <w:color w:val="auto"/>
        </w:rPr>
        <w:t>可比性原则</w:t>
      </w:r>
    </w:p>
    <w:p w14:paraId="00571756">
      <w:pPr>
        <w:spacing w:line="400" w:lineRule="exact"/>
        <w:ind w:firstLine="480" w:firstLineChars="200"/>
        <w:rPr>
          <w:color w:val="auto"/>
        </w:rPr>
      </w:pPr>
      <w:r>
        <w:rPr>
          <w:rFonts w:hint="eastAsia"/>
          <w:color w:val="auto"/>
        </w:rPr>
        <w:t>电网项目技术经济评估</w:t>
      </w:r>
      <w:r>
        <w:rPr>
          <w:color w:val="auto"/>
        </w:rPr>
        <w:t>指标</w:t>
      </w:r>
      <w:r>
        <w:rPr>
          <w:rFonts w:hint="eastAsia"/>
          <w:color w:val="auto"/>
        </w:rPr>
        <w:t>的选取</w:t>
      </w:r>
      <w:r>
        <w:rPr>
          <w:color w:val="auto"/>
        </w:rPr>
        <w:t>应具有可比性。</w:t>
      </w:r>
      <w:r>
        <w:rPr>
          <w:rFonts w:hint="eastAsia"/>
          <w:color w:val="auto"/>
        </w:rPr>
        <w:t>即评估</w:t>
      </w:r>
      <w:r>
        <w:rPr>
          <w:color w:val="auto"/>
        </w:rPr>
        <w:t>指标的定义、计算方法和数据来源应保持一致，以便在不同项目之间进行公平、合理的比较</w:t>
      </w:r>
      <w:r>
        <w:rPr>
          <w:rFonts w:hint="eastAsia"/>
          <w:color w:val="auto"/>
        </w:rPr>
        <w:t>，从而具有实际应用价值</w:t>
      </w:r>
      <w:r>
        <w:rPr>
          <w:color w:val="auto"/>
        </w:rPr>
        <w:t>。</w:t>
      </w:r>
    </w:p>
    <w:p w14:paraId="7D6A8BF4">
      <w:pPr>
        <w:spacing w:line="400" w:lineRule="exact"/>
        <w:ind w:firstLine="480" w:firstLineChars="200"/>
        <w:rPr>
          <w:color w:val="auto"/>
        </w:rPr>
      </w:pPr>
      <w:r>
        <w:rPr>
          <w:color w:val="auto"/>
        </w:rPr>
        <w:t>（6）</w:t>
      </w:r>
      <w:r>
        <w:rPr>
          <w:rFonts w:hint="eastAsia"/>
          <w:color w:val="auto"/>
        </w:rPr>
        <w:t>动态性原则</w:t>
      </w:r>
    </w:p>
    <w:p w14:paraId="084066A1">
      <w:pPr>
        <w:spacing w:line="400" w:lineRule="exact"/>
        <w:ind w:firstLine="480" w:firstLineChars="200"/>
        <w:rPr>
          <w:color w:val="auto"/>
        </w:rPr>
      </w:pPr>
      <w:r>
        <w:rPr>
          <w:color w:val="auto"/>
        </w:rPr>
        <w:t>新型电力系统的发展是一个动态过程，电网项目的技术经济特性也会随着时间的推移而发生变化。因此，</w:t>
      </w:r>
      <w:r>
        <w:rPr>
          <w:rFonts w:hint="eastAsia"/>
          <w:color w:val="auto"/>
        </w:rPr>
        <w:t>电网项目技术经济</w:t>
      </w:r>
      <w:r>
        <w:rPr>
          <w:color w:val="auto"/>
        </w:rPr>
        <w:t>评估指标</w:t>
      </w:r>
      <w:r>
        <w:rPr>
          <w:rFonts w:hint="eastAsia"/>
          <w:color w:val="auto"/>
        </w:rPr>
        <w:t>的选取</w:t>
      </w:r>
      <w:r>
        <w:rPr>
          <w:color w:val="auto"/>
        </w:rPr>
        <w:t>应具有动态性，</w:t>
      </w:r>
      <w:r>
        <w:rPr>
          <w:rFonts w:hint="eastAsia"/>
          <w:color w:val="auto"/>
        </w:rPr>
        <w:t>确保</w:t>
      </w:r>
      <w:r>
        <w:rPr>
          <w:color w:val="auto"/>
        </w:rPr>
        <w:t>能够反映</w:t>
      </w:r>
      <w:r>
        <w:rPr>
          <w:rFonts w:hint="eastAsia"/>
          <w:color w:val="auto"/>
        </w:rPr>
        <w:t>电网</w:t>
      </w:r>
      <w:r>
        <w:rPr>
          <w:color w:val="auto"/>
        </w:rPr>
        <w:t>项目在</w:t>
      </w:r>
      <w:r>
        <w:rPr>
          <w:rFonts w:hint="eastAsia"/>
          <w:color w:val="auto"/>
        </w:rPr>
        <w:t>不同地区</w:t>
      </w:r>
      <w:r>
        <w:rPr>
          <w:color w:val="auto"/>
        </w:rPr>
        <w:t>不同阶段的技术经济表现。</w:t>
      </w:r>
    </w:p>
    <w:p w14:paraId="7198DB41">
      <w:pPr>
        <w:spacing w:before="156" w:beforeLines="50" w:after="156" w:afterLines="50" w:line="400" w:lineRule="exact"/>
        <w:outlineLvl w:val="2"/>
        <w:rPr>
          <w:color w:val="auto"/>
          <w:sz w:val="21"/>
          <w:szCs w:val="18"/>
        </w:rPr>
      </w:pPr>
      <w:r>
        <w:rPr>
          <w:rFonts w:eastAsia="黑体"/>
          <w:color w:val="auto"/>
          <w:sz w:val="28"/>
          <w:szCs w:val="28"/>
        </w:rPr>
        <w:t>3.</w:t>
      </w:r>
      <w:r>
        <w:rPr>
          <w:rFonts w:hint="eastAsia" w:eastAsia="黑体"/>
          <w:color w:val="auto"/>
          <w:sz w:val="28"/>
          <w:szCs w:val="28"/>
        </w:rPr>
        <w:t>3</w:t>
      </w:r>
      <w:r>
        <w:rPr>
          <w:rFonts w:eastAsia="黑体"/>
          <w:color w:val="auto"/>
          <w:sz w:val="28"/>
          <w:szCs w:val="28"/>
        </w:rPr>
        <w:t>.2 评估指标体系框架</w:t>
      </w:r>
    </w:p>
    <w:p w14:paraId="1B5B48CD">
      <w:pPr>
        <w:tabs>
          <w:tab w:val="left" w:pos="2795"/>
        </w:tabs>
        <w:spacing w:line="400" w:lineRule="exact"/>
        <w:ind w:firstLine="480" w:firstLineChars="200"/>
        <w:jc w:val="both"/>
        <w:rPr>
          <w:rFonts w:hint="eastAsia"/>
          <w:color w:val="auto"/>
          <w:sz w:val="24"/>
          <w:szCs w:val="24"/>
          <w:lang w:val="en-US" w:eastAsia="zh-CN"/>
        </w:rPr>
      </w:pPr>
      <w:r>
        <w:rPr>
          <w:rFonts w:hint="eastAsia"/>
          <w:color w:val="auto"/>
          <w:sz w:val="24"/>
          <w:szCs w:val="24"/>
          <w:lang w:val="en-US" w:eastAsia="zh-CN"/>
        </w:rPr>
        <w:t>基于新型电力系统的动态特征与多源数据分析结果，本文融合LDA主题识别的五维评估框架（清洁低碳、安全可控、经济高效、智能友好、开放互动）及六项指标选取原则，构建分层次、可量化的技术经济评估体系。通过词频统计与主题聚类发现，传统经济指标需与新型电力系统特有的技术参数（如新能源接入效率、数据驱动能力）深度耦合，以反映“双碳”目标下的多维价值。指标体系采用三级递阶结构：一级指标锚定核心维度，二级指标细化功能模块，三级指标聚焦可操作变量（如容量利用率、数据标准化程度），形成“战略-战术-执行”的全链条映射。框架兼具动态适应性与空间可比性，既继承全生命周期成本理论内核，又纳入智能算法优化、多主体协同等新兴要素，为电网项目投资决策提供结构化分析工具。评估体系具体架构如表3-5所示。</w:t>
      </w:r>
    </w:p>
    <w:p w14:paraId="613F8089">
      <w:pPr>
        <w:tabs>
          <w:tab w:val="left" w:pos="2795"/>
        </w:tabs>
        <w:spacing w:line="400" w:lineRule="exact"/>
        <w:jc w:val="center"/>
        <w:rPr>
          <w:color w:val="auto"/>
          <w:sz w:val="21"/>
          <w:szCs w:val="18"/>
        </w:rPr>
      </w:pPr>
      <w:r>
        <w:rPr>
          <w:color w:val="auto"/>
          <w:sz w:val="21"/>
          <w:szCs w:val="18"/>
        </w:rPr>
        <w:t>表3</w:t>
      </w:r>
      <w:r>
        <w:rPr>
          <w:rFonts w:hint="eastAsia"/>
          <w:color w:val="auto"/>
          <w:sz w:val="21"/>
          <w:szCs w:val="18"/>
          <w:lang w:val="en-US" w:eastAsia="zh-CN"/>
        </w:rPr>
        <w:t>-5</w:t>
      </w:r>
      <w:r>
        <w:rPr>
          <w:color w:val="auto"/>
          <w:sz w:val="21"/>
          <w:szCs w:val="18"/>
        </w:rPr>
        <w:t>新型电力系统背景下电网项目技术经济评估体系框架</w:t>
      </w:r>
    </w:p>
    <w:tbl>
      <w:tblPr>
        <w:tblStyle w:val="18"/>
        <w:tblW w:w="8150"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5"/>
        <w:gridCol w:w="2163"/>
        <w:gridCol w:w="2650"/>
        <w:gridCol w:w="2162"/>
      </w:tblGrid>
      <w:tr w14:paraId="2163D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175" w:type="dxa"/>
            <w:tcBorders>
              <w:top w:val="single" w:color="auto" w:sz="12" w:space="0"/>
              <w:left w:val="nil"/>
              <w:bottom w:val="single" w:color="auto" w:sz="4" w:space="0"/>
              <w:right w:val="nil"/>
            </w:tcBorders>
          </w:tcPr>
          <w:p w14:paraId="79A1710D">
            <w:pPr>
              <w:spacing w:line="400" w:lineRule="exact"/>
              <w:jc w:val="center"/>
              <w:rPr>
                <w:color w:val="auto"/>
                <w:sz w:val="21"/>
                <w:szCs w:val="21"/>
              </w:rPr>
            </w:pPr>
            <w:r>
              <w:rPr>
                <w:color w:val="auto"/>
                <w:sz w:val="21"/>
                <w:szCs w:val="21"/>
              </w:rPr>
              <w:t>一级指标</w:t>
            </w:r>
          </w:p>
        </w:tc>
        <w:tc>
          <w:tcPr>
            <w:tcW w:w="2163" w:type="dxa"/>
            <w:tcBorders>
              <w:top w:val="single" w:color="auto" w:sz="12" w:space="0"/>
              <w:left w:val="nil"/>
              <w:bottom w:val="single" w:color="auto" w:sz="4" w:space="0"/>
              <w:right w:val="nil"/>
            </w:tcBorders>
          </w:tcPr>
          <w:p w14:paraId="7DE9B2CA">
            <w:pPr>
              <w:spacing w:line="400" w:lineRule="exact"/>
              <w:jc w:val="center"/>
              <w:rPr>
                <w:color w:val="auto"/>
                <w:sz w:val="21"/>
                <w:szCs w:val="21"/>
              </w:rPr>
            </w:pPr>
            <w:r>
              <w:rPr>
                <w:color w:val="auto"/>
                <w:sz w:val="21"/>
                <w:szCs w:val="21"/>
              </w:rPr>
              <w:t>二级指标</w:t>
            </w:r>
          </w:p>
        </w:tc>
        <w:tc>
          <w:tcPr>
            <w:tcW w:w="2650" w:type="dxa"/>
            <w:tcBorders>
              <w:top w:val="single" w:color="auto" w:sz="12" w:space="0"/>
              <w:left w:val="nil"/>
              <w:bottom w:val="single" w:color="auto" w:sz="4" w:space="0"/>
              <w:right w:val="nil"/>
            </w:tcBorders>
          </w:tcPr>
          <w:p w14:paraId="3F01AA38">
            <w:pPr>
              <w:spacing w:line="400" w:lineRule="exact"/>
              <w:jc w:val="center"/>
              <w:rPr>
                <w:color w:val="auto"/>
                <w:sz w:val="21"/>
                <w:szCs w:val="21"/>
              </w:rPr>
            </w:pPr>
            <w:r>
              <w:rPr>
                <w:color w:val="auto"/>
                <w:sz w:val="21"/>
                <w:szCs w:val="21"/>
              </w:rPr>
              <w:t>三级指标</w:t>
            </w:r>
          </w:p>
        </w:tc>
        <w:tc>
          <w:tcPr>
            <w:tcW w:w="2162" w:type="dxa"/>
            <w:tcBorders>
              <w:top w:val="single" w:color="auto" w:sz="12" w:space="0"/>
              <w:left w:val="nil"/>
              <w:bottom w:val="single" w:color="auto" w:sz="4" w:space="0"/>
              <w:right w:val="nil"/>
            </w:tcBorders>
          </w:tcPr>
          <w:p w14:paraId="0C027B0E">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编号</w:t>
            </w:r>
          </w:p>
        </w:tc>
      </w:tr>
      <w:tr w14:paraId="1FD9C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175" w:type="dxa"/>
            <w:vMerge w:val="restart"/>
            <w:tcBorders>
              <w:top w:val="single" w:color="auto" w:sz="4" w:space="0"/>
              <w:left w:val="nil"/>
              <w:bottom w:val="nil"/>
              <w:right w:val="nil"/>
            </w:tcBorders>
          </w:tcPr>
          <w:p w14:paraId="292C63EF">
            <w:pPr>
              <w:tabs>
                <w:tab w:val="left" w:pos="600"/>
              </w:tabs>
              <w:spacing w:line="400" w:lineRule="exact"/>
              <w:jc w:val="left"/>
              <w:rPr>
                <w:rFonts w:hint="eastAsia" w:eastAsia="宋体"/>
                <w:color w:val="auto"/>
                <w:sz w:val="21"/>
                <w:szCs w:val="21"/>
                <w:lang w:eastAsia="zh-CN"/>
              </w:rPr>
            </w:pPr>
          </w:p>
          <w:p w14:paraId="41A4B873">
            <w:pPr>
              <w:spacing w:line="400" w:lineRule="exact"/>
              <w:jc w:val="center"/>
              <w:rPr>
                <w:color w:val="auto"/>
                <w:sz w:val="21"/>
                <w:szCs w:val="21"/>
              </w:rPr>
            </w:pPr>
            <w:r>
              <w:rPr>
                <w:color w:val="auto"/>
                <w:sz w:val="21"/>
                <w:szCs w:val="21"/>
              </w:rPr>
              <w:t>清洁低碳</w:t>
            </w:r>
          </w:p>
        </w:tc>
        <w:tc>
          <w:tcPr>
            <w:tcW w:w="2163" w:type="dxa"/>
            <w:vMerge w:val="restart"/>
            <w:tcBorders>
              <w:top w:val="single" w:color="auto" w:sz="4" w:space="0"/>
              <w:left w:val="nil"/>
              <w:bottom w:val="nil"/>
              <w:right w:val="nil"/>
            </w:tcBorders>
          </w:tcPr>
          <w:p w14:paraId="253F3D86">
            <w:pPr>
              <w:spacing w:line="400" w:lineRule="exact"/>
              <w:jc w:val="center"/>
              <w:rPr>
                <w:color w:val="auto"/>
                <w:sz w:val="21"/>
                <w:szCs w:val="21"/>
              </w:rPr>
            </w:pPr>
            <w:r>
              <w:rPr>
                <w:color w:val="auto"/>
                <w:sz w:val="21"/>
                <w:szCs w:val="21"/>
              </w:rPr>
              <w:t>能源结构优化</w:t>
            </w:r>
          </w:p>
        </w:tc>
        <w:tc>
          <w:tcPr>
            <w:tcW w:w="2650" w:type="dxa"/>
            <w:tcBorders>
              <w:top w:val="single" w:color="auto" w:sz="4" w:space="0"/>
              <w:left w:val="nil"/>
              <w:bottom w:val="nil"/>
              <w:right w:val="nil"/>
            </w:tcBorders>
          </w:tcPr>
          <w:p w14:paraId="3E2DD941">
            <w:pPr>
              <w:spacing w:line="400" w:lineRule="exact"/>
              <w:jc w:val="center"/>
              <w:rPr>
                <w:color w:val="auto"/>
                <w:sz w:val="21"/>
                <w:szCs w:val="21"/>
              </w:rPr>
            </w:pPr>
            <w:r>
              <w:rPr>
                <w:color w:val="auto"/>
                <w:sz w:val="21"/>
                <w:szCs w:val="21"/>
              </w:rPr>
              <w:t xml:space="preserve">容量利用率 </w:t>
            </w:r>
          </w:p>
        </w:tc>
        <w:tc>
          <w:tcPr>
            <w:tcW w:w="2162" w:type="dxa"/>
            <w:tcBorders>
              <w:top w:val="single" w:color="auto" w:sz="4" w:space="0"/>
              <w:left w:val="nil"/>
              <w:bottom w:val="nil"/>
              <w:right w:val="nil"/>
            </w:tcBorders>
          </w:tcPr>
          <w:p w14:paraId="32CA4638">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A1</w:t>
            </w:r>
          </w:p>
        </w:tc>
      </w:tr>
      <w:tr w14:paraId="1BDA6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1175" w:type="dxa"/>
            <w:vMerge w:val="continue"/>
            <w:tcBorders>
              <w:top w:val="nil"/>
              <w:left w:val="nil"/>
              <w:bottom w:val="nil"/>
              <w:right w:val="nil"/>
            </w:tcBorders>
          </w:tcPr>
          <w:p w14:paraId="31CE01EA">
            <w:pPr>
              <w:spacing w:line="400" w:lineRule="exact"/>
              <w:jc w:val="center"/>
              <w:rPr>
                <w:color w:val="auto"/>
                <w:sz w:val="21"/>
                <w:szCs w:val="21"/>
              </w:rPr>
            </w:pPr>
          </w:p>
        </w:tc>
        <w:tc>
          <w:tcPr>
            <w:tcW w:w="2163" w:type="dxa"/>
            <w:vMerge w:val="continue"/>
            <w:tcBorders>
              <w:top w:val="nil"/>
              <w:left w:val="nil"/>
              <w:bottom w:val="nil"/>
              <w:right w:val="nil"/>
            </w:tcBorders>
          </w:tcPr>
          <w:p w14:paraId="3623FCC3">
            <w:pPr>
              <w:spacing w:line="400" w:lineRule="exact"/>
              <w:jc w:val="center"/>
              <w:rPr>
                <w:color w:val="auto"/>
                <w:sz w:val="21"/>
                <w:szCs w:val="21"/>
              </w:rPr>
            </w:pPr>
          </w:p>
        </w:tc>
        <w:tc>
          <w:tcPr>
            <w:tcW w:w="2650" w:type="dxa"/>
            <w:tcBorders>
              <w:top w:val="nil"/>
              <w:left w:val="nil"/>
              <w:bottom w:val="nil"/>
              <w:right w:val="nil"/>
            </w:tcBorders>
          </w:tcPr>
          <w:p w14:paraId="47AC77A2">
            <w:pPr>
              <w:spacing w:line="400" w:lineRule="exact"/>
              <w:jc w:val="center"/>
              <w:rPr>
                <w:color w:val="auto"/>
                <w:sz w:val="21"/>
                <w:szCs w:val="21"/>
              </w:rPr>
            </w:pPr>
            <w:r>
              <w:rPr>
                <w:color w:val="auto"/>
                <w:sz w:val="21"/>
                <w:szCs w:val="21"/>
              </w:rPr>
              <w:t>单位容量投资成本</w:t>
            </w:r>
          </w:p>
        </w:tc>
        <w:tc>
          <w:tcPr>
            <w:tcW w:w="2162" w:type="dxa"/>
            <w:tcBorders>
              <w:top w:val="nil"/>
              <w:left w:val="nil"/>
              <w:bottom w:val="nil"/>
              <w:right w:val="nil"/>
            </w:tcBorders>
          </w:tcPr>
          <w:p w14:paraId="7C853578">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A2</w:t>
            </w:r>
          </w:p>
        </w:tc>
      </w:tr>
      <w:tr w14:paraId="157EF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175" w:type="dxa"/>
            <w:vMerge w:val="continue"/>
            <w:tcBorders>
              <w:top w:val="nil"/>
              <w:left w:val="nil"/>
              <w:bottom w:val="single" w:color="auto" w:sz="4" w:space="0"/>
              <w:right w:val="nil"/>
            </w:tcBorders>
          </w:tcPr>
          <w:p w14:paraId="7C205360">
            <w:pPr>
              <w:spacing w:line="400" w:lineRule="exact"/>
              <w:jc w:val="center"/>
              <w:rPr>
                <w:color w:val="auto"/>
                <w:sz w:val="21"/>
                <w:szCs w:val="21"/>
              </w:rPr>
            </w:pPr>
          </w:p>
        </w:tc>
        <w:tc>
          <w:tcPr>
            <w:tcW w:w="2163" w:type="dxa"/>
            <w:tcBorders>
              <w:top w:val="nil"/>
              <w:left w:val="nil"/>
              <w:bottom w:val="single" w:color="auto" w:sz="4" w:space="0"/>
              <w:right w:val="nil"/>
            </w:tcBorders>
          </w:tcPr>
          <w:p w14:paraId="6A06C947">
            <w:pPr>
              <w:spacing w:line="400" w:lineRule="exact"/>
              <w:jc w:val="center"/>
              <w:rPr>
                <w:color w:val="auto"/>
                <w:sz w:val="21"/>
                <w:szCs w:val="21"/>
              </w:rPr>
            </w:pPr>
            <w:r>
              <w:rPr>
                <w:color w:val="auto"/>
                <w:sz w:val="21"/>
                <w:szCs w:val="21"/>
              </w:rPr>
              <w:t>节能减排效果</w:t>
            </w:r>
          </w:p>
        </w:tc>
        <w:tc>
          <w:tcPr>
            <w:tcW w:w="2650" w:type="dxa"/>
            <w:tcBorders>
              <w:top w:val="nil"/>
              <w:left w:val="nil"/>
              <w:bottom w:val="single" w:color="auto" w:sz="4" w:space="0"/>
              <w:right w:val="nil"/>
            </w:tcBorders>
          </w:tcPr>
          <w:p w14:paraId="50030EF1">
            <w:pPr>
              <w:spacing w:line="400" w:lineRule="exact"/>
              <w:jc w:val="center"/>
              <w:rPr>
                <w:color w:val="auto"/>
                <w:sz w:val="21"/>
                <w:szCs w:val="21"/>
              </w:rPr>
            </w:pPr>
            <w:r>
              <w:rPr>
                <w:color w:val="auto"/>
                <w:sz w:val="21"/>
                <w:szCs w:val="21"/>
              </w:rPr>
              <w:t xml:space="preserve">投资成本与容量比值 </w:t>
            </w:r>
          </w:p>
        </w:tc>
        <w:tc>
          <w:tcPr>
            <w:tcW w:w="2162" w:type="dxa"/>
            <w:tcBorders>
              <w:top w:val="nil"/>
              <w:left w:val="nil"/>
              <w:bottom w:val="single" w:color="auto" w:sz="4" w:space="0"/>
              <w:right w:val="nil"/>
            </w:tcBorders>
          </w:tcPr>
          <w:p w14:paraId="7E034D6F">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A3</w:t>
            </w:r>
          </w:p>
        </w:tc>
      </w:tr>
      <w:tr w14:paraId="48946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1175" w:type="dxa"/>
            <w:vMerge w:val="restart"/>
            <w:tcBorders>
              <w:top w:val="single" w:color="auto" w:sz="4" w:space="0"/>
              <w:left w:val="nil"/>
              <w:bottom w:val="nil"/>
              <w:right w:val="nil"/>
            </w:tcBorders>
          </w:tcPr>
          <w:p w14:paraId="5BB38BC0">
            <w:pPr>
              <w:spacing w:line="400" w:lineRule="exact"/>
              <w:jc w:val="both"/>
              <w:rPr>
                <w:color w:val="auto"/>
                <w:sz w:val="21"/>
                <w:szCs w:val="21"/>
              </w:rPr>
            </w:pPr>
          </w:p>
          <w:p w14:paraId="4131F6F4">
            <w:pPr>
              <w:spacing w:line="400" w:lineRule="exact"/>
              <w:jc w:val="center"/>
              <w:rPr>
                <w:color w:val="auto"/>
                <w:sz w:val="21"/>
                <w:szCs w:val="21"/>
              </w:rPr>
            </w:pPr>
            <w:r>
              <w:rPr>
                <w:color w:val="auto"/>
                <w:sz w:val="21"/>
                <w:szCs w:val="21"/>
              </w:rPr>
              <w:t>安全</w:t>
            </w:r>
            <w:r>
              <w:rPr>
                <w:rFonts w:hint="eastAsia"/>
                <w:color w:val="auto"/>
                <w:sz w:val="21"/>
                <w:szCs w:val="21"/>
              </w:rPr>
              <w:t>可控</w:t>
            </w:r>
          </w:p>
        </w:tc>
        <w:tc>
          <w:tcPr>
            <w:tcW w:w="2163" w:type="dxa"/>
            <w:tcBorders>
              <w:top w:val="single" w:color="auto" w:sz="4" w:space="0"/>
              <w:left w:val="nil"/>
              <w:bottom w:val="nil"/>
              <w:right w:val="nil"/>
            </w:tcBorders>
          </w:tcPr>
          <w:p w14:paraId="049D10D6">
            <w:pPr>
              <w:spacing w:line="400" w:lineRule="exact"/>
              <w:jc w:val="center"/>
              <w:rPr>
                <w:color w:val="auto"/>
                <w:sz w:val="21"/>
                <w:szCs w:val="21"/>
              </w:rPr>
            </w:pPr>
            <w:r>
              <w:rPr>
                <w:color w:val="auto"/>
                <w:sz w:val="21"/>
                <w:szCs w:val="21"/>
              </w:rPr>
              <w:t>投资经济效益</w:t>
            </w:r>
          </w:p>
        </w:tc>
        <w:tc>
          <w:tcPr>
            <w:tcW w:w="2650" w:type="dxa"/>
            <w:tcBorders>
              <w:top w:val="single" w:color="auto" w:sz="4" w:space="0"/>
              <w:left w:val="nil"/>
              <w:bottom w:val="nil"/>
              <w:right w:val="nil"/>
            </w:tcBorders>
          </w:tcPr>
          <w:p w14:paraId="32E8C12E">
            <w:pPr>
              <w:spacing w:line="400" w:lineRule="exact"/>
              <w:jc w:val="center"/>
              <w:rPr>
                <w:color w:val="auto"/>
                <w:sz w:val="21"/>
                <w:szCs w:val="21"/>
              </w:rPr>
            </w:pPr>
            <w:r>
              <w:rPr>
                <w:color w:val="auto"/>
                <w:sz w:val="21"/>
                <w:szCs w:val="21"/>
              </w:rPr>
              <w:t>投资回收期</w:t>
            </w:r>
          </w:p>
        </w:tc>
        <w:tc>
          <w:tcPr>
            <w:tcW w:w="2162" w:type="dxa"/>
            <w:tcBorders>
              <w:top w:val="single" w:color="auto" w:sz="4" w:space="0"/>
              <w:left w:val="nil"/>
              <w:bottom w:val="nil"/>
              <w:right w:val="nil"/>
            </w:tcBorders>
          </w:tcPr>
          <w:p w14:paraId="14441943">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B1</w:t>
            </w:r>
          </w:p>
        </w:tc>
      </w:tr>
      <w:tr w14:paraId="78809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1175" w:type="dxa"/>
            <w:vMerge w:val="continue"/>
            <w:tcBorders>
              <w:top w:val="nil"/>
              <w:left w:val="nil"/>
              <w:bottom w:val="nil"/>
              <w:right w:val="nil"/>
            </w:tcBorders>
          </w:tcPr>
          <w:p w14:paraId="062CA0C4">
            <w:pPr>
              <w:spacing w:line="400" w:lineRule="exact"/>
              <w:jc w:val="center"/>
              <w:rPr>
                <w:color w:val="auto"/>
                <w:sz w:val="21"/>
                <w:szCs w:val="21"/>
              </w:rPr>
            </w:pPr>
          </w:p>
        </w:tc>
        <w:tc>
          <w:tcPr>
            <w:tcW w:w="2163" w:type="dxa"/>
            <w:tcBorders>
              <w:top w:val="nil"/>
              <w:left w:val="nil"/>
              <w:bottom w:val="nil"/>
              <w:right w:val="nil"/>
            </w:tcBorders>
          </w:tcPr>
          <w:p w14:paraId="28B498BE">
            <w:pPr>
              <w:spacing w:line="400" w:lineRule="exact"/>
              <w:jc w:val="center"/>
              <w:rPr>
                <w:color w:val="auto"/>
                <w:sz w:val="21"/>
                <w:szCs w:val="21"/>
              </w:rPr>
            </w:pPr>
            <w:r>
              <w:rPr>
                <w:color w:val="auto"/>
                <w:sz w:val="21"/>
                <w:szCs w:val="21"/>
              </w:rPr>
              <w:t>运维成本控制</w:t>
            </w:r>
          </w:p>
        </w:tc>
        <w:tc>
          <w:tcPr>
            <w:tcW w:w="2650" w:type="dxa"/>
            <w:tcBorders>
              <w:top w:val="nil"/>
              <w:left w:val="nil"/>
              <w:bottom w:val="nil"/>
              <w:right w:val="nil"/>
            </w:tcBorders>
          </w:tcPr>
          <w:p w14:paraId="112939E9">
            <w:pPr>
              <w:spacing w:line="400" w:lineRule="exact"/>
              <w:jc w:val="center"/>
              <w:rPr>
                <w:color w:val="auto"/>
                <w:sz w:val="21"/>
                <w:szCs w:val="21"/>
              </w:rPr>
            </w:pPr>
            <w:r>
              <w:rPr>
                <w:color w:val="auto"/>
                <w:sz w:val="21"/>
                <w:szCs w:val="21"/>
              </w:rPr>
              <w:t xml:space="preserve">年度运维成本占比 </w:t>
            </w:r>
          </w:p>
        </w:tc>
        <w:tc>
          <w:tcPr>
            <w:tcW w:w="2162" w:type="dxa"/>
            <w:tcBorders>
              <w:top w:val="nil"/>
              <w:left w:val="nil"/>
              <w:bottom w:val="nil"/>
              <w:right w:val="nil"/>
            </w:tcBorders>
          </w:tcPr>
          <w:p w14:paraId="7FE42C56">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B2</w:t>
            </w:r>
          </w:p>
        </w:tc>
      </w:tr>
      <w:tr w14:paraId="7CC14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1175" w:type="dxa"/>
            <w:vMerge w:val="continue"/>
            <w:tcBorders>
              <w:top w:val="nil"/>
              <w:left w:val="nil"/>
              <w:bottom w:val="single" w:color="auto" w:sz="4" w:space="0"/>
              <w:right w:val="nil"/>
            </w:tcBorders>
          </w:tcPr>
          <w:p w14:paraId="1A26A0FB">
            <w:pPr>
              <w:spacing w:line="400" w:lineRule="exact"/>
              <w:jc w:val="center"/>
              <w:rPr>
                <w:color w:val="auto"/>
                <w:sz w:val="21"/>
                <w:szCs w:val="21"/>
              </w:rPr>
            </w:pPr>
          </w:p>
        </w:tc>
        <w:tc>
          <w:tcPr>
            <w:tcW w:w="2163" w:type="dxa"/>
            <w:tcBorders>
              <w:top w:val="nil"/>
              <w:left w:val="nil"/>
              <w:bottom w:val="single" w:color="auto" w:sz="4" w:space="0"/>
              <w:right w:val="nil"/>
            </w:tcBorders>
          </w:tcPr>
          <w:p w14:paraId="6EF21F7A">
            <w:pPr>
              <w:spacing w:line="400" w:lineRule="exact"/>
              <w:jc w:val="center"/>
              <w:rPr>
                <w:color w:val="auto"/>
                <w:sz w:val="21"/>
                <w:szCs w:val="21"/>
              </w:rPr>
            </w:pPr>
            <w:r>
              <w:rPr>
                <w:color w:val="auto"/>
                <w:sz w:val="21"/>
                <w:szCs w:val="21"/>
              </w:rPr>
              <w:t>设备可靠性</w:t>
            </w:r>
          </w:p>
        </w:tc>
        <w:tc>
          <w:tcPr>
            <w:tcW w:w="2650" w:type="dxa"/>
            <w:tcBorders>
              <w:top w:val="nil"/>
              <w:left w:val="nil"/>
              <w:bottom w:val="single" w:color="auto" w:sz="4" w:space="0"/>
              <w:right w:val="nil"/>
            </w:tcBorders>
          </w:tcPr>
          <w:p w14:paraId="032A2589">
            <w:pPr>
              <w:spacing w:line="400" w:lineRule="exact"/>
              <w:jc w:val="center"/>
              <w:rPr>
                <w:color w:val="auto"/>
                <w:sz w:val="21"/>
                <w:szCs w:val="21"/>
              </w:rPr>
            </w:pPr>
            <w:r>
              <w:rPr>
                <w:color w:val="auto"/>
                <w:sz w:val="21"/>
                <w:szCs w:val="21"/>
              </w:rPr>
              <w:t xml:space="preserve">单位容量运维成本 </w:t>
            </w:r>
          </w:p>
        </w:tc>
        <w:tc>
          <w:tcPr>
            <w:tcW w:w="2162" w:type="dxa"/>
            <w:tcBorders>
              <w:top w:val="nil"/>
              <w:left w:val="nil"/>
              <w:bottom w:val="single" w:color="auto" w:sz="4" w:space="0"/>
              <w:right w:val="nil"/>
            </w:tcBorders>
          </w:tcPr>
          <w:p w14:paraId="104B3D95">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B3</w:t>
            </w:r>
          </w:p>
        </w:tc>
      </w:tr>
      <w:tr w14:paraId="52C6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175" w:type="dxa"/>
            <w:vMerge w:val="restart"/>
            <w:tcBorders>
              <w:top w:val="single" w:color="auto" w:sz="4" w:space="0"/>
              <w:left w:val="nil"/>
              <w:bottom w:val="nil"/>
              <w:right w:val="nil"/>
            </w:tcBorders>
          </w:tcPr>
          <w:p w14:paraId="26F2C2D8">
            <w:pPr>
              <w:spacing w:line="400" w:lineRule="exact"/>
              <w:jc w:val="center"/>
              <w:rPr>
                <w:color w:val="auto"/>
                <w:sz w:val="21"/>
                <w:szCs w:val="21"/>
              </w:rPr>
            </w:pPr>
            <w:r>
              <w:rPr>
                <w:color w:val="auto"/>
                <w:sz w:val="21"/>
                <w:szCs w:val="21"/>
              </w:rPr>
              <w:t>经济高效</w:t>
            </w:r>
          </w:p>
        </w:tc>
        <w:tc>
          <w:tcPr>
            <w:tcW w:w="2163" w:type="dxa"/>
            <w:tcBorders>
              <w:top w:val="single" w:color="auto" w:sz="4" w:space="0"/>
              <w:left w:val="nil"/>
              <w:bottom w:val="nil"/>
              <w:right w:val="nil"/>
            </w:tcBorders>
          </w:tcPr>
          <w:p w14:paraId="41E9867E">
            <w:pPr>
              <w:spacing w:line="400" w:lineRule="exact"/>
              <w:jc w:val="center"/>
              <w:rPr>
                <w:color w:val="auto"/>
                <w:sz w:val="21"/>
                <w:szCs w:val="21"/>
              </w:rPr>
            </w:pPr>
            <w:r>
              <w:rPr>
                <w:color w:val="auto"/>
                <w:sz w:val="21"/>
                <w:szCs w:val="21"/>
              </w:rPr>
              <w:t>收益能力</w:t>
            </w:r>
          </w:p>
        </w:tc>
        <w:tc>
          <w:tcPr>
            <w:tcW w:w="2650" w:type="dxa"/>
            <w:tcBorders>
              <w:top w:val="single" w:color="auto" w:sz="4" w:space="0"/>
              <w:left w:val="nil"/>
              <w:bottom w:val="nil"/>
              <w:right w:val="nil"/>
            </w:tcBorders>
          </w:tcPr>
          <w:p w14:paraId="6960D57E">
            <w:pPr>
              <w:spacing w:line="400" w:lineRule="exact"/>
              <w:jc w:val="center"/>
              <w:rPr>
                <w:color w:val="auto"/>
                <w:sz w:val="21"/>
                <w:szCs w:val="21"/>
              </w:rPr>
            </w:pPr>
            <w:r>
              <w:rPr>
                <w:color w:val="auto"/>
                <w:sz w:val="21"/>
                <w:szCs w:val="21"/>
              </w:rPr>
              <w:t>单位容量收益</w:t>
            </w:r>
          </w:p>
        </w:tc>
        <w:tc>
          <w:tcPr>
            <w:tcW w:w="2162" w:type="dxa"/>
            <w:tcBorders>
              <w:top w:val="single" w:color="auto" w:sz="4" w:space="0"/>
              <w:left w:val="nil"/>
              <w:bottom w:val="nil"/>
              <w:right w:val="nil"/>
            </w:tcBorders>
          </w:tcPr>
          <w:p w14:paraId="1EB4C745">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C1</w:t>
            </w:r>
          </w:p>
        </w:tc>
      </w:tr>
      <w:tr w14:paraId="33709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1175" w:type="dxa"/>
            <w:vMerge w:val="continue"/>
            <w:tcBorders>
              <w:top w:val="nil"/>
              <w:left w:val="nil"/>
              <w:bottom w:val="single" w:color="auto" w:sz="4" w:space="0"/>
              <w:right w:val="nil"/>
            </w:tcBorders>
          </w:tcPr>
          <w:p w14:paraId="47F290E4">
            <w:pPr>
              <w:spacing w:line="400" w:lineRule="exact"/>
              <w:jc w:val="center"/>
              <w:rPr>
                <w:color w:val="auto"/>
                <w:sz w:val="21"/>
                <w:szCs w:val="21"/>
              </w:rPr>
            </w:pPr>
          </w:p>
        </w:tc>
        <w:tc>
          <w:tcPr>
            <w:tcW w:w="2163" w:type="dxa"/>
            <w:tcBorders>
              <w:top w:val="nil"/>
              <w:left w:val="nil"/>
              <w:bottom w:val="single" w:color="auto" w:sz="4" w:space="0"/>
              <w:right w:val="nil"/>
            </w:tcBorders>
          </w:tcPr>
          <w:p w14:paraId="7A740E74">
            <w:pPr>
              <w:spacing w:line="400" w:lineRule="exact"/>
              <w:jc w:val="center"/>
              <w:rPr>
                <w:color w:val="auto"/>
                <w:sz w:val="21"/>
                <w:szCs w:val="21"/>
              </w:rPr>
            </w:pPr>
            <w:r>
              <w:rPr>
                <w:color w:val="auto"/>
                <w:sz w:val="21"/>
                <w:szCs w:val="21"/>
              </w:rPr>
              <w:t>经济效益提升</w:t>
            </w:r>
          </w:p>
        </w:tc>
        <w:tc>
          <w:tcPr>
            <w:tcW w:w="2650" w:type="dxa"/>
            <w:tcBorders>
              <w:top w:val="nil"/>
              <w:left w:val="nil"/>
              <w:bottom w:val="single" w:color="auto" w:sz="4" w:space="0"/>
              <w:right w:val="nil"/>
            </w:tcBorders>
          </w:tcPr>
          <w:p w14:paraId="195AFB4B">
            <w:pPr>
              <w:spacing w:line="400" w:lineRule="exact"/>
              <w:jc w:val="center"/>
              <w:rPr>
                <w:color w:val="auto"/>
                <w:sz w:val="21"/>
                <w:szCs w:val="21"/>
              </w:rPr>
            </w:pPr>
            <w:r>
              <w:rPr>
                <w:color w:val="auto"/>
                <w:sz w:val="21"/>
                <w:szCs w:val="21"/>
              </w:rPr>
              <w:t>收益增长率</w:t>
            </w:r>
          </w:p>
        </w:tc>
        <w:tc>
          <w:tcPr>
            <w:tcW w:w="2162" w:type="dxa"/>
            <w:tcBorders>
              <w:top w:val="nil"/>
              <w:left w:val="nil"/>
              <w:bottom w:val="single" w:color="auto" w:sz="4" w:space="0"/>
              <w:right w:val="nil"/>
            </w:tcBorders>
          </w:tcPr>
          <w:p w14:paraId="728129E6">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C2</w:t>
            </w:r>
          </w:p>
        </w:tc>
      </w:tr>
      <w:tr w14:paraId="035F6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restart"/>
            <w:tcBorders>
              <w:top w:val="single" w:color="auto" w:sz="4" w:space="0"/>
              <w:left w:val="nil"/>
              <w:bottom w:val="nil"/>
              <w:right w:val="nil"/>
            </w:tcBorders>
          </w:tcPr>
          <w:p w14:paraId="47C9E3F0">
            <w:pPr>
              <w:spacing w:line="400" w:lineRule="exact"/>
              <w:jc w:val="center"/>
              <w:rPr>
                <w:color w:val="auto"/>
                <w:sz w:val="21"/>
                <w:szCs w:val="21"/>
              </w:rPr>
            </w:pPr>
            <w:r>
              <w:rPr>
                <w:color w:val="auto"/>
                <w:sz w:val="21"/>
                <w:szCs w:val="21"/>
              </w:rPr>
              <w:t>智能友好</w:t>
            </w:r>
          </w:p>
        </w:tc>
        <w:tc>
          <w:tcPr>
            <w:tcW w:w="2163" w:type="dxa"/>
            <w:tcBorders>
              <w:top w:val="single" w:color="auto" w:sz="4" w:space="0"/>
              <w:left w:val="nil"/>
              <w:bottom w:val="nil"/>
              <w:right w:val="nil"/>
            </w:tcBorders>
          </w:tcPr>
          <w:p w14:paraId="4C58FD9C">
            <w:pPr>
              <w:spacing w:line="400" w:lineRule="exact"/>
              <w:jc w:val="center"/>
              <w:rPr>
                <w:color w:val="auto"/>
                <w:sz w:val="21"/>
                <w:szCs w:val="21"/>
              </w:rPr>
            </w:pPr>
            <w:r>
              <w:rPr>
                <w:color w:val="auto"/>
                <w:sz w:val="21"/>
                <w:szCs w:val="21"/>
              </w:rPr>
              <w:t>数据分析能力</w:t>
            </w:r>
          </w:p>
        </w:tc>
        <w:tc>
          <w:tcPr>
            <w:tcW w:w="2650" w:type="dxa"/>
            <w:tcBorders>
              <w:top w:val="single" w:color="auto" w:sz="4" w:space="0"/>
              <w:left w:val="nil"/>
              <w:bottom w:val="nil"/>
              <w:right w:val="nil"/>
            </w:tcBorders>
          </w:tcPr>
          <w:p w14:paraId="6184B123">
            <w:pPr>
              <w:spacing w:line="400" w:lineRule="exact"/>
              <w:jc w:val="center"/>
              <w:rPr>
                <w:color w:val="auto"/>
                <w:sz w:val="21"/>
                <w:szCs w:val="21"/>
              </w:rPr>
            </w:pPr>
            <w:r>
              <w:rPr>
                <w:color w:val="auto"/>
                <w:sz w:val="21"/>
                <w:szCs w:val="21"/>
              </w:rPr>
              <w:t xml:space="preserve">数据完整性 </w:t>
            </w:r>
          </w:p>
        </w:tc>
        <w:tc>
          <w:tcPr>
            <w:tcW w:w="2162" w:type="dxa"/>
            <w:tcBorders>
              <w:top w:val="single" w:color="auto" w:sz="4" w:space="0"/>
              <w:left w:val="nil"/>
              <w:bottom w:val="nil"/>
              <w:right w:val="nil"/>
            </w:tcBorders>
          </w:tcPr>
          <w:p w14:paraId="71F592C9">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D1</w:t>
            </w:r>
          </w:p>
        </w:tc>
      </w:tr>
      <w:tr w14:paraId="3B207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trPr>
        <w:tc>
          <w:tcPr>
            <w:tcW w:w="1175" w:type="dxa"/>
            <w:vMerge w:val="continue"/>
            <w:tcBorders>
              <w:top w:val="nil"/>
              <w:left w:val="nil"/>
              <w:bottom w:val="single" w:color="auto" w:sz="4" w:space="0"/>
              <w:right w:val="nil"/>
            </w:tcBorders>
          </w:tcPr>
          <w:p w14:paraId="0F75A79B">
            <w:pPr>
              <w:spacing w:line="400" w:lineRule="exact"/>
              <w:jc w:val="center"/>
              <w:rPr>
                <w:color w:val="auto"/>
                <w:sz w:val="21"/>
                <w:szCs w:val="21"/>
              </w:rPr>
            </w:pPr>
          </w:p>
        </w:tc>
        <w:tc>
          <w:tcPr>
            <w:tcW w:w="2163" w:type="dxa"/>
            <w:tcBorders>
              <w:top w:val="nil"/>
              <w:left w:val="nil"/>
              <w:bottom w:val="single" w:color="auto" w:sz="4" w:space="0"/>
              <w:right w:val="nil"/>
            </w:tcBorders>
          </w:tcPr>
          <w:p w14:paraId="5D17D366">
            <w:pPr>
              <w:spacing w:line="400" w:lineRule="exact"/>
              <w:jc w:val="center"/>
              <w:rPr>
                <w:color w:val="auto"/>
                <w:sz w:val="21"/>
                <w:szCs w:val="21"/>
              </w:rPr>
            </w:pPr>
            <w:r>
              <w:rPr>
                <w:color w:val="auto"/>
                <w:sz w:val="21"/>
                <w:szCs w:val="21"/>
              </w:rPr>
              <w:t>自动化水平</w:t>
            </w:r>
          </w:p>
        </w:tc>
        <w:tc>
          <w:tcPr>
            <w:tcW w:w="2650" w:type="dxa"/>
            <w:tcBorders>
              <w:top w:val="nil"/>
              <w:left w:val="nil"/>
              <w:bottom w:val="single" w:color="auto" w:sz="4" w:space="0"/>
              <w:right w:val="nil"/>
            </w:tcBorders>
          </w:tcPr>
          <w:p w14:paraId="41D8CD97">
            <w:pPr>
              <w:spacing w:line="400" w:lineRule="exact"/>
              <w:jc w:val="center"/>
              <w:rPr>
                <w:color w:val="auto"/>
                <w:sz w:val="21"/>
                <w:szCs w:val="21"/>
              </w:rPr>
            </w:pPr>
            <w:r>
              <w:rPr>
                <w:color w:val="auto"/>
                <w:sz w:val="21"/>
                <w:szCs w:val="21"/>
              </w:rPr>
              <w:t xml:space="preserve">数据标准化程度 </w:t>
            </w:r>
          </w:p>
        </w:tc>
        <w:tc>
          <w:tcPr>
            <w:tcW w:w="2162" w:type="dxa"/>
            <w:tcBorders>
              <w:top w:val="nil"/>
              <w:left w:val="nil"/>
              <w:bottom w:val="single" w:color="auto" w:sz="4" w:space="0"/>
              <w:right w:val="nil"/>
            </w:tcBorders>
          </w:tcPr>
          <w:p w14:paraId="34BA046D">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D2</w:t>
            </w:r>
          </w:p>
        </w:tc>
      </w:tr>
      <w:tr w14:paraId="6E893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1175" w:type="dxa"/>
            <w:vMerge w:val="restart"/>
            <w:tcBorders>
              <w:top w:val="single" w:color="auto" w:sz="4" w:space="0"/>
              <w:left w:val="nil"/>
              <w:bottom w:val="nil"/>
              <w:right w:val="nil"/>
            </w:tcBorders>
          </w:tcPr>
          <w:p w14:paraId="773EDD4B">
            <w:pPr>
              <w:spacing w:line="400" w:lineRule="exact"/>
              <w:jc w:val="both"/>
              <w:rPr>
                <w:color w:val="auto"/>
                <w:sz w:val="21"/>
                <w:szCs w:val="21"/>
              </w:rPr>
            </w:pPr>
          </w:p>
          <w:p w14:paraId="4E2F516B">
            <w:pPr>
              <w:spacing w:line="400" w:lineRule="exact"/>
              <w:jc w:val="center"/>
              <w:rPr>
                <w:color w:val="auto"/>
                <w:sz w:val="21"/>
                <w:szCs w:val="21"/>
              </w:rPr>
            </w:pPr>
            <w:r>
              <w:rPr>
                <w:color w:val="auto"/>
                <w:sz w:val="21"/>
                <w:szCs w:val="21"/>
              </w:rPr>
              <w:t>开放互动</w:t>
            </w:r>
          </w:p>
        </w:tc>
        <w:tc>
          <w:tcPr>
            <w:tcW w:w="2163" w:type="dxa"/>
            <w:tcBorders>
              <w:top w:val="single" w:color="auto" w:sz="4" w:space="0"/>
              <w:left w:val="nil"/>
              <w:bottom w:val="nil"/>
              <w:right w:val="nil"/>
            </w:tcBorders>
          </w:tcPr>
          <w:p w14:paraId="1F39AD3A">
            <w:pPr>
              <w:spacing w:line="400" w:lineRule="exact"/>
              <w:jc w:val="center"/>
              <w:rPr>
                <w:color w:val="auto"/>
                <w:sz w:val="21"/>
                <w:szCs w:val="21"/>
              </w:rPr>
            </w:pPr>
            <w:r>
              <w:rPr>
                <w:color w:val="auto"/>
                <w:sz w:val="21"/>
                <w:szCs w:val="21"/>
              </w:rPr>
              <w:t>社会经济效益</w:t>
            </w:r>
          </w:p>
        </w:tc>
        <w:tc>
          <w:tcPr>
            <w:tcW w:w="2650" w:type="dxa"/>
            <w:tcBorders>
              <w:top w:val="single" w:color="auto" w:sz="4" w:space="0"/>
              <w:left w:val="nil"/>
              <w:bottom w:val="nil"/>
              <w:right w:val="nil"/>
            </w:tcBorders>
          </w:tcPr>
          <w:p w14:paraId="63EFDE69">
            <w:pPr>
              <w:spacing w:line="400" w:lineRule="exact"/>
              <w:jc w:val="center"/>
              <w:rPr>
                <w:color w:val="auto"/>
                <w:sz w:val="21"/>
                <w:szCs w:val="21"/>
              </w:rPr>
            </w:pPr>
            <w:r>
              <w:rPr>
                <w:color w:val="auto"/>
                <w:sz w:val="21"/>
                <w:szCs w:val="21"/>
              </w:rPr>
              <w:t xml:space="preserve">综合效益评估 </w:t>
            </w:r>
          </w:p>
        </w:tc>
        <w:tc>
          <w:tcPr>
            <w:tcW w:w="2162" w:type="dxa"/>
            <w:tcBorders>
              <w:top w:val="single" w:color="auto" w:sz="4" w:space="0"/>
              <w:left w:val="nil"/>
              <w:bottom w:val="nil"/>
              <w:right w:val="nil"/>
            </w:tcBorders>
          </w:tcPr>
          <w:p w14:paraId="6935F962">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E1</w:t>
            </w:r>
          </w:p>
        </w:tc>
      </w:tr>
      <w:tr w14:paraId="49080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175" w:type="dxa"/>
            <w:vMerge w:val="continue"/>
            <w:tcBorders>
              <w:top w:val="nil"/>
              <w:left w:val="nil"/>
              <w:bottom w:val="single" w:color="auto" w:sz="12" w:space="0"/>
              <w:right w:val="nil"/>
            </w:tcBorders>
          </w:tcPr>
          <w:p w14:paraId="5D1B7224">
            <w:pPr>
              <w:spacing w:line="400" w:lineRule="exact"/>
              <w:jc w:val="center"/>
              <w:rPr>
                <w:color w:val="auto"/>
                <w:sz w:val="21"/>
                <w:szCs w:val="21"/>
              </w:rPr>
            </w:pPr>
          </w:p>
        </w:tc>
        <w:tc>
          <w:tcPr>
            <w:tcW w:w="2163" w:type="dxa"/>
            <w:tcBorders>
              <w:top w:val="nil"/>
              <w:left w:val="nil"/>
              <w:bottom w:val="single" w:color="auto" w:sz="12" w:space="0"/>
              <w:right w:val="nil"/>
            </w:tcBorders>
          </w:tcPr>
          <w:p w14:paraId="4ED8841F">
            <w:pPr>
              <w:spacing w:line="400" w:lineRule="exact"/>
              <w:jc w:val="center"/>
              <w:rPr>
                <w:color w:val="auto"/>
                <w:sz w:val="21"/>
                <w:szCs w:val="21"/>
              </w:rPr>
            </w:pPr>
            <w:r>
              <w:rPr>
                <w:color w:val="auto"/>
                <w:sz w:val="21"/>
                <w:szCs w:val="21"/>
              </w:rPr>
              <w:t>多元主体接入潜力</w:t>
            </w:r>
          </w:p>
        </w:tc>
        <w:tc>
          <w:tcPr>
            <w:tcW w:w="2650" w:type="dxa"/>
            <w:tcBorders>
              <w:top w:val="nil"/>
              <w:left w:val="nil"/>
              <w:bottom w:val="single" w:color="auto" w:sz="12" w:space="0"/>
              <w:right w:val="nil"/>
            </w:tcBorders>
          </w:tcPr>
          <w:p w14:paraId="2E8295E6">
            <w:pPr>
              <w:spacing w:line="400" w:lineRule="exact"/>
              <w:jc w:val="center"/>
              <w:rPr>
                <w:color w:val="auto"/>
                <w:sz w:val="21"/>
                <w:szCs w:val="21"/>
              </w:rPr>
            </w:pPr>
            <w:r>
              <w:rPr>
                <w:color w:val="auto"/>
                <w:sz w:val="21"/>
                <w:szCs w:val="21"/>
              </w:rPr>
              <w:t xml:space="preserve">单位容量潜在扩展能力 </w:t>
            </w:r>
          </w:p>
        </w:tc>
        <w:tc>
          <w:tcPr>
            <w:tcW w:w="2162" w:type="dxa"/>
            <w:tcBorders>
              <w:top w:val="nil"/>
              <w:left w:val="nil"/>
              <w:bottom w:val="single" w:color="auto" w:sz="12" w:space="0"/>
              <w:right w:val="nil"/>
            </w:tcBorders>
          </w:tcPr>
          <w:p w14:paraId="140300B5">
            <w:pPr>
              <w:spacing w:line="400" w:lineRule="exact"/>
              <w:jc w:val="center"/>
              <w:rPr>
                <w:rFonts w:hint="default" w:eastAsia="宋体"/>
                <w:color w:val="auto"/>
                <w:sz w:val="21"/>
                <w:szCs w:val="21"/>
                <w:lang w:val="en-US" w:eastAsia="zh-CN"/>
              </w:rPr>
            </w:pPr>
            <w:r>
              <w:rPr>
                <w:rFonts w:hint="eastAsia"/>
                <w:color w:val="auto"/>
                <w:sz w:val="21"/>
                <w:szCs w:val="21"/>
                <w:lang w:val="en-US" w:eastAsia="zh-CN"/>
              </w:rPr>
              <w:t>E2</w:t>
            </w:r>
          </w:p>
        </w:tc>
      </w:tr>
    </w:tbl>
    <w:p w14:paraId="5F1EFE15">
      <w:pPr>
        <w:rPr>
          <w:color w:val="auto"/>
        </w:rPr>
      </w:pPr>
    </w:p>
    <w:p w14:paraId="24E4E57B">
      <w:pPr>
        <w:tabs>
          <w:tab w:val="left" w:pos="2795"/>
        </w:tabs>
        <w:spacing w:before="156" w:beforeLines="50" w:after="156" w:afterLines="50" w:line="324" w:lineRule="auto"/>
        <w:outlineLvl w:val="1"/>
        <w:rPr>
          <w:rFonts w:hint="eastAsia" w:eastAsia="黑体"/>
          <w:color w:val="auto"/>
          <w:sz w:val="28"/>
          <w:szCs w:val="28"/>
        </w:rPr>
      </w:pPr>
      <w:r>
        <w:rPr>
          <w:rFonts w:hint="eastAsia" w:eastAsia="黑体"/>
          <w:color w:val="auto"/>
          <w:sz w:val="30"/>
          <w:szCs w:val="30"/>
          <w:lang w:val="en-US" w:eastAsia="zh-CN"/>
        </w:rPr>
        <w:t>3.4评估模型实现与智能算法设计</w:t>
      </w:r>
    </w:p>
    <w:p w14:paraId="38E62B1C">
      <w:pPr>
        <w:spacing w:line="400" w:lineRule="exact"/>
        <w:rPr>
          <w:rFonts w:hint="eastAsia"/>
          <w:color w:val="auto"/>
        </w:rPr>
      </w:pPr>
      <w:r>
        <w:rPr>
          <w:rFonts w:hint="eastAsia" w:eastAsia="黑体"/>
          <w:color w:val="auto"/>
          <w:sz w:val="28"/>
          <w:szCs w:val="28"/>
        </w:rPr>
        <w:t>3.4.1 数据预处理与标准化</w:t>
      </w:r>
    </w:p>
    <w:p w14:paraId="01A275A1">
      <w:pPr>
        <w:tabs>
          <w:tab w:val="left" w:pos="5722"/>
        </w:tabs>
        <w:spacing w:line="400" w:lineRule="exact"/>
        <w:ind w:firstLine="480" w:firstLineChars="200"/>
        <w:rPr>
          <w:rFonts w:hint="eastAsia"/>
          <w:color w:val="auto"/>
          <w:lang w:eastAsia="zh-CN"/>
        </w:rPr>
      </w:pPr>
    </w:p>
    <w:p w14:paraId="1B207B09">
      <w:pPr>
        <w:spacing w:line="400" w:lineRule="exact"/>
        <w:ind w:firstLine="480" w:firstLineChars="200"/>
        <w:rPr>
          <w:color w:val="auto"/>
        </w:rPr>
      </w:pPr>
      <w:r>
        <w:rPr>
          <w:rFonts w:hint="eastAsia"/>
          <w:color w:val="auto"/>
        </w:rPr>
        <w:t>针对表3-3中清洗后的85.5万字符语料，构建了包含12个三级指标的原始数据矩阵。采用Min-Max标准化方法消除量纲差异，Min-Max标准化是一种常用的数据标准化方法，也称为离差标准化。它通过对原始数据进行线性变换，将数据映射到指定的区间（通常是[0,1]）计算公式如式(3.1)所示：</w:t>
      </w:r>
    </w:p>
    <w:p w14:paraId="4EF961DF">
      <w:pPr>
        <w:rPr>
          <w:color w:val="auto"/>
        </w:rPr>
      </w:pPr>
    </w:p>
    <w:p w14:paraId="568F261D">
      <w:pPr>
        <w:tabs>
          <w:tab w:val="left" w:pos="2694"/>
        </w:tabs>
        <w:ind w:left="240" w:hanging="240" w:hangingChars="100"/>
        <w:jc w:val="center"/>
        <w:rPr>
          <w:rFonts w:hint="default" w:eastAsia="宋体"/>
          <w:color w:val="auto"/>
          <w:lang w:val="en-US" w:eastAsia="zh-CN"/>
        </w:rPr>
      </w:pPr>
      <w:r>
        <w:rPr>
          <w:rFonts w:hint="eastAsia" w:hAnsi="Cambria Math"/>
          <w:i w:val="0"/>
          <w:color w:val="auto"/>
          <w:lang w:val="en-US" w:eastAsia="zh-CN"/>
        </w:rPr>
        <w:t xml:space="preserve">           </w:t>
      </w:r>
      <m:oMath>
        <m:sSubSup>
          <m:sSubSupPr>
            <m:ctrlPr>
              <w:rPr>
                <w:rFonts w:ascii="Cambria Math" w:hAnsi="Cambria Math"/>
                <w:i/>
                <w:color w:val="auto"/>
              </w:rPr>
            </m:ctrlPr>
          </m:sSubSupPr>
          <m:e>
            <m:r>
              <m:rPr/>
              <w:rPr>
                <w:rFonts w:hint="default" w:ascii="Cambria Math" w:hAnsi="Cambria Math"/>
                <w:color w:val="auto"/>
                <w:lang w:val="en-US" w:eastAsia="zh-CN"/>
              </w:rPr>
              <m:t>x</m:t>
            </m:r>
            <m:ctrlPr>
              <w:rPr>
                <w:rFonts w:ascii="Cambria Math" w:hAnsi="Cambria Math"/>
                <w:i/>
                <w:color w:val="auto"/>
              </w:rPr>
            </m:ctrlPr>
          </m:e>
          <m:sub>
            <m:r>
              <m:rPr/>
              <w:rPr>
                <w:rFonts w:hint="default" w:ascii="Cambria Math" w:hAnsi="Cambria Math"/>
                <w:color w:val="auto"/>
                <w:lang w:val="en-US" w:eastAsia="zh-CN"/>
              </w:rPr>
              <m:t>ij</m:t>
            </m:r>
            <m:ctrlPr>
              <w:rPr>
                <w:rFonts w:ascii="Cambria Math" w:hAnsi="Cambria Math"/>
                <w:i/>
                <w:color w:val="auto"/>
              </w:rPr>
            </m:ctrlPr>
          </m:sub>
          <m:sup>
            <m:r>
              <m:rPr/>
              <w:rPr>
                <w:rFonts w:hint="default" w:ascii="Cambria Math" w:hAnsi="Cambria Math"/>
                <w:color w:val="auto"/>
                <w:lang w:val="en-US" w:eastAsia="zh-CN"/>
              </w:rPr>
              <m:t>∗</m:t>
            </m:r>
            <m:ctrlPr>
              <w:rPr>
                <w:rFonts w:ascii="Cambria Math" w:hAnsi="Cambria Math"/>
                <w:i/>
                <w:color w:val="auto"/>
              </w:rPr>
            </m:ctrlPr>
          </m:sup>
        </m:sSubSup>
        <m:r>
          <m:rPr/>
          <w:rPr>
            <w:rFonts w:hint="default" w:ascii="Cambria Math" w:hAnsi="Cambria Math"/>
            <w:color w:val="auto"/>
            <w:lang w:val="en-US" w:eastAsia="zh-CN"/>
          </w:rPr>
          <m:t>=</m:t>
        </m:r>
        <m:f>
          <m:fPr>
            <m:ctrlPr>
              <w:rPr>
                <w:rFonts w:hint="default" w:ascii="Cambria Math" w:hAnsi="Cambria Math"/>
                <w:i/>
                <w:color w:val="auto"/>
                <w:lang w:val="en-US" w:eastAsia="zh-CN"/>
              </w:rPr>
            </m:ctrlPr>
          </m:fPr>
          <m:num>
            <m:sSub>
              <m:sSubPr>
                <m:ctrlPr>
                  <w:rPr>
                    <w:rFonts w:hint="default" w:ascii="Cambria Math" w:hAnsi="Cambria Math"/>
                    <w:i/>
                    <w:color w:val="auto"/>
                    <w:lang w:val="en-US" w:eastAsia="zh-CN"/>
                  </w:rPr>
                </m:ctrlPr>
              </m:sSubPr>
              <m:e>
                <m:r>
                  <m:rPr/>
                  <w:rPr>
                    <w:rFonts w:hint="default" w:ascii="Cambria Math" w:hAnsi="Cambria Math"/>
                    <w:color w:val="auto"/>
                    <w:lang w:val="en-US" w:eastAsia="zh-CN"/>
                  </w:rPr>
                  <m:t>x</m:t>
                </m:r>
                <m:ctrlPr>
                  <w:rPr>
                    <w:rFonts w:hint="default" w:ascii="Cambria Math" w:hAnsi="Cambria Math"/>
                    <w:i/>
                    <w:color w:val="auto"/>
                    <w:lang w:val="en-US" w:eastAsia="zh-CN"/>
                  </w:rPr>
                </m:ctrlPr>
              </m:e>
              <m:sub>
                <m:r>
                  <m:rPr/>
                  <w:rPr>
                    <w:rFonts w:hint="default" w:ascii="Cambria Math" w:hAnsi="Cambria Math"/>
                    <w:color w:val="auto"/>
                    <w:lang w:val="en-US" w:eastAsia="zh-CN"/>
                  </w:rPr>
                  <m:t>ij</m:t>
                </m:r>
                <m:ctrlPr>
                  <w:rPr>
                    <w:rFonts w:hint="default" w:ascii="Cambria Math" w:hAnsi="Cambria Math"/>
                    <w:i/>
                    <w:color w:val="auto"/>
                    <w:lang w:val="en-US" w:eastAsia="zh-CN"/>
                  </w:rPr>
                </m:ctrlPr>
              </m:sub>
            </m:sSub>
            <m:r>
              <m:rPr/>
              <w:rPr>
                <w:rFonts w:hint="default" w:ascii="Cambria Math" w:hAnsi="Cambria Math"/>
                <w:color w:val="auto"/>
                <w:lang w:val="en-US" w:eastAsia="zh-CN"/>
              </w:rPr>
              <m:t>−</m:t>
            </m:r>
            <m:r>
              <m:rPr>
                <m:sty m:val="p"/>
              </m:rPr>
              <w:rPr>
                <w:rFonts w:hint="default" w:ascii="Cambria Math" w:hAnsi="Cambria Math"/>
                <w:color w:val="auto"/>
                <w:lang w:val="en-US" w:eastAsia="zh-CN"/>
              </w:rPr>
              <m:t>min(</m:t>
            </m:r>
            <m:sSub>
              <m:sSubPr>
                <m:ctrlPr>
                  <w:rPr>
                    <w:rFonts w:hint="default" w:ascii="Cambria Math" w:hAnsi="Cambria Math"/>
                    <w:i/>
                    <w:iCs w:val="0"/>
                    <w:color w:val="auto"/>
                    <w:lang w:val="en-US" w:eastAsia="zh-CN"/>
                  </w:rPr>
                </m:ctrlPr>
              </m:sSubPr>
              <m:e>
                <m:r>
                  <m:rPr/>
                  <w:rPr>
                    <w:rFonts w:hint="default" w:ascii="Cambria Math" w:hAnsi="Cambria Math"/>
                    <w:color w:val="auto"/>
                    <w:lang w:val="en-US" w:eastAsia="zh-CN"/>
                  </w:rPr>
                  <m:t>x</m:t>
                </m:r>
                <m:ctrlPr>
                  <w:rPr>
                    <w:rFonts w:hint="default" w:ascii="Cambria Math" w:hAnsi="Cambria Math"/>
                    <w:i/>
                    <w:iCs w:val="0"/>
                    <w:color w:val="auto"/>
                    <w:lang w:val="en-US" w:eastAsia="zh-CN"/>
                  </w:rPr>
                </m:ctrlPr>
              </m:e>
              <m:sub>
                <m:r>
                  <m:rPr/>
                  <w:rPr>
                    <w:rFonts w:hint="default" w:ascii="Cambria Math" w:hAnsi="Cambria Math"/>
                    <w:color w:val="auto"/>
                    <w:lang w:val="en-US" w:eastAsia="zh-CN"/>
                  </w:rPr>
                  <m:t>j</m:t>
                </m:r>
                <m:ctrlPr>
                  <w:rPr>
                    <w:rFonts w:hint="default" w:ascii="Cambria Math" w:hAnsi="Cambria Math"/>
                    <w:i/>
                    <w:iCs w:val="0"/>
                    <w:color w:val="auto"/>
                    <w:lang w:val="en-US" w:eastAsia="zh-CN"/>
                  </w:rPr>
                </m:ctrlPr>
              </m:sub>
            </m:sSub>
            <m:r>
              <m:rPr>
                <m:sty m:val="p"/>
              </m:rPr>
              <w:rPr>
                <w:rFonts w:hint="default" w:ascii="Cambria Math" w:hAnsi="Cambria Math"/>
                <w:color w:val="auto"/>
                <w:lang w:val="en-US" w:eastAsia="zh-CN"/>
              </w:rPr>
              <m:t>)</m:t>
            </m:r>
            <m:ctrlPr>
              <w:rPr>
                <w:rFonts w:hint="default" w:ascii="Cambria Math" w:hAnsi="Cambria Math"/>
                <w:i/>
                <w:color w:val="auto"/>
                <w:lang w:val="en-US" w:eastAsia="zh-CN"/>
              </w:rPr>
            </m:ctrlPr>
          </m:num>
          <m:den>
            <m:r>
              <m:rPr>
                <m:sty m:val="p"/>
              </m:rPr>
              <w:rPr>
                <w:rFonts w:hint="default" w:ascii="Cambria Math" w:hAnsi="Cambria Math"/>
                <w:color w:val="auto"/>
                <w:lang w:val="en-US" w:eastAsia="zh-CN"/>
              </w:rPr>
              <m:t>max(</m:t>
            </m:r>
            <m:sSub>
              <m:sSubPr>
                <m:ctrlPr>
                  <w:rPr>
                    <w:rFonts w:hint="default" w:ascii="Cambria Math" w:hAnsi="Cambria Math"/>
                    <w:i/>
                    <w:iCs w:val="0"/>
                    <w:color w:val="auto"/>
                    <w:lang w:val="en-US" w:eastAsia="zh-CN"/>
                  </w:rPr>
                </m:ctrlPr>
              </m:sSubPr>
              <m:e>
                <m:r>
                  <m:rPr/>
                  <w:rPr>
                    <w:rFonts w:hint="default" w:ascii="Cambria Math" w:hAnsi="Cambria Math"/>
                    <w:color w:val="auto"/>
                    <w:lang w:val="en-US" w:eastAsia="zh-CN"/>
                  </w:rPr>
                  <m:t>x</m:t>
                </m:r>
                <m:ctrlPr>
                  <w:rPr>
                    <w:rFonts w:hint="default" w:ascii="Cambria Math" w:hAnsi="Cambria Math"/>
                    <w:i/>
                    <w:iCs w:val="0"/>
                    <w:color w:val="auto"/>
                    <w:lang w:val="en-US" w:eastAsia="zh-CN"/>
                  </w:rPr>
                </m:ctrlPr>
              </m:e>
              <m:sub>
                <m:r>
                  <m:rPr/>
                  <w:rPr>
                    <w:rFonts w:hint="default" w:ascii="Cambria Math" w:hAnsi="Cambria Math"/>
                    <w:color w:val="auto"/>
                    <w:lang w:val="en-US" w:eastAsia="zh-CN"/>
                  </w:rPr>
                  <m:t>j</m:t>
                </m:r>
                <m:ctrlPr>
                  <w:rPr>
                    <w:rFonts w:hint="default" w:ascii="Cambria Math" w:hAnsi="Cambria Math"/>
                    <w:i/>
                    <w:iCs w:val="0"/>
                    <w:color w:val="auto"/>
                    <w:lang w:val="en-US" w:eastAsia="zh-CN"/>
                  </w:rPr>
                </m:ctrlPr>
              </m:sub>
            </m:sSub>
            <m:r>
              <m:rPr>
                <m:sty m:val="p"/>
              </m:rPr>
              <w:rPr>
                <w:rFonts w:hint="default" w:ascii="Cambria Math" w:hAnsi="Cambria Math"/>
                <w:color w:val="auto"/>
                <w:lang w:val="en-US" w:eastAsia="zh-CN"/>
              </w:rPr>
              <m:t>)−min(</m:t>
            </m:r>
            <m:sSub>
              <m:sSubPr>
                <m:ctrlPr>
                  <w:rPr>
                    <w:rFonts w:hint="default" w:ascii="Cambria Math" w:hAnsi="Cambria Math"/>
                    <w:i/>
                    <w:iCs w:val="0"/>
                    <w:color w:val="auto"/>
                    <w:lang w:val="en-US" w:eastAsia="zh-CN"/>
                  </w:rPr>
                </m:ctrlPr>
              </m:sSubPr>
              <m:e>
                <m:r>
                  <m:rPr/>
                  <w:rPr>
                    <w:rFonts w:hint="default" w:ascii="Cambria Math" w:hAnsi="Cambria Math"/>
                    <w:color w:val="auto"/>
                    <w:lang w:val="en-US" w:eastAsia="zh-CN"/>
                  </w:rPr>
                  <m:t>x</m:t>
                </m:r>
                <m:ctrlPr>
                  <w:rPr>
                    <w:rFonts w:hint="default" w:ascii="Cambria Math" w:hAnsi="Cambria Math"/>
                    <w:i/>
                    <w:iCs w:val="0"/>
                    <w:color w:val="auto"/>
                    <w:lang w:val="en-US" w:eastAsia="zh-CN"/>
                  </w:rPr>
                </m:ctrlPr>
              </m:e>
              <m:sub>
                <m:r>
                  <m:rPr/>
                  <w:rPr>
                    <w:rFonts w:hint="default" w:ascii="Cambria Math" w:hAnsi="Cambria Math"/>
                    <w:color w:val="auto"/>
                    <w:lang w:val="en-US" w:eastAsia="zh-CN"/>
                  </w:rPr>
                  <m:t>j</m:t>
                </m:r>
                <m:ctrlPr>
                  <w:rPr>
                    <w:rFonts w:hint="default" w:ascii="Cambria Math" w:hAnsi="Cambria Math"/>
                    <w:i/>
                    <w:iCs w:val="0"/>
                    <w:color w:val="auto"/>
                    <w:lang w:val="en-US" w:eastAsia="zh-CN"/>
                  </w:rPr>
                </m:ctrlPr>
              </m:sub>
            </m:sSub>
            <m:r>
              <m:rPr>
                <m:sty m:val="p"/>
              </m:rPr>
              <w:rPr>
                <w:rFonts w:hint="default" w:ascii="Cambria Math" w:hAnsi="Cambria Math"/>
                <w:color w:val="auto"/>
                <w:lang w:val="en-US" w:eastAsia="zh-CN"/>
              </w:rPr>
              <m:t>)</m:t>
            </m:r>
            <m:ctrlPr>
              <w:rPr>
                <w:rFonts w:hint="default" w:ascii="Cambria Math" w:hAnsi="Cambria Math"/>
                <w:i/>
                <w:color w:val="auto"/>
                <w:lang w:val="en-US" w:eastAsia="zh-CN"/>
              </w:rPr>
            </m:ctrlPr>
          </m:den>
        </m:f>
        <m:r>
          <m:rPr/>
          <w:rPr>
            <w:rFonts w:hint="default" w:ascii="Cambria Math" w:hAnsi="Cambria Math"/>
            <w:color w:val="auto"/>
            <w:lang w:val="en-US" w:eastAsia="zh-CN"/>
          </w:rPr>
          <m:t>(i=1,2,...,n;j=1,2,...,12)</m:t>
        </m:r>
      </m:oMath>
      <w:r>
        <w:rPr>
          <w:rFonts w:hint="eastAsia" w:hAnsi="Cambria Math"/>
          <w:i w:val="0"/>
          <w:color w:val="auto"/>
          <w:lang w:val="en-US" w:eastAsia="zh-CN"/>
        </w:rPr>
        <w:t xml:space="preserve">           （3.1）</w:t>
      </w:r>
    </w:p>
    <w:p w14:paraId="1E91A7C4">
      <w:pPr>
        <w:rPr>
          <w:color w:val="auto"/>
        </w:rPr>
      </w:pPr>
    </w:p>
    <w:p w14:paraId="3758CE6A">
      <w:pPr>
        <w:ind w:firstLine="480" w:firstLineChars="200"/>
        <w:rPr>
          <w:rFonts w:hint="eastAsia" w:eastAsia="宋体"/>
          <w:color w:val="auto"/>
          <w:lang w:eastAsia="zh-CN"/>
        </w:rPr>
      </w:pPr>
      <w:r>
        <w:rPr>
          <w:rFonts w:hint="eastAsia"/>
          <w:color w:val="auto"/>
        </w:rPr>
        <w:t>式中</w:t>
      </w:r>
      <w:r>
        <w:rPr>
          <w:rFonts w:hint="eastAsia"/>
          <w:color w:val="auto"/>
          <w:lang w:eastAsia="zh-CN"/>
        </w:rPr>
        <w:t>：</w:t>
      </w:r>
    </w:p>
    <w:p w14:paraId="7EA7CFF7">
      <w:pPr>
        <w:ind w:firstLine="480" w:firstLineChars="200"/>
        <w:rPr>
          <w:rFonts w:hint="eastAsia" w:eastAsia="宋体"/>
          <w:color w:val="auto"/>
          <w:lang w:eastAsia="zh-CN"/>
        </w:rPr>
      </w:pPr>
      <m:oMath>
        <m:sSub>
          <m:sSubPr>
            <m:ctrlPr>
              <w:rPr>
                <w:rFonts w:hint="default" w:ascii="Cambria Math" w:hAnsi="Cambria Math"/>
                <w:i/>
                <w:color w:val="auto"/>
                <w:lang w:val="en-US" w:eastAsia="zh-CN"/>
              </w:rPr>
            </m:ctrlPr>
          </m:sSubPr>
          <m:e>
            <m:r>
              <m:rPr/>
              <w:rPr>
                <w:rFonts w:hint="default" w:ascii="Cambria Math" w:hAnsi="Cambria Math"/>
                <w:color w:val="auto"/>
                <w:lang w:val="en-US" w:eastAsia="zh-CN"/>
              </w:rPr>
              <m:t>x</m:t>
            </m:r>
            <m:ctrlPr>
              <w:rPr>
                <w:rFonts w:hint="default" w:ascii="Cambria Math" w:hAnsi="Cambria Math"/>
                <w:i/>
                <w:color w:val="auto"/>
                <w:lang w:val="en-US" w:eastAsia="zh-CN"/>
              </w:rPr>
            </m:ctrlPr>
          </m:e>
          <m:sub>
            <m:r>
              <m:rPr/>
              <w:rPr>
                <w:rFonts w:hint="default" w:ascii="Cambria Math" w:hAnsi="Cambria Math"/>
                <w:color w:val="auto"/>
                <w:lang w:val="en-US" w:eastAsia="zh-CN"/>
              </w:rPr>
              <m:t>ij</m:t>
            </m:r>
            <m:ctrlPr>
              <w:rPr>
                <w:rFonts w:hint="default" w:ascii="Cambria Math" w:hAnsi="Cambria Math"/>
                <w:i/>
                <w:color w:val="auto"/>
                <w:lang w:val="en-US" w:eastAsia="zh-CN"/>
              </w:rPr>
            </m:ctrlPr>
          </m:sub>
        </m:sSub>
      </m:oMath>
      <w:r>
        <w:rPr>
          <w:rFonts w:hint="eastAsia" w:hAnsi="Cambria Math"/>
          <w:i w:val="0"/>
          <w:color w:val="auto"/>
          <w:lang w:val="en-US" w:eastAsia="zh-CN"/>
        </w:rPr>
        <w:t>——</w:t>
      </w:r>
      <w:r>
        <w:rPr>
          <w:rFonts w:hint="eastAsia"/>
          <w:color w:val="auto"/>
        </w:rPr>
        <w:t>为第</w:t>
      </w:r>
      <m:oMath>
        <m:r>
          <m:rPr/>
          <w:rPr>
            <w:rFonts w:hint="default" w:ascii="Cambria Math" w:hAnsi="Cambria Math"/>
            <w:color w:val="auto"/>
            <w:lang w:val="en-US" w:eastAsia="zh-CN"/>
          </w:rPr>
          <m:t>i</m:t>
        </m:r>
      </m:oMath>
      <w:r>
        <w:rPr>
          <w:rFonts w:hint="eastAsia"/>
          <w:color w:val="auto"/>
        </w:rPr>
        <w:t>个样本第</w:t>
      </w:r>
      <w:r>
        <w:rPr>
          <w:rFonts w:hint="eastAsia"/>
          <w:i/>
          <w:iCs/>
          <w:color w:val="auto"/>
        </w:rPr>
        <w:t>j</w:t>
      </w:r>
      <w:r>
        <w:rPr>
          <w:rFonts w:hint="eastAsia"/>
          <w:color w:val="auto"/>
        </w:rPr>
        <w:t>项指标的原始值</w:t>
      </w:r>
      <w:r>
        <w:rPr>
          <w:rFonts w:hint="eastAsia"/>
          <w:color w:val="auto"/>
          <w:lang w:eastAsia="zh-CN"/>
        </w:rPr>
        <w:t>。</w:t>
      </w:r>
    </w:p>
    <w:p w14:paraId="1B34709D">
      <w:pPr>
        <w:ind w:firstLine="480" w:firstLineChars="200"/>
        <w:rPr>
          <w:rFonts w:hint="eastAsia"/>
          <w:color w:val="auto"/>
        </w:rPr>
      </w:pPr>
      <m:oMath>
        <m:sSubSup>
          <m:sSubSupPr>
            <m:ctrlPr>
              <w:rPr>
                <w:rFonts w:ascii="Cambria Math" w:hAnsi="Cambria Math"/>
                <w:i/>
                <w:color w:val="auto"/>
              </w:rPr>
            </m:ctrlPr>
          </m:sSubSupPr>
          <m:e>
            <m:r>
              <m:rPr/>
              <w:rPr>
                <w:rFonts w:hint="default" w:ascii="Cambria Math" w:hAnsi="Cambria Math"/>
                <w:color w:val="auto"/>
                <w:lang w:val="en-US" w:eastAsia="zh-CN"/>
              </w:rPr>
              <m:t>x</m:t>
            </m:r>
            <m:ctrlPr>
              <w:rPr>
                <w:rFonts w:ascii="Cambria Math" w:hAnsi="Cambria Math"/>
                <w:i/>
                <w:color w:val="auto"/>
              </w:rPr>
            </m:ctrlPr>
          </m:e>
          <m:sub>
            <m:r>
              <m:rPr/>
              <w:rPr>
                <w:rFonts w:hint="default" w:ascii="Cambria Math" w:hAnsi="Cambria Math"/>
                <w:color w:val="auto"/>
                <w:lang w:val="en-US" w:eastAsia="zh-CN"/>
              </w:rPr>
              <m:t>ij</m:t>
            </m:r>
            <m:ctrlPr>
              <w:rPr>
                <w:rFonts w:ascii="Cambria Math" w:hAnsi="Cambria Math"/>
                <w:i/>
                <w:color w:val="auto"/>
              </w:rPr>
            </m:ctrlPr>
          </m:sub>
          <m:sup>
            <m:r>
              <m:rPr/>
              <w:rPr>
                <w:rFonts w:hint="default" w:ascii="Cambria Math" w:hAnsi="Cambria Math"/>
                <w:color w:val="auto"/>
                <w:lang w:val="en-US" w:eastAsia="zh-CN"/>
              </w:rPr>
              <m:t>∗</m:t>
            </m:r>
            <m:ctrlPr>
              <w:rPr>
                <w:rFonts w:ascii="Cambria Math" w:hAnsi="Cambria Math"/>
                <w:i/>
                <w:color w:val="auto"/>
              </w:rPr>
            </m:ctrlPr>
          </m:sup>
        </m:sSubSup>
      </m:oMath>
      <w:r>
        <w:rPr>
          <w:rFonts w:hint="eastAsia" w:hAnsi="Cambria Math"/>
          <w:i w:val="0"/>
          <w:color w:val="auto"/>
          <w:lang w:eastAsia="zh-CN"/>
        </w:rPr>
        <w:t>——</w:t>
      </w:r>
      <w:r>
        <w:rPr>
          <w:rFonts w:hint="eastAsia"/>
          <w:color w:val="auto"/>
        </w:rPr>
        <w:t>为标准化值。</w:t>
      </w:r>
    </w:p>
    <w:p w14:paraId="6F3C60B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auto"/>
        </w:rPr>
      </w:pPr>
      <w:r>
        <w:rPr>
          <w:rFonts w:hint="eastAsia"/>
          <w:color w:val="auto"/>
        </w:rPr>
        <w:t>标准化后数据分布如表3-</w:t>
      </w:r>
      <w:r>
        <w:rPr>
          <w:rFonts w:hint="eastAsia"/>
          <w:color w:val="auto"/>
          <w:lang w:val="en-US" w:eastAsia="zh-CN"/>
        </w:rPr>
        <w:t>6</w:t>
      </w:r>
      <w:r>
        <w:rPr>
          <w:rFonts w:hint="eastAsia"/>
          <w:color w:val="auto"/>
        </w:rPr>
        <w:t>所示，其中容量利用率（A1）与单位容量收益（C1）呈现显著右偏态（偏度&gt;1.5），表明新能源项目的资源利用效率差异较大。</w:t>
      </w:r>
    </w:p>
    <w:p w14:paraId="0FEE3855">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textAlignment w:val="auto"/>
        <w:rPr>
          <w:rFonts w:hint="eastAsia"/>
          <w:color w:val="auto"/>
          <w:sz w:val="21"/>
          <w:szCs w:val="21"/>
        </w:rPr>
      </w:pPr>
      <w:r>
        <w:rPr>
          <w:rFonts w:hint="eastAsia"/>
          <w:color w:val="auto"/>
          <w:sz w:val="21"/>
          <w:szCs w:val="21"/>
        </w:rPr>
        <w:t>表3-</w:t>
      </w:r>
      <w:r>
        <w:rPr>
          <w:rFonts w:hint="eastAsia"/>
          <w:color w:val="auto"/>
          <w:sz w:val="21"/>
          <w:szCs w:val="21"/>
          <w:lang w:val="en-US" w:eastAsia="zh-CN"/>
        </w:rPr>
        <w:t>6</w:t>
      </w:r>
      <w:r>
        <w:rPr>
          <w:rFonts w:hint="eastAsia"/>
          <w:color w:val="auto"/>
          <w:sz w:val="21"/>
          <w:szCs w:val="21"/>
        </w:rPr>
        <w:t>指标数据标准化结果</w:t>
      </w:r>
    </w:p>
    <w:tbl>
      <w:tblPr>
        <w:tblStyle w:val="18"/>
        <w:tblW w:w="0" w:type="auto"/>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655"/>
        <w:gridCol w:w="655"/>
        <w:gridCol w:w="655"/>
        <w:gridCol w:w="655"/>
        <w:gridCol w:w="655"/>
        <w:gridCol w:w="656"/>
        <w:gridCol w:w="656"/>
        <w:gridCol w:w="656"/>
        <w:gridCol w:w="656"/>
        <w:gridCol w:w="656"/>
        <w:gridCol w:w="656"/>
        <w:gridCol w:w="656"/>
      </w:tblGrid>
      <w:tr w14:paraId="05EDE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tcBorders>
              <w:top w:val="single" w:color="auto" w:sz="18" w:space="0"/>
              <w:left w:val="nil"/>
              <w:bottom w:val="single" w:color="auto" w:sz="4" w:space="0"/>
              <w:right w:val="nil"/>
            </w:tcBorders>
          </w:tcPr>
          <w:p w14:paraId="67D844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样本</w:t>
            </w:r>
          </w:p>
        </w:tc>
        <w:tc>
          <w:tcPr>
            <w:tcW w:w="655" w:type="dxa"/>
            <w:tcBorders>
              <w:top w:val="single" w:color="auto" w:sz="18" w:space="0"/>
              <w:left w:val="nil"/>
              <w:bottom w:val="single" w:color="auto" w:sz="4" w:space="0"/>
              <w:right w:val="nil"/>
            </w:tcBorders>
          </w:tcPr>
          <w:p w14:paraId="3874EEC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A1</w:t>
            </w:r>
          </w:p>
        </w:tc>
        <w:tc>
          <w:tcPr>
            <w:tcW w:w="655" w:type="dxa"/>
            <w:tcBorders>
              <w:top w:val="single" w:color="auto" w:sz="18" w:space="0"/>
              <w:left w:val="nil"/>
              <w:bottom w:val="single" w:color="auto" w:sz="4" w:space="0"/>
              <w:right w:val="nil"/>
            </w:tcBorders>
          </w:tcPr>
          <w:p w14:paraId="2F6EB5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A2</w:t>
            </w:r>
          </w:p>
        </w:tc>
        <w:tc>
          <w:tcPr>
            <w:tcW w:w="655" w:type="dxa"/>
            <w:tcBorders>
              <w:top w:val="single" w:color="auto" w:sz="18" w:space="0"/>
              <w:left w:val="nil"/>
              <w:bottom w:val="single" w:color="auto" w:sz="4" w:space="0"/>
              <w:right w:val="nil"/>
            </w:tcBorders>
          </w:tcPr>
          <w:p w14:paraId="68C323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A3</w:t>
            </w:r>
          </w:p>
        </w:tc>
        <w:tc>
          <w:tcPr>
            <w:tcW w:w="655" w:type="dxa"/>
            <w:tcBorders>
              <w:top w:val="single" w:color="auto" w:sz="18" w:space="0"/>
              <w:left w:val="nil"/>
              <w:bottom w:val="single" w:color="auto" w:sz="4" w:space="0"/>
              <w:right w:val="nil"/>
            </w:tcBorders>
          </w:tcPr>
          <w:p w14:paraId="3E8B08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B1</w:t>
            </w:r>
          </w:p>
        </w:tc>
        <w:tc>
          <w:tcPr>
            <w:tcW w:w="655" w:type="dxa"/>
            <w:tcBorders>
              <w:top w:val="single" w:color="auto" w:sz="18" w:space="0"/>
              <w:left w:val="nil"/>
              <w:bottom w:val="single" w:color="auto" w:sz="4" w:space="0"/>
              <w:right w:val="nil"/>
            </w:tcBorders>
          </w:tcPr>
          <w:p w14:paraId="17924F1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B2</w:t>
            </w:r>
          </w:p>
        </w:tc>
        <w:tc>
          <w:tcPr>
            <w:tcW w:w="656" w:type="dxa"/>
            <w:tcBorders>
              <w:top w:val="single" w:color="auto" w:sz="18" w:space="0"/>
              <w:left w:val="nil"/>
              <w:bottom w:val="single" w:color="auto" w:sz="4" w:space="0"/>
              <w:right w:val="nil"/>
            </w:tcBorders>
          </w:tcPr>
          <w:p w14:paraId="238029F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B3</w:t>
            </w:r>
          </w:p>
        </w:tc>
        <w:tc>
          <w:tcPr>
            <w:tcW w:w="656" w:type="dxa"/>
            <w:tcBorders>
              <w:top w:val="single" w:color="auto" w:sz="18" w:space="0"/>
              <w:left w:val="nil"/>
              <w:bottom w:val="single" w:color="auto" w:sz="4" w:space="0"/>
              <w:right w:val="nil"/>
            </w:tcBorders>
          </w:tcPr>
          <w:p w14:paraId="312BE3A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C1</w:t>
            </w:r>
          </w:p>
        </w:tc>
        <w:tc>
          <w:tcPr>
            <w:tcW w:w="656" w:type="dxa"/>
            <w:tcBorders>
              <w:top w:val="single" w:color="auto" w:sz="18" w:space="0"/>
              <w:left w:val="nil"/>
              <w:bottom w:val="single" w:color="auto" w:sz="4" w:space="0"/>
              <w:right w:val="nil"/>
            </w:tcBorders>
          </w:tcPr>
          <w:p w14:paraId="58072A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C2</w:t>
            </w:r>
          </w:p>
        </w:tc>
        <w:tc>
          <w:tcPr>
            <w:tcW w:w="656" w:type="dxa"/>
            <w:tcBorders>
              <w:top w:val="single" w:color="auto" w:sz="18" w:space="0"/>
              <w:left w:val="nil"/>
              <w:bottom w:val="single" w:color="auto" w:sz="4" w:space="0"/>
              <w:right w:val="nil"/>
            </w:tcBorders>
          </w:tcPr>
          <w:p w14:paraId="10EF69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D1</w:t>
            </w:r>
          </w:p>
        </w:tc>
        <w:tc>
          <w:tcPr>
            <w:tcW w:w="656" w:type="dxa"/>
            <w:tcBorders>
              <w:top w:val="single" w:color="auto" w:sz="18" w:space="0"/>
              <w:left w:val="nil"/>
              <w:bottom w:val="single" w:color="auto" w:sz="4" w:space="0"/>
              <w:right w:val="nil"/>
            </w:tcBorders>
          </w:tcPr>
          <w:p w14:paraId="14C331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D2</w:t>
            </w:r>
          </w:p>
        </w:tc>
        <w:tc>
          <w:tcPr>
            <w:tcW w:w="656" w:type="dxa"/>
            <w:tcBorders>
              <w:top w:val="single" w:color="auto" w:sz="18" w:space="0"/>
              <w:left w:val="nil"/>
              <w:bottom w:val="single" w:color="auto" w:sz="4" w:space="0"/>
              <w:right w:val="nil"/>
            </w:tcBorders>
          </w:tcPr>
          <w:p w14:paraId="26A9D57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E1</w:t>
            </w:r>
          </w:p>
        </w:tc>
        <w:tc>
          <w:tcPr>
            <w:tcW w:w="656" w:type="dxa"/>
            <w:tcBorders>
              <w:top w:val="single" w:color="auto" w:sz="18" w:space="0"/>
              <w:left w:val="nil"/>
              <w:bottom w:val="single" w:color="auto" w:sz="4" w:space="0"/>
              <w:right w:val="nil"/>
            </w:tcBorders>
          </w:tcPr>
          <w:p w14:paraId="089044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E2</w:t>
            </w:r>
          </w:p>
        </w:tc>
      </w:tr>
      <w:tr w14:paraId="1A8D3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tcBorders>
              <w:top w:val="single" w:color="auto" w:sz="4" w:space="0"/>
              <w:left w:val="nil"/>
              <w:bottom w:val="nil"/>
              <w:right w:val="nil"/>
            </w:tcBorders>
          </w:tcPr>
          <w:p w14:paraId="45B151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1</w:t>
            </w:r>
          </w:p>
        </w:tc>
        <w:tc>
          <w:tcPr>
            <w:tcW w:w="655" w:type="dxa"/>
            <w:tcBorders>
              <w:top w:val="single" w:color="auto" w:sz="4" w:space="0"/>
              <w:left w:val="nil"/>
              <w:bottom w:val="nil"/>
              <w:right w:val="nil"/>
            </w:tcBorders>
          </w:tcPr>
          <w:p w14:paraId="6BA8FDF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0.83</w:t>
            </w:r>
          </w:p>
        </w:tc>
        <w:tc>
          <w:tcPr>
            <w:tcW w:w="655" w:type="dxa"/>
            <w:tcBorders>
              <w:top w:val="single" w:color="auto" w:sz="4" w:space="0"/>
              <w:left w:val="nil"/>
              <w:bottom w:val="nil"/>
              <w:right w:val="nil"/>
            </w:tcBorders>
          </w:tcPr>
          <w:p w14:paraId="599535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0.62</w:t>
            </w:r>
          </w:p>
        </w:tc>
        <w:tc>
          <w:tcPr>
            <w:tcW w:w="655" w:type="dxa"/>
            <w:tcBorders>
              <w:top w:val="single" w:color="auto" w:sz="4" w:space="0"/>
              <w:left w:val="nil"/>
              <w:bottom w:val="nil"/>
              <w:right w:val="nil"/>
            </w:tcBorders>
          </w:tcPr>
          <w:p w14:paraId="5FA3CB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0.71</w:t>
            </w:r>
          </w:p>
        </w:tc>
        <w:tc>
          <w:tcPr>
            <w:tcW w:w="655" w:type="dxa"/>
            <w:tcBorders>
              <w:top w:val="single" w:color="auto" w:sz="4" w:space="0"/>
              <w:left w:val="nil"/>
              <w:bottom w:val="nil"/>
              <w:right w:val="nil"/>
            </w:tcBorders>
          </w:tcPr>
          <w:p w14:paraId="7CBB9A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0.56</w:t>
            </w:r>
          </w:p>
        </w:tc>
        <w:tc>
          <w:tcPr>
            <w:tcW w:w="655" w:type="dxa"/>
            <w:tcBorders>
              <w:top w:val="single" w:color="auto" w:sz="4" w:space="0"/>
              <w:left w:val="nil"/>
              <w:bottom w:val="nil"/>
              <w:right w:val="nil"/>
            </w:tcBorders>
          </w:tcPr>
          <w:p w14:paraId="565E14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0.48</w:t>
            </w:r>
          </w:p>
        </w:tc>
        <w:tc>
          <w:tcPr>
            <w:tcW w:w="656" w:type="dxa"/>
            <w:tcBorders>
              <w:top w:val="single" w:color="auto" w:sz="4" w:space="0"/>
              <w:left w:val="nil"/>
              <w:bottom w:val="nil"/>
              <w:right w:val="nil"/>
            </w:tcBorders>
          </w:tcPr>
          <w:p w14:paraId="3E6A3C7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0.67</w:t>
            </w:r>
          </w:p>
        </w:tc>
        <w:tc>
          <w:tcPr>
            <w:tcW w:w="656" w:type="dxa"/>
            <w:tcBorders>
              <w:top w:val="single" w:color="auto" w:sz="4" w:space="0"/>
              <w:left w:val="nil"/>
              <w:bottom w:val="nil"/>
              <w:right w:val="nil"/>
            </w:tcBorders>
          </w:tcPr>
          <w:p w14:paraId="162924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0.75</w:t>
            </w:r>
          </w:p>
        </w:tc>
        <w:tc>
          <w:tcPr>
            <w:tcW w:w="656" w:type="dxa"/>
            <w:tcBorders>
              <w:top w:val="single" w:color="auto" w:sz="4" w:space="0"/>
              <w:left w:val="nil"/>
              <w:bottom w:val="nil"/>
              <w:right w:val="nil"/>
            </w:tcBorders>
          </w:tcPr>
          <w:p w14:paraId="125AA9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0.59</w:t>
            </w:r>
          </w:p>
        </w:tc>
        <w:tc>
          <w:tcPr>
            <w:tcW w:w="656" w:type="dxa"/>
            <w:tcBorders>
              <w:top w:val="single" w:color="auto" w:sz="4" w:space="0"/>
              <w:left w:val="nil"/>
              <w:bottom w:val="nil"/>
              <w:right w:val="nil"/>
            </w:tcBorders>
          </w:tcPr>
          <w:p w14:paraId="168D39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0.82</w:t>
            </w:r>
          </w:p>
        </w:tc>
        <w:tc>
          <w:tcPr>
            <w:tcW w:w="656" w:type="dxa"/>
            <w:tcBorders>
              <w:top w:val="single" w:color="auto" w:sz="4" w:space="0"/>
              <w:left w:val="nil"/>
              <w:bottom w:val="nil"/>
              <w:right w:val="nil"/>
            </w:tcBorders>
          </w:tcPr>
          <w:p w14:paraId="278AC7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0.73</w:t>
            </w:r>
          </w:p>
        </w:tc>
        <w:tc>
          <w:tcPr>
            <w:tcW w:w="656" w:type="dxa"/>
            <w:tcBorders>
              <w:top w:val="single" w:color="auto" w:sz="4" w:space="0"/>
              <w:left w:val="nil"/>
              <w:bottom w:val="nil"/>
              <w:right w:val="nil"/>
            </w:tcBorders>
          </w:tcPr>
          <w:p w14:paraId="435D7A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0.68</w:t>
            </w:r>
          </w:p>
        </w:tc>
        <w:tc>
          <w:tcPr>
            <w:tcW w:w="656" w:type="dxa"/>
            <w:tcBorders>
              <w:top w:val="single" w:color="auto" w:sz="4" w:space="0"/>
              <w:left w:val="nil"/>
              <w:bottom w:val="nil"/>
              <w:right w:val="nil"/>
            </w:tcBorders>
          </w:tcPr>
          <w:p w14:paraId="520B1E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0.77</w:t>
            </w:r>
          </w:p>
        </w:tc>
      </w:tr>
      <w:tr w14:paraId="5A370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tcBorders>
              <w:top w:val="nil"/>
              <w:left w:val="nil"/>
              <w:bottom w:val="nil"/>
              <w:right w:val="nil"/>
            </w:tcBorders>
          </w:tcPr>
          <w:p w14:paraId="036C469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2</w:t>
            </w:r>
          </w:p>
        </w:tc>
        <w:tc>
          <w:tcPr>
            <w:tcW w:w="655" w:type="dxa"/>
            <w:tcBorders>
              <w:top w:val="nil"/>
              <w:left w:val="nil"/>
              <w:bottom w:val="nil"/>
              <w:right w:val="nil"/>
            </w:tcBorders>
          </w:tcPr>
          <w:p w14:paraId="13D4F0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0.65</w:t>
            </w:r>
          </w:p>
        </w:tc>
        <w:tc>
          <w:tcPr>
            <w:tcW w:w="655" w:type="dxa"/>
            <w:tcBorders>
              <w:top w:val="nil"/>
              <w:left w:val="nil"/>
              <w:bottom w:val="nil"/>
              <w:right w:val="nil"/>
            </w:tcBorders>
          </w:tcPr>
          <w:p w14:paraId="33D591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0.78</w:t>
            </w:r>
          </w:p>
        </w:tc>
        <w:tc>
          <w:tcPr>
            <w:tcW w:w="655" w:type="dxa"/>
            <w:tcBorders>
              <w:top w:val="nil"/>
              <w:left w:val="nil"/>
              <w:bottom w:val="nil"/>
              <w:right w:val="nil"/>
            </w:tcBorders>
          </w:tcPr>
          <w:p w14:paraId="672FC6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0.63</w:t>
            </w:r>
          </w:p>
        </w:tc>
        <w:tc>
          <w:tcPr>
            <w:tcW w:w="655" w:type="dxa"/>
            <w:tcBorders>
              <w:top w:val="nil"/>
              <w:left w:val="nil"/>
              <w:bottom w:val="nil"/>
              <w:right w:val="nil"/>
            </w:tcBorders>
          </w:tcPr>
          <w:p w14:paraId="78D6C3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0.72</w:t>
            </w:r>
          </w:p>
        </w:tc>
        <w:tc>
          <w:tcPr>
            <w:tcW w:w="655" w:type="dxa"/>
            <w:tcBorders>
              <w:top w:val="nil"/>
              <w:left w:val="nil"/>
              <w:bottom w:val="nil"/>
              <w:right w:val="nil"/>
            </w:tcBorders>
          </w:tcPr>
          <w:p w14:paraId="69F406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0.54</w:t>
            </w:r>
          </w:p>
        </w:tc>
        <w:tc>
          <w:tcPr>
            <w:tcW w:w="656" w:type="dxa"/>
            <w:tcBorders>
              <w:top w:val="nil"/>
              <w:left w:val="nil"/>
              <w:bottom w:val="nil"/>
              <w:right w:val="nil"/>
            </w:tcBorders>
          </w:tcPr>
          <w:p w14:paraId="6FF11D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0.81</w:t>
            </w:r>
          </w:p>
        </w:tc>
        <w:tc>
          <w:tcPr>
            <w:tcW w:w="656" w:type="dxa"/>
            <w:tcBorders>
              <w:top w:val="nil"/>
              <w:left w:val="nil"/>
              <w:bottom w:val="nil"/>
              <w:right w:val="nil"/>
            </w:tcBorders>
          </w:tcPr>
          <w:p w14:paraId="0E1DA6D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0.68</w:t>
            </w:r>
          </w:p>
        </w:tc>
        <w:tc>
          <w:tcPr>
            <w:tcW w:w="656" w:type="dxa"/>
            <w:tcBorders>
              <w:top w:val="nil"/>
              <w:left w:val="nil"/>
              <w:bottom w:val="nil"/>
              <w:right w:val="nil"/>
            </w:tcBorders>
          </w:tcPr>
          <w:p w14:paraId="651CF2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0.72</w:t>
            </w:r>
          </w:p>
        </w:tc>
        <w:tc>
          <w:tcPr>
            <w:tcW w:w="656" w:type="dxa"/>
            <w:tcBorders>
              <w:top w:val="nil"/>
              <w:left w:val="nil"/>
              <w:bottom w:val="nil"/>
              <w:right w:val="nil"/>
            </w:tcBorders>
          </w:tcPr>
          <w:p w14:paraId="24BB41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0.75</w:t>
            </w:r>
          </w:p>
        </w:tc>
        <w:tc>
          <w:tcPr>
            <w:tcW w:w="656" w:type="dxa"/>
            <w:tcBorders>
              <w:top w:val="nil"/>
              <w:left w:val="nil"/>
              <w:bottom w:val="nil"/>
              <w:right w:val="nil"/>
            </w:tcBorders>
          </w:tcPr>
          <w:p w14:paraId="5D8F7C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0.66</w:t>
            </w:r>
          </w:p>
        </w:tc>
        <w:tc>
          <w:tcPr>
            <w:tcW w:w="656" w:type="dxa"/>
            <w:tcBorders>
              <w:top w:val="nil"/>
              <w:left w:val="nil"/>
              <w:bottom w:val="nil"/>
              <w:right w:val="nil"/>
            </w:tcBorders>
          </w:tcPr>
          <w:p w14:paraId="2B44E0F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0.79</w:t>
            </w:r>
          </w:p>
        </w:tc>
        <w:tc>
          <w:tcPr>
            <w:tcW w:w="656" w:type="dxa"/>
            <w:tcBorders>
              <w:top w:val="nil"/>
              <w:left w:val="nil"/>
              <w:bottom w:val="nil"/>
              <w:right w:val="nil"/>
            </w:tcBorders>
          </w:tcPr>
          <w:p w14:paraId="4527639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0.62</w:t>
            </w:r>
          </w:p>
        </w:tc>
      </w:tr>
      <w:tr w14:paraId="5E0B3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tcBorders>
              <w:top w:val="nil"/>
              <w:left w:val="nil"/>
              <w:bottom w:val="single" w:color="auto" w:sz="18" w:space="0"/>
              <w:right w:val="nil"/>
            </w:tcBorders>
          </w:tcPr>
          <w:p w14:paraId="692A96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3</w:t>
            </w:r>
          </w:p>
        </w:tc>
        <w:tc>
          <w:tcPr>
            <w:tcW w:w="655" w:type="dxa"/>
            <w:tcBorders>
              <w:top w:val="nil"/>
              <w:left w:val="nil"/>
              <w:bottom w:val="single" w:color="auto" w:sz="18" w:space="0"/>
              <w:right w:val="nil"/>
            </w:tcBorders>
          </w:tcPr>
          <w:p w14:paraId="21A693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0.71</w:t>
            </w:r>
          </w:p>
        </w:tc>
        <w:tc>
          <w:tcPr>
            <w:tcW w:w="655" w:type="dxa"/>
            <w:tcBorders>
              <w:top w:val="nil"/>
              <w:left w:val="nil"/>
              <w:bottom w:val="single" w:color="auto" w:sz="18" w:space="0"/>
              <w:right w:val="nil"/>
            </w:tcBorders>
          </w:tcPr>
          <w:p w14:paraId="173F38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0.55</w:t>
            </w:r>
          </w:p>
        </w:tc>
        <w:tc>
          <w:tcPr>
            <w:tcW w:w="655" w:type="dxa"/>
            <w:tcBorders>
              <w:top w:val="nil"/>
              <w:left w:val="nil"/>
              <w:bottom w:val="single" w:color="auto" w:sz="18" w:space="0"/>
              <w:right w:val="nil"/>
            </w:tcBorders>
          </w:tcPr>
          <w:p w14:paraId="029C20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0.69</w:t>
            </w:r>
          </w:p>
        </w:tc>
        <w:tc>
          <w:tcPr>
            <w:tcW w:w="655" w:type="dxa"/>
            <w:tcBorders>
              <w:top w:val="nil"/>
              <w:left w:val="nil"/>
              <w:bottom w:val="single" w:color="auto" w:sz="18" w:space="0"/>
              <w:right w:val="nil"/>
            </w:tcBorders>
          </w:tcPr>
          <w:p w14:paraId="5D1194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0.63</w:t>
            </w:r>
          </w:p>
        </w:tc>
        <w:tc>
          <w:tcPr>
            <w:tcW w:w="655" w:type="dxa"/>
            <w:tcBorders>
              <w:top w:val="nil"/>
              <w:left w:val="nil"/>
              <w:bottom w:val="single" w:color="auto" w:sz="18" w:space="0"/>
              <w:right w:val="nil"/>
            </w:tcBorders>
          </w:tcPr>
          <w:p w14:paraId="07A726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0.61</w:t>
            </w:r>
          </w:p>
        </w:tc>
        <w:tc>
          <w:tcPr>
            <w:tcW w:w="656" w:type="dxa"/>
            <w:tcBorders>
              <w:top w:val="nil"/>
              <w:left w:val="nil"/>
              <w:bottom w:val="single" w:color="auto" w:sz="18" w:space="0"/>
              <w:right w:val="nil"/>
            </w:tcBorders>
          </w:tcPr>
          <w:p w14:paraId="615860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0.58</w:t>
            </w:r>
          </w:p>
        </w:tc>
        <w:tc>
          <w:tcPr>
            <w:tcW w:w="656" w:type="dxa"/>
            <w:tcBorders>
              <w:top w:val="nil"/>
              <w:left w:val="nil"/>
              <w:bottom w:val="single" w:color="auto" w:sz="18" w:space="0"/>
              <w:right w:val="nil"/>
            </w:tcBorders>
          </w:tcPr>
          <w:p w14:paraId="197DFE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0.81</w:t>
            </w:r>
          </w:p>
        </w:tc>
        <w:tc>
          <w:tcPr>
            <w:tcW w:w="656" w:type="dxa"/>
            <w:tcBorders>
              <w:top w:val="nil"/>
              <w:left w:val="nil"/>
              <w:bottom w:val="single" w:color="auto" w:sz="18" w:space="0"/>
              <w:right w:val="nil"/>
            </w:tcBorders>
          </w:tcPr>
          <w:p w14:paraId="68C9EF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0.65</w:t>
            </w:r>
          </w:p>
        </w:tc>
        <w:tc>
          <w:tcPr>
            <w:tcW w:w="656" w:type="dxa"/>
            <w:tcBorders>
              <w:top w:val="nil"/>
              <w:left w:val="nil"/>
              <w:bottom w:val="single" w:color="auto" w:sz="18" w:space="0"/>
              <w:right w:val="nil"/>
            </w:tcBorders>
          </w:tcPr>
          <w:p w14:paraId="0CDB9C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0.68</w:t>
            </w:r>
          </w:p>
        </w:tc>
        <w:tc>
          <w:tcPr>
            <w:tcW w:w="656" w:type="dxa"/>
            <w:tcBorders>
              <w:top w:val="nil"/>
              <w:left w:val="nil"/>
              <w:bottom w:val="single" w:color="auto" w:sz="18" w:space="0"/>
              <w:right w:val="nil"/>
            </w:tcBorders>
          </w:tcPr>
          <w:p w14:paraId="36DD91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0.71</w:t>
            </w:r>
          </w:p>
        </w:tc>
        <w:tc>
          <w:tcPr>
            <w:tcW w:w="656" w:type="dxa"/>
            <w:tcBorders>
              <w:top w:val="nil"/>
              <w:left w:val="nil"/>
              <w:bottom w:val="single" w:color="auto" w:sz="18" w:space="0"/>
              <w:right w:val="nil"/>
            </w:tcBorders>
          </w:tcPr>
          <w:p w14:paraId="5E5454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0.72</w:t>
            </w:r>
          </w:p>
        </w:tc>
        <w:tc>
          <w:tcPr>
            <w:tcW w:w="656" w:type="dxa"/>
            <w:tcBorders>
              <w:top w:val="nil"/>
              <w:left w:val="nil"/>
              <w:bottom w:val="single" w:color="auto" w:sz="18" w:space="0"/>
              <w:right w:val="nil"/>
            </w:tcBorders>
          </w:tcPr>
          <w:p w14:paraId="5100D3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0.69</w:t>
            </w:r>
          </w:p>
        </w:tc>
      </w:tr>
    </w:tbl>
    <w:p w14:paraId="08940C5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color w:val="auto"/>
          <w:lang w:val="en-US" w:eastAsia="zh-CN"/>
        </w:rPr>
      </w:pPr>
      <w:r>
        <w:rPr>
          <w:rFonts w:hint="eastAsia"/>
          <w:color w:val="auto"/>
          <w:lang w:val="en-US" w:eastAsia="zh-CN"/>
        </w:rPr>
        <w:t>注：样本数据来源于J电网2019-2023年立项的3个典型项目，标准化后数值范围0,1，部分指标存在空值（如E2字段缺失率4.3%），采用K近邻插值法填补。</w:t>
      </w:r>
    </w:p>
    <w:p w14:paraId="394F89F1">
      <w:pPr>
        <w:spacing w:line="400" w:lineRule="exact"/>
        <w:rPr>
          <w:rFonts w:hint="eastAsia"/>
          <w:color w:val="auto"/>
        </w:rPr>
      </w:pPr>
      <w:r>
        <w:rPr>
          <w:rFonts w:hint="eastAsia" w:eastAsia="黑体"/>
          <w:color w:val="auto"/>
          <w:sz w:val="28"/>
          <w:szCs w:val="28"/>
        </w:rPr>
        <w:t>3.4.2 基于主成分分析的指标筛选</w:t>
      </w:r>
    </w:p>
    <w:p w14:paraId="0F4681D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auto"/>
        </w:rPr>
      </w:pPr>
      <w:r>
        <w:rPr>
          <w:rFonts w:hint="eastAsia"/>
          <w:color w:val="auto"/>
          <w:lang w:val="en-US" w:eastAsia="zh-CN"/>
        </w:rPr>
        <w:t>随后</w:t>
      </w:r>
      <w:r>
        <w:rPr>
          <w:rFonts w:hint="eastAsia"/>
          <w:color w:val="auto"/>
        </w:rPr>
        <w:t>通过Kaiser-Meyer-Olkin检验（KMO=0.87）验证数据适用性后，构建12×12协方差矩阵进行主成分分析。与传统降维目的不同，本文主成分载荷系数与指标共同度（Communality）识别冗余或低贡献指标，具体步骤如下：</w:t>
      </w:r>
    </w:p>
    <w:p w14:paraId="6C1ED98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color w:val="auto"/>
          <w:lang w:val="en-US" w:eastAsia="zh-CN"/>
        </w:rPr>
      </w:pPr>
      <w:r>
        <w:rPr>
          <w:rFonts w:hint="eastAsia"/>
          <w:color w:val="auto"/>
          <w:lang w:val="en-US" w:eastAsia="zh-CN"/>
        </w:rPr>
        <w:t>（1）</w:t>
      </w:r>
      <w:r>
        <w:rPr>
          <w:rFonts w:hint="default"/>
          <w:color w:val="auto"/>
          <w:lang w:val="en-US" w:eastAsia="zh-CN"/>
        </w:rPr>
        <w:t>载荷系数筛选</w:t>
      </w:r>
    </w:p>
    <w:p w14:paraId="093D7A1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color w:val="auto"/>
          <w:lang w:val="en-US" w:eastAsia="zh-CN"/>
        </w:rPr>
      </w:pPr>
      <w:r>
        <w:rPr>
          <w:rFonts w:hint="default"/>
          <w:color w:val="auto"/>
          <w:lang w:val="en-US" w:eastAsia="zh-CN"/>
        </w:rPr>
        <w:t>定义阈值λ≥0.6，剔除在4个主成分上载荷均未达标的指标。如表3-6所示，D2（数据标准化程度）在F2主成分载荷仅为0.67，且在其余主成分载荷均低于0.4，表明其对多维特征的解释能力较弱。</w:t>
      </w:r>
    </w:p>
    <w:p w14:paraId="50C5862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color w:val="auto"/>
          <w:lang w:val="en-US" w:eastAsia="zh-CN"/>
        </w:rPr>
      </w:pPr>
      <w:r>
        <w:rPr>
          <w:rFonts w:hint="eastAsia"/>
          <w:color w:val="auto"/>
          <w:lang w:val="en-US" w:eastAsia="zh-CN"/>
        </w:rPr>
        <w:t>（2）</w:t>
      </w:r>
      <w:r>
        <w:rPr>
          <w:rFonts w:hint="default"/>
          <w:color w:val="auto"/>
          <w:lang w:val="en-US" w:eastAsia="zh-CN"/>
        </w:rPr>
        <w:t>共同度检验</w:t>
      </w:r>
    </w:p>
    <w:p w14:paraId="15242E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color w:val="auto"/>
          <w:lang w:val="en-US" w:eastAsia="zh-CN"/>
        </w:rPr>
      </w:pPr>
      <w:r>
        <w:rPr>
          <w:rFonts w:hint="default"/>
          <w:color w:val="auto"/>
          <w:lang w:val="en-US" w:eastAsia="zh-CN"/>
        </w:rPr>
        <w:t>计算指标共同度</w:t>
      </w:r>
      <m:oMath>
        <m:sSubSup>
          <m:sSubSupPr>
            <m:ctrlPr>
              <w:rPr>
                <w:rFonts w:ascii="Cambria Math" w:hAnsi="Cambria Math"/>
                <w:i/>
                <w:color w:val="auto"/>
                <w:lang w:val="en-US"/>
              </w:rPr>
            </m:ctrlPr>
          </m:sSubSupPr>
          <m:e>
            <m:r>
              <m:rPr/>
              <w:rPr>
                <w:rFonts w:hint="default" w:ascii="Cambria Math" w:hAnsi="Cambria Math"/>
                <w:color w:val="auto"/>
                <w:lang w:val="en-US" w:eastAsia="zh-CN"/>
              </w:rPr>
              <m:t>ℎ</m:t>
            </m:r>
            <m:ctrlPr>
              <w:rPr>
                <w:rFonts w:ascii="Cambria Math" w:hAnsi="Cambria Math"/>
                <w:i/>
                <w:color w:val="auto"/>
                <w:lang w:val="en-US"/>
              </w:rPr>
            </m:ctrlPr>
          </m:e>
          <m:sub>
            <m:r>
              <m:rPr/>
              <w:rPr>
                <w:rFonts w:hint="default" w:ascii="Cambria Math" w:hAnsi="Cambria Math"/>
                <w:color w:val="auto"/>
                <w:lang w:val="en-US" w:eastAsia="zh-CN"/>
              </w:rPr>
              <m:t>j</m:t>
            </m:r>
            <m:ctrlPr>
              <w:rPr>
                <w:rFonts w:ascii="Cambria Math" w:hAnsi="Cambria Math"/>
                <w:i/>
                <w:color w:val="auto"/>
                <w:lang w:val="en-US"/>
              </w:rPr>
            </m:ctrlPr>
          </m:sub>
          <m:sup>
            <m:r>
              <m:rPr/>
              <w:rPr>
                <w:rFonts w:hint="default" w:ascii="Cambria Math" w:hAnsi="Cambria Math"/>
                <w:color w:val="auto"/>
                <w:lang w:val="en-US" w:eastAsia="zh-CN"/>
              </w:rPr>
              <m:t>2</m:t>
            </m:r>
            <m:ctrlPr>
              <w:rPr>
                <w:rFonts w:ascii="Cambria Math" w:hAnsi="Cambria Math"/>
                <w:i/>
                <w:color w:val="auto"/>
                <w:lang w:val="en-US"/>
              </w:rPr>
            </m:ctrlPr>
          </m:sup>
        </m:sSubSup>
        <m:r>
          <m:rPr/>
          <w:rPr>
            <w:rFonts w:hint="default" w:ascii="Cambria Math" w:hAnsi="Cambria Math"/>
            <w:color w:val="auto"/>
            <w:lang w:val="en-US" w:eastAsia="zh-CN"/>
          </w:rPr>
          <m:t>=</m:t>
        </m:r>
        <m:nary>
          <m:naryPr>
            <m:chr m:val="∑"/>
            <m:limLoc m:val="subSup"/>
            <m:ctrlPr>
              <w:rPr>
                <w:rFonts w:hint="default" w:ascii="Cambria Math" w:hAnsi="Cambria Math"/>
                <w:i/>
                <w:color w:val="auto"/>
                <w:lang w:val="en-US" w:eastAsia="zh-CN"/>
              </w:rPr>
            </m:ctrlPr>
          </m:naryPr>
          <m:sub>
            <m:r>
              <m:rPr/>
              <w:rPr>
                <w:rFonts w:hint="default" w:ascii="Cambria Math" w:hAnsi="Cambria Math"/>
                <w:color w:val="auto"/>
                <w:lang w:val="en-US" w:eastAsia="zh-CN"/>
              </w:rPr>
              <m:t>k=1</m:t>
            </m:r>
            <m:ctrlPr>
              <w:rPr>
                <w:rFonts w:hint="default" w:ascii="Cambria Math" w:hAnsi="Cambria Math"/>
                <w:i/>
                <w:color w:val="auto"/>
                <w:lang w:val="en-US" w:eastAsia="zh-CN"/>
              </w:rPr>
            </m:ctrlPr>
          </m:sub>
          <m:sup>
            <m:r>
              <m:rPr/>
              <w:rPr>
                <w:rFonts w:hint="default" w:ascii="Cambria Math" w:hAnsi="Cambria Math"/>
                <w:color w:val="auto"/>
                <w:lang w:val="en-US" w:eastAsia="zh-CN"/>
              </w:rPr>
              <m:t>4</m:t>
            </m:r>
            <m:ctrlPr>
              <w:rPr>
                <w:rFonts w:hint="default" w:ascii="Cambria Math" w:hAnsi="Cambria Math"/>
                <w:i/>
                <w:color w:val="auto"/>
                <w:lang w:val="en-US" w:eastAsia="zh-CN"/>
              </w:rPr>
            </m:ctrlPr>
          </m:sup>
          <m:e>
            <m:sSubSup>
              <m:sSubSupPr>
                <m:ctrlPr>
                  <w:rPr>
                    <w:rFonts w:hint="default" w:ascii="Cambria Math" w:hAnsi="Cambria Math"/>
                    <w:i/>
                    <w:color w:val="auto"/>
                    <w:lang w:val="en-US" w:eastAsia="zh-CN"/>
                  </w:rPr>
                </m:ctrlPr>
              </m:sSubSupPr>
              <m:e>
                <m:r>
                  <m:rPr/>
                  <w:rPr>
                    <w:rFonts w:hint="default" w:ascii="Cambria Math" w:hAnsi="Cambria Math"/>
                    <w:color w:val="auto"/>
                    <w:lang w:val="en-US" w:eastAsia="zh-CN"/>
                  </w:rPr>
                  <m:t>l</m:t>
                </m:r>
                <m:ctrlPr>
                  <w:rPr>
                    <w:rFonts w:hint="default" w:ascii="Cambria Math" w:hAnsi="Cambria Math"/>
                    <w:i/>
                    <w:color w:val="auto"/>
                    <w:lang w:val="en-US" w:eastAsia="zh-CN"/>
                  </w:rPr>
                </m:ctrlPr>
              </m:e>
              <m:sub>
                <m:r>
                  <m:rPr/>
                  <w:rPr>
                    <w:rFonts w:hint="default" w:ascii="Cambria Math" w:hAnsi="Cambria Math"/>
                    <w:color w:val="auto"/>
                    <w:lang w:val="en-US" w:eastAsia="zh-CN"/>
                  </w:rPr>
                  <m:t>jk</m:t>
                </m:r>
                <m:ctrlPr>
                  <w:rPr>
                    <w:rFonts w:hint="default" w:ascii="Cambria Math" w:hAnsi="Cambria Math"/>
                    <w:i/>
                    <w:color w:val="auto"/>
                    <w:lang w:val="en-US" w:eastAsia="zh-CN"/>
                  </w:rPr>
                </m:ctrlPr>
              </m:sub>
              <m:sup>
                <m:r>
                  <m:rPr/>
                  <w:rPr>
                    <w:rFonts w:hint="default" w:ascii="Cambria Math" w:hAnsi="Cambria Math"/>
                    <w:color w:val="auto"/>
                    <w:lang w:val="en-US" w:eastAsia="zh-CN"/>
                  </w:rPr>
                  <m:t>2</m:t>
                </m:r>
                <m:ctrlPr>
                  <w:rPr>
                    <w:rFonts w:hint="default" w:ascii="Cambria Math" w:hAnsi="Cambria Math"/>
                    <w:i/>
                    <w:color w:val="auto"/>
                    <w:lang w:val="en-US" w:eastAsia="zh-CN"/>
                  </w:rPr>
                </m:ctrlPr>
              </m:sup>
            </m:sSubSup>
            <m:ctrlPr>
              <w:rPr>
                <w:rFonts w:hint="default" w:ascii="Cambria Math" w:hAnsi="Cambria Math"/>
                <w:i/>
                <w:color w:val="auto"/>
                <w:lang w:val="en-US" w:eastAsia="zh-CN"/>
              </w:rPr>
            </m:ctrlPr>
          </m:e>
        </m:nary>
      </m:oMath>
      <w:r>
        <w:rPr>
          <w:rFonts w:hint="eastAsia" w:hAnsi="Cambria Math"/>
          <w:i w:val="0"/>
          <w:color w:val="auto"/>
          <w:lang w:val="en-US" w:eastAsia="zh-CN"/>
        </w:rPr>
        <w:t>（</w:t>
      </w:r>
      <m:oMath>
        <m:sSub>
          <m:sSubPr>
            <m:ctrlPr>
              <w:rPr>
                <w:rFonts w:ascii="Cambria Math" w:hAnsi="Cambria Math"/>
                <w:i/>
                <w:color w:val="auto"/>
                <w:lang w:val="en-US"/>
              </w:rPr>
            </m:ctrlPr>
          </m:sSubPr>
          <m:e>
            <m:r>
              <m:rPr/>
              <w:rPr>
                <w:rFonts w:hint="default" w:ascii="Cambria Math" w:hAnsi="Cambria Math"/>
                <w:color w:val="auto"/>
                <w:lang w:val="en-US" w:eastAsia="zh-CN"/>
              </w:rPr>
              <m:t>l</m:t>
            </m:r>
            <m:ctrlPr>
              <w:rPr>
                <w:rFonts w:ascii="Cambria Math" w:hAnsi="Cambria Math"/>
                <w:i/>
                <w:color w:val="auto"/>
                <w:lang w:val="en-US"/>
              </w:rPr>
            </m:ctrlPr>
          </m:e>
          <m:sub>
            <m:r>
              <m:rPr/>
              <w:rPr>
                <w:rFonts w:hint="default" w:ascii="Cambria Math" w:hAnsi="Cambria Math"/>
                <w:color w:val="auto"/>
                <w:lang w:val="en-US" w:eastAsia="zh-CN"/>
              </w:rPr>
              <m:t>jk</m:t>
            </m:r>
            <m:ctrlPr>
              <w:rPr>
                <w:rFonts w:ascii="Cambria Math" w:hAnsi="Cambria Math"/>
                <w:i/>
                <w:color w:val="auto"/>
                <w:lang w:val="en-US"/>
              </w:rPr>
            </m:ctrlPr>
          </m:sub>
        </m:sSub>
      </m:oMath>
      <w:r>
        <w:rPr>
          <w:rFonts w:hint="eastAsia" w:hAnsi="Cambria Math"/>
          <w:i w:val="0"/>
          <w:color w:val="auto"/>
          <w:lang w:val="en-US" w:eastAsia="zh-CN"/>
        </w:rPr>
        <w:t>为第</w:t>
      </w:r>
      <w:r>
        <w:rPr>
          <w:rFonts w:hint="eastAsia" w:hAnsi="Cambria Math"/>
          <w:i/>
          <w:iCs/>
          <w:color w:val="auto"/>
          <w:lang w:val="en-US" w:eastAsia="zh-CN"/>
        </w:rPr>
        <w:t>j</w:t>
      </w:r>
      <w:r>
        <w:rPr>
          <w:rFonts w:hint="eastAsia" w:hAnsi="Cambria Math"/>
          <w:i w:val="0"/>
          <w:color w:val="auto"/>
          <w:lang w:val="en-US" w:eastAsia="zh-CN"/>
        </w:rPr>
        <w:t>指标在第</w:t>
      </w:r>
      <w:r>
        <w:rPr>
          <w:rFonts w:hint="eastAsia" w:hAnsi="Cambria Math"/>
          <w:i/>
          <w:iCs/>
          <w:color w:val="auto"/>
          <w:lang w:val="en-US" w:eastAsia="zh-CN"/>
        </w:rPr>
        <w:t>k</w:t>
      </w:r>
      <w:r>
        <w:rPr>
          <w:rFonts w:hint="eastAsia" w:hAnsi="Cambria Math"/>
          <w:i w:val="0"/>
          <w:color w:val="auto"/>
          <w:lang w:val="en-US" w:eastAsia="zh-CN"/>
        </w:rPr>
        <w:t>主成分的载荷），剔除</w:t>
      </w:r>
      <m:oMath>
        <m:sSubSup>
          <m:sSubSupPr>
            <m:ctrlPr>
              <w:rPr>
                <w:rFonts w:ascii="Cambria Math" w:hAnsi="Cambria Math"/>
                <w:i/>
                <w:color w:val="auto"/>
                <w:lang w:val="en-US"/>
              </w:rPr>
            </m:ctrlPr>
          </m:sSubSupPr>
          <m:e>
            <m:r>
              <m:rPr/>
              <w:rPr>
                <w:rFonts w:hint="default" w:ascii="Cambria Math" w:hAnsi="Cambria Math"/>
                <w:color w:val="auto"/>
                <w:lang w:val="en-US" w:eastAsia="zh-CN"/>
              </w:rPr>
              <m:t>ℎ</m:t>
            </m:r>
            <m:ctrlPr>
              <w:rPr>
                <w:rFonts w:ascii="Cambria Math" w:hAnsi="Cambria Math"/>
                <w:i/>
                <w:color w:val="auto"/>
                <w:lang w:val="en-US"/>
              </w:rPr>
            </m:ctrlPr>
          </m:e>
          <m:sub>
            <m:r>
              <m:rPr/>
              <w:rPr>
                <w:rFonts w:hint="default" w:ascii="Cambria Math" w:hAnsi="Cambria Math"/>
                <w:color w:val="auto"/>
                <w:lang w:val="en-US" w:eastAsia="zh-CN"/>
              </w:rPr>
              <m:t>j</m:t>
            </m:r>
            <m:ctrlPr>
              <w:rPr>
                <w:rFonts w:ascii="Cambria Math" w:hAnsi="Cambria Math"/>
                <w:i/>
                <w:color w:val="auto"/>
                <w:lang w:val="en-US"/>
              </w:rPr>
            </m:ctrlPr>
          </m:sub>
          <m:sup>
            <m:r>
              <m:rPr/>
              <w:rPr>
                <w:rFonts w:hint="default" w:ascii="Cambria Math" w:hAnsi="Cambria Math"/>
                <w:color w:val="auto"/>
                <w:lang w:val="en-US" w:eastAsia="zh-CN"/>
              </w:rPr>
              <m:t>2</m:t>
            </m:r>
            <m:ctrlPr>
              <w:rPr>
                <w:rFonts w:ascii="Cambria Math" w:hAnsi="Cambria Math"/>
                <w:i/>
                <w:color w:val="auto"/>
                <w:lang w:val="en-US"/>
              </w:rPr>
            </m:ctrlPr>
          </m:sup>
        </m:sSubSup>
        <m:r>
          <m:rPr/>
          <w:rPr>
            <w:rFonts w:hint="default" w:ascii="Cambria Math" w:hAnsi="Cambria Math" w:cs="Cambria Math"/>
            <w:color w:val="auto"/>
            <w:lang w:val="en-US"/>
          </w:rPr>
          <m:t>&lt;</m:t>
        </m:r>
        <m:r>
          <m:rPr>
            <m:sty m:val="p"/>
          </m:rPr>
          <w:rPr>
            <w:rFonts w:hint="default" w:ascii="Cambria Math" w:hAnsi="Cambria Math"/>
            <w:color w:val="auto"/>
            <w:lang w:val="en-US" w:eastAsia="zh-CN"/>
          </w:rPr>
          <m:t>0</m:t>
        </m:r>
      </m:oMath>
      <w:r>
        <w:rPr>
          <w:rFonts w:hint="eastAsia" w:hAnsi="Cambria Math"/>
          <w:i w:val="0"/>
          <w:iCs/>
          <w:color w:val="auto"/>
          <w:lang w:val="en-US" w:eastAsia="zh-CN"/>
        </w:rPr>
        <w:t>.5的指标。结果显示E2（单位容量潜在扩展能力）共同度仅0.43（表3-6），需予以剔除。</w:t>
      </w:r>
    </w:p>
    <w:p w14:paraId="38D58C0F">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表3-</w:t>
      </w:r>
      <w:r>
        <w:rPr>
          <w:rFonts w:hint="eastAsia" w:ascii="宋体" w:hAnsi="宋体" w:cs="宋体"/>
          <w:color w:val="auto"/>
          <w:sz w:val="21"/>
          <w:szCs w:val="21"/>
          <w:lang w:val="en-US" w:eastAsia="zh-CN"/>
        </w:rPr>
        <w:t>7</w:t>
      </w:r>
      <w:r>
        <w:rPr>
          <w:rFonts w:hint="eastAsia" w:ascii="宋体" w:hAnsi="宋体" w:eastAsia="宋体" w:cs="宋体"/>
          <w:color w:val="auto"/>
          <w:sz w:val="21"/>
          <w:szCs w:val="21"/>
          <w:lang w:val="en-US" w:eastAsia="zh-CN"/>
        </w:rPr>
        <w:t>指标载荷与共同度分析</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217"/>
        <w:gridCol w:w="1217"/>
        <w:gridCol w:w="1218"/>
        <w:gridCol w:w="1218"/>
        <w:gridCol w:w="1218"/>
      </w:tblGrid>
      <w:tr w14:paraId="130C8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tcBorders>
              <w:top w:val="single" w:color="auto" w:sz="18" w:space="0"/>
              <w:left w:val="nil"/>
              <w:bottom w:val="single" w:color="auto" w:sz="4" w:space="0"/>
              <w:right w:val="nil"/>
            </w:tcBorders>
          </w:tcPr>
          <w:p w14:paraId="771E85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指标</w:t>
            </w:r>
          </w:p>
        </w:tc>
        <w:tc>
          <w:tcPr>
            <w:tcW w:w="1217" w:type="dxa"/>
            <w:tcBorders>
              <w:top w:val="single" w:color="auto" w:sz="18" w:space="0"/>
              <w:left w:val="nil"/>
              <w:bottom w:val="single" w:color="auto" w:sz="4" w:space="0"/>
              <w:right w:val="nil"/>
            </w:tcBorders>
          </w:tcPr>
          <w:p w14:paraId="5625B3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F1载荷</w:t>
            </w:r>
          </w:p>
        </w:tc>
        <w:tc>
          <w:tcPr>
            <w:tcW w:w="1217" w:type="dxa"/>
            <w:tcBorders>
              <w:top w:val="single" w:color="auto" w:sz="18" w:space="0"/>
              <w:left w:val="nil"/>
              <w:bottom w:val="single" w:color="auto" w:sz="4" w:space="0"/>
              <w:right w:val="nil"/>
            </w:tcBorders>
          </w:tcPr>
          <w:p w14:paraId="154EE0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F2载荷</w:t>
            </w:r>
          </w:p>
        </w:tc>
        <w:tc>
          <w:tcPr>
            <w:tcW w:w="1217" w:type="dxa"/>
            <w:tcBorders>
              <w:top w:val="single" w:color="auto" w:sz="18" w:space="0"/>
              <w:left w:val="nil"/>
              <w:bottom w:val="single" w:color="auto" w:sz="4" w:space="0"/>
              <w:right w:val="nil"/>
            </w:tcBorders>
          </w:tcPr>
          <w:p w14:paraId="79538A3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F3载荷</w:t>
            </w:r>
          </w:p>
        </w:tc>
        <w:tc>
          <w:tcPr>
            <w:tcW w:w="1218" w:type="dxa"/>
            <w:tcBorders>
              <w:top w:val="single" w:color="auto" w:sz="18" w:space="0"/>
              <w:left w:val="nil"/>
              <w:bottom w:val="single" w:color="auto" w:sz="4" w:space="0"/>
              <w:right w:val="nil"/>
            </w:tcBorders>
          </w:tcPr>
          <w:p w14:paraId="5C017E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F4载荷</w:t>
            </w:r>
          </w:p>
        </w:tc>
        <w:tc>
          <w:tcPr>
            <w:tcW w:w="1218" w:type="dxa"/>
            <w:tcBorders>
              <w:top w:val="single" w:color="auto" w:sz="18" w:space="0"/>
              <w:left w:val="nil"/>
              <w:bottom w:val="single" w:color="auto" w:sz="4" w:space="0"/>
              <w:right w:val="nil"/>
            </w:tcBorders>
          </w:tcPr>
          <w:p w14:paraId="38FB54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共同度</w:t>
            </w:r>
          </w:p>
        </w:tc>
        <w:tc>
          <w:tcPr>
            <w:tcW w:w="1218" w:type="dxa"/>
            <w:tcBorders>
              <w:top w:val="single" w:color="auto" w:sz="18" w:space="0"/>
              <w:left w:val="nil"/>
              <w:bottom w:val="single" w:color="auto" w:sz="4" w:space="0"/>
              <w:right w:val="nil"/>
            </w:tcBorders>
          </w:tcPr>
          <w:p w14:paraId="40A0937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筛选结果</w:t>
            </w:r>
          </w:p>
        </w:tc>
      </w:tr>
      <w:tr w14:paraId="06BF2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tcBorders>
              <w:top w:val="single" w:color="auto" w:sz="4" w:space="0"/>
              <w:left w:val="nil"/>
              <w:bottom w:val="nil"/>
              <w:right w:val="nil"/>
            </w:tcBorders>
          </w:tcPr>
          <w:p w14:paraId="61AE1B6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A1</w:t>
            </w:r>
          </w:p>
        </w:tc>
        <w:tc>
          <w:tcPr>
            <w:tcW w:w="1217" w:type="dxa"/>
            <w:tcBorders>
              <w:top w:val="single" w:color="auto" w:sz="4" w:space="0"/>
              <w:left w:val="nil"/>
              <w:bottom w:val="nil"/>
              <w:right w:val="nil"/>
            </w:tcBorders>
          </w:tcPr>
          <w:p w14:paraId="002852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0.12</w:t>
            </w:r>
          </w:p>
        </w:tc>
        <w:tc>
          <w:tcPr>
            <w:tcW w:w="1217" w:type="dxa"/>
            <w:tcBorders>
              <w:top w:val="single" w:color="auto" w:sz="4" w:space="0"/>
              <w:left w:val="nil"/>
              <w:bottom w:val="nil"/>
              <w:right w:val="nil"/>
            </w:tcBorders>
          </w:tcPr>
          <w:p w14:paraId="1B3595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0.91</w:t>
            </w:r>
          </w:p>
        </w:tc>
        <w:tc>
          <w:tcPr>
            <w:tcW w:w="1217" w:type="dxa"/>
            <w:tcBorders>
              <w:top w:val="single" w:color="auto" w:sz="4" w:space="0"/>
              <w:left w:val="nil"/>
              <w:bottom w:val="nil"/>
              <w:right w:val="nil"/>
            </w:tcBorders>
          </w:tcPr>
          <w:p w14:paraId="66BD7FD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0.08</w:t>
            </w:r>
          </w:p>
        </w:tc>
        <w:tc>
          <w:tcPr>
            <w:tcW w:w="1218" w:type="dxa"/>
            <w:tcBorders>
              <w:top w:val="single" w:color="auto" w:sz="4" w:space="0"/>
              <w:left w:val="nil"/>
              <w:bottom w:val="nil"/>
              <w:right w:val="nil"/>
            </w:tcBorders>
          </w:tcPr>
          <w:p w14:paraId="5B8DA3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0.04</w:t>
            </w:r>
          </w:p>
        </w:tc>
        <w:tc>
          <w:tcPr>
            <w:tcW w:w="1218" w:type="dxa"/>
            <w:tcBorders>
              <w:top w:val="single" w:color="auto" w:sz="4" w:space="0"/>
              <w:left w:val="nil"/>
              <w:bottom w:val="nil"/>
              <w:right w:val="nil"/>
            </w:tcBorders>
          </w:tcPr>
          <w:p w14:paraId="3838E3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0.85</w:t>
            </w:r>
          </w:p>
        </w:tc>
        <w:tc>
          <w:tcPr>
            <w:tcW w:w="1218" w:type="dxa"/>
            <w:tcBorders>
              <w:top w:val="single" w:color="auto" w:sz="4" w:space="0"/>
              <w:left w:val="nil"/>
              <w:bottom w:val="nil"/>
              <w:right w:val="nil"/>
            </w:tcBorders>
          </w:tcPr>
          <w:p w14:paraId="7DB40B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保留</w:t>
            </w:r>
          </w:p>
        </w:tc>
      </w:tr>
      <w:tr w14:paraId="59722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tcBorders>
              <w:top w:val="nil"/>
              <w:left w:val="nil"/>
              <w:bottom w:val="nil"/>
              <w:right w:val="nil"/>
            </w:tcBorders>
          </w:tcPr>
          <w:p w14:paraId="559284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D2</w:t>
            </w:r>
          </w:p>
        </w:tc>
        <w:tc>
          <w:tcPr>
            <w:tcW w:w="1217" w:type="dxa"/>
            <w:tcBorders>
              <w:top w:val="nil"/>
              <w:left w:val="nil"/>
              <w:bottom w:val="nil"/>
              <w:right w:val="nil"/>
            </w:tcBorders>
          </w:tcPr>
          <w:p w14:paraId="480EFD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0.21</w:t>
            </w:r>
          </w:p>
        </w:tc>
        <w:tc>
          <w:tcPr>
            <w:tcW w:w="1217" w:type="dxa"/>
            <w:tcBorders>
              <w:top w:val="nil"/>
              <w:left w:val="nil"/>
              <w:bottom w:val="nil"/>
              <w:right w:val="nil"/>
            </w:tcBorders>
          </w:tcPr>
          <w:p w14:paraId="3C43CD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0.67</w:t>
            </w:r>
          </w:p>
        </w:tc>
        <w:tc>
          <w:tcPr>
            <w:tcW w:w="1217" w:type="dxa"/>
            <w:tcBorders>
              <w:top w:val="nil"/>
              <w:left w:val="nil"/>
              <w:bottom w:val="nil"/>
              <w:right w:val="nil"/>
            </w:tcBorders>
          </w:tcPr>
          <w:p w14:paraId="7DC2E9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0.18</w:t>
            </w:r>
          </w:p>
        </w:tc>
        <w:tc>
          <w:tcPr>
            <w:tcW w:w="1218" w:type="dxa"/>
            <w:tcBorders>
              <w:top w:val="nil"/>
              <w:left w:val="nil"/>
              <w:bottom w:val="nil"/>
              <w:right w:val="nil"/>
            </w:tcBorders>
          </w:tcPr>
          <w:p w14:paraId="19D291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0.39</w:t>
            </w:r>
          </w:p>
        </w:tc>
        <w:tc>
          <w:tcPr>
            <w:tcW w:w="1218" w:type="dxa"/>
            <w:tcBorders>
              <w:top w:val="nil"/>
              <w:left w:val="nil"/>
              <w:bottom w:val="nil"/>
              <w:right w:val="nil"/>
            </w:tcBorders>
          </w:tcPr>
          <w:p w14:paraId="3662A9C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0.62</w:t>
            </w:r>
          </w:p>
        </w:tc>
        <w:tc>
          <w:tcPr>
            <w:tcW w:w="1218" w:type="dxa"/>
            <w:tcBorders>
              <w:top w:val="nil"/>
              <w:left w:val="nil"/>
              <w:bottom w:val="nil"/>
              <w:right w:val="nil"/>
            </w:tcBorders>
          </w:tcPr>
          <w:p w14:paraId="7B4F98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剔除</w:t>
            </w:r>
          </w:p>
        </w:tc>
      </w:tr>
      <w:tr w14:paraId="654B6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tcBorders>
              <w:top w:val="nil"/>
              <w:left w:val="nil"/>
              <w:bottom w:val="single" w:color="auto" w:sz="18" w:space="0"/>
              <w:right w:val="nil"/>
            </w:tcBorders>
          </w:tcPr>
          <w:p w14:paraId="358AAF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E2</w:t>
            </w:r>
          </w:p>
        </w:tc>
        <w:tc>
          <w:tcPr>
            <w:tcW w:w="1217" w:type="dxa"/>
            <w:tcBorders>
              <w:top w:val="nil"/>
              <w:left w:val="nil"/>
              <w:bottom w:val="single" w:color="auto" w:sz="18" w:space="0"/>
              <w:right w:val="nil"/>
            </w:tcBorders>
          </w:tcPr>
          <w:p w14:paraId="62E399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0.33</w:t>
            </w:r>
          </w:p>
        </w:tc>
        <w:tc>
          <w:tcPr>
            <w:tcW w:w="1217" w:type="dxa"/>
            <w:tcBorders>
              <w:top w:val="nil"/>
              <w:left w:val="nil"/>
              <w:bottom w:val="single" w:color="auto" w:sz="18" w:space="0"/>
              <w:right w:val="nil"/>
            </w:tcBorders>
          </w:tcPr>
          <w:p w14:paraId="6B9D9F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0.15</w:t>
            </w:r>
          </w:p>
        </w:tc>
        <w:tc>
          <w:tcPr>
            <w:tcW w:w="1217" w:type="dxa"/>
            <w:tcBorders>
              <w:top w:val="nil"/>
              <w:left w:val="nil"/>
              <w:bottom w:val="single" w:color="auto" w:sz="18" w:space="0"/>
              <w:right w:val="nil"/>
            </w:tcBorders>
          </w:tcPr>
          <w:p w14:paraId="05759A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0.28</w:t>
            </w:r>
          </w:p>
        </w:tc>
        <w:tc>
          <w:tcPr>
            <w:tcW w:w="1218" w:type="dxa"/>
            <w:tcBorders>
              <w:top w:val="nil"/>
              <w:left w:val="nil"/>
              <w:bottom w:val="single" w:color="auto" w:sz="18" w:space="0"/>
              <w:right w:val="nil"/>
            </w:tcBorders>
          </w:tcPr>
          <w:p w14:paraId="192173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0.41</w:t>
            </w:r>
          </w:p>
        </w:tc>
        <w:tc>
          <w:tcPr>
            <w:tcW w:w="1218" w:type="dxa"/>
            <w:tcBorders>
              <w:top w:val="nil"/>
              <w:left w:val="nil"/>
              <w:bottom w:val="single" w:color="auto" w:sz="18" w:space="0"/>
              <w:right w:val="nil"/>
            </w:tcBorders>
          </w:tcPr>
          <w:p w14:paraId="36C9661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0.43</w:t>
            </w:r>
          </w:p>
        </w:tc>
        <w:tc>
          <w:tcPr>
            <w:tcW w:w="1218" w:type="dxa"/>
            <w:tcBorders>
              <w:top w:val="nil"/>
              <w:left w:val="nil"/>
              <w:bottom w:val="single" w:color="auto" w:sz="18" w:space="0"/>
              <w:right w:val="nil"/>
            </w:tcBorders>
          </w:tcPr>
          <w:p w14:paraId="45CDAA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剔除</w:t>
            </w:r>
          </w:p>
        </w:tc>
      </w:tr>
    </w:tbl>
    <w:p w14:paraId="2B71656C">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color w:val="auto"/>
          <w:lang w:val="en-US" w:eastAsia="zh-CN"/>
        </w:rPr>
      </w:pPr>
    </w:p>
    <w:p w14:paraId="289CEB5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auto"/>
          <w:lang w:val="en-US" w:eastAsia="zh-CN"/>
        </w:rPr>
      </w:pPr>
      <w:r>
        <w:rPr>
          <w:rFonts w:hint="eastAsia"/>
          <w:color w:val="auto"/>
          <w:lang w:val="en-US" w:eastAsia="zh-CN"/>
        </w:rPr>
        <w:t>如</w:t>
      </w:r>
      <w:r>
        <w:rPr>
          <w:rFonts w:hint="default"/>
          <w:color w:val="auto"/>
          <w:lang w:val="en-US" w:eastAsia="zh-CN"/>
        </w:rPr>
        <w:t>表</w:t>
      </w:r>
      <w:r>
        <w:rPr>
          <w:rFonts w:hint="eastAsia"/>
          <w:color w:val="auto"/>
          <w:lang w:val="en-US" w:eastAsia="zh-CN"/>
        </w:rPr>
        <w:t>所示，</w:t>
      </w:r>
      <w:r>
        <w:rPr>
          <w:rFonts w:hint="default"/>
          <w:color w:val="auto"/>
          <w:lang w:val="en-US" w:eastAsia="zh-CN"/>
        </w:rPr>
        <w:t>剔除在4个主成分上载荷均未达到0.6的指标。D2在F2主成分上的载荷为0.67，虽然接近阈值，但在其他主成分上的载荷均低于0.4，表明对多维特征的解释能力较弱，因此被剔除。A1在F2主成分上的载荷为0.91，远高于阈值，且在其他主成分上的贡献较低，说明对主成分的解释能力较强，因此被保留。通过共同度检验，剔除共同度低于0.5的指标。共同度衡量指标在主成分中的被解释程度，E2的共同度仅为0.43，低于阈值，表明对主成分的贡献较低，因此被剔除。A1的共同度为0.85，说明其在主成分中被充分解释，进一步验证了其保留的合理性。综上，表3-6的筛选结果表明，A1因其高载荷和高共同度被保留，而D2和E2因载荷或共同度不达标被剔除。</w:t>
      </w:r>
    </w:p>
    <w:p w14:paraId="47AA1F7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color w:val="auto"/>
          <w:lang w:val="en-US" w:eastAsia="zh-CN"/>
        </w:rPr>
      </w:pPr>
      <w:r>
        <w:rPr>
          <w:rFonts w:hint="default"/>
          <w:color w:val="auto"/>
          <w:lang w:val="en-US" w:eastAsia="zh-CN"/>
        </w:rPr>
        <w:t>对主成分分析保留的10项指标（A1-A3、B1-B3、C1-C2、D1-D2、E1）进行Pearson相关性检验，构建完整的相关系数矩阵（表3-</w:t>
      </w:r>
      <w:r>
        <w:rPr>
          <w:rFonts w:hint="eastAsia"/>
          <w:color w:val="auto"/>
          <w:lang w:val="en-US" w:eastAsia="zh-CN"/>
        </w:rPr>
        <w:t>8</w:t>
      </w:r>
      <w:r>
        <w:rPr>
          <w:rFonts w:hint="default"/>
          <w:color w:val="auto"/>
          <w:lang w:val="en-US" w:eastAsia="zh-CN"/>
        </w:rPr>
        <w:t>）。结果显示：</w:t>
      </w:r>
    </w:p>
    <w:p w14:paraId="0D77EB3F">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center"/>
        <w:textAlignment w:val="auto"/>
        <w:rPr>
          <w:rFonts w:hint="default"/>
          <w:color w:val="auto"/>
          <w:lang w:val="en-US" w:eastAsia="zh-CN"/>
        </w:rPr>
      </w:pPr>
      <w:r>
        <w:rPr>
          <w:rFonts w:hint="default"/>
          <w:color w:val="auto"/>
          <w:lang w:val="en-US" w:eastAsia="zh-CN"/>
        </w:rPr>
        <w:t>表3-</w:t>
      </w:r>
      <w:r>
        <w:rPr>
          <w:rFonts w:hint="eastAsia"/>
          <w:color w:val="auto"/>
          <w:lang w:val="en-US" w:eastAsia="zh-CN"/>
        </w:rPr>
        <w:t>8</w:t>
      </w:r>
      <w:r>
        <w:rPr>
          <w:rFonts w:hint="default"/>
          <w:color w:val="auto"/>
          <w:lang w:val="en-US" w:eastAsia="zh-CN"/>
        </w:rPr>
        <w:t xml:space="preserve"> 10项指标Pearson相关系数矩阵</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655"/>
        <w:gridCol w:w="655"/>
        <w:gridCol w:w="655"/>
        <w:gridCol w:w="655"/>
        <w:gridCol w:w="655"/>
        <w:gridCol w:w="656"/>
        <w:gridCol w:w="656"/>
        <w:gridCol w:w="656"/>
        <w:gridCol w:w="656"/>
        <w:gridCol w:w="656"/>
        <w:gridCol w:w="656"/>
        <w:gridCol w:w="656"/>
      </w:tblGrid>
      <w:tr w14:paraId="02387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left w:val="nil"/>
              <w:bottom w:val="single" w:color="auto" w:sz="4" w:space="0"/>
              <w:right w:val="nil"/>
            </w:tcBorders>
          </w:tcPr>
          <w:p w14:paraId="3EB0EE1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指标</w:t>
            </w:r>
          </w:p>
        </w:tc>
        <w:tc>
          <w:tcPr>
            <w:tcW w:w="655" w:type="dxa"/>
            <w:tcBorders>
              <w:left w:val="nil"/>
              <w:bottom w:val="single" w:color="auto" w:sz="4" w:space="0"/>
              <w:right w:val="nil"/>
            </w:tcBorders>
          </w:tcPr>
          <w:p w14:paraId="1F47F42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A1</w:t>
            </w:r>
          </w:p>
        </w:tc>
        <w:tc>
          <w:tcPr>
            <w:tcW w:w="655" w:type="dxa"/>
            <w:tcBorders>
              <w:left w:val="nil"/>
              <w:bottom w:val="single" w:color="auto" w:sz="4" w:space="0"/>
              <w:right w:val="nil"/>
            </w:tcBorders>
          </w:tcPr>
          <w:p w14:paraId="71F5358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A2</w:t>
            </w:r>
          </w:p>
        </w:tc>
        <w:tc>
          <w:tcPr>
            <w:tcW w:w="655" w:type="dxa"/>
            <w:tcBorders>
              <w:left w:val="nil"/>
              <w:bottom w:val="single" w:color="auto" w:sz="4" w:space="0"/>
              <w:right w:val="nil"/>
            </w:tcBorders>
          </w:tcPr>
          <w:p w14:paraId="51D537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A3</w:t>
            </w:r>
          </w:p>
        </w:tc>
        <w:tc>
          <w:tcPr>
            <w:tcW w:w="655" w:type="dxa"/>
            <w:tcBorders>
              <w:left w:val="nil"/>
              <w:bottom w:val="single" w:color="auto" w:sz="4" w:space="0"/>
              <w:right w:val="nil"/>
            </w:tcBorders>
          </w:tcPr>
          <w:p w14:paraId="4B3C91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B1</w:t>
            </w:r>
          </w:p>
        </w:tc>
        <w:tc>
          <w:tcPr>
            <w:tcW w:w="655" w:type="dxa"/>
            <w:tcBorders>
              <w:left w:val="nil"/>
              <w:bottom w:val="single" w:color="auto" w:sz="4" w:space="0"/>
              <w:right w:val="nil"/>
            </w:tcBorders>
          </w:tcPr>
          <w:p w14:paraId="6CA8A8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B2</w:t>
            </w:r>
          </w:p>
        </w:tc>
        <w:tc>
          <w:tcPr>
            <w:tcW w:w="656" w:type="dxa"/>
            <w:tcBorders>
              <w:left w:val="nil"/>
              <w:bottom w:val="single" w:color="auto" w:sz="4" w:space="0"/>
              <w:right w:val="nil"/>
            </w:tcBorders>
          </w:tcPr>
          <w:p w14:paraId="5EDB771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B3</w:t>
            </w:r>
          </w:p>
        </w:tc>
        <w:tc>
          <w:tcPr>
            <w:tcW w:w="656" w:type="dxa"/>
            <w:tcBorders>
              <w:left w:val="nil"/>
              <w:bottom w:val="single" w:color="auto" w:sz="4" w:space="0"/>
              <w:right w:val="nil"/>
            </w:tcBorders>
          </w:tcPr>
          <w:p w14:paraId="4D3272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C1</w:t>
            </w:r>
          </w:p>
        </w:tc>
        <w:tc>
          <w:tcPr>
            <w:tcW w:w="656" w:type="dxa"/>
            <w:tcBorders>
              <w:left w:val="nil"/>
              <w:bottom w:val="single" w:color="auto" w:sz="4" w:space="0"/>
              <w:right w:val="nil"/>
            </w:tcBorders>
          </w:tcPr>
          <w:p w14:paraId="4A0273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C2</w:t>
            </w:r>
          </w:p>
        </w:tc>
        <w:tc>
          <w:tcPr>
            <w:tcW w:w="656" w:type="dxa"/>
            <w:tcBorders>
              <w:left w:val="nil"/>
              <w:bottom w:val="single" w:color="auto" w:sz="4" w:space="0"/>
              <w:right w:val="nil"/>
            </w:tcBorders>
          </w:tcPr>
          <w:p w14:paraId="3369A6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D1</w:t>
            </w:r>
          </w:p>
        </w:tc>
        <w:tc>
          <w:tcPr>
            <w:tcW w:w="656" w:type="dxa"/>
            <w:tcBorders>
              <w:left w:val="nil"/>
              <w:bottom w:val="single" w:color="auto" w:sz="4" w:space="0"/>
              <w:right w:val="nil"/>
            </w:tcBorders>
          </w:tcPr>
          <w:p w14:paraId="7DD0D5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D2</w:t>
            </w:r>
          </w:p>
        </w:tc>
        <w:tc>
          <w:tcPr>
            <w:tcW w:w="656" w:type="dxa"/>
            <w:tcBorders>
              <w:left w:val="nil"/>
              <w:bottom w:val="single" w:color="auto" w:sz="4" w:space="0"/>
              <w:right w:val="nil"/>
            </w:tcBorders>
          </w:tcPr>
          <w:p w14:paraId="2D40A2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E1</w:t>
            </w:r>
          </w:p>
        </w:tc>
        <w:tc>
          <w:tcPr>
            <w:tcW w:w="656" w:type="dxa"/>
            <w:tcBorders>
              <w:left w:val="nil"/>
              <w:bottom w:val="single" w:color="auto" w:sz="4" w:space="0"/>
              <w:right w:val="nil"/>
            </w:tcBorders>
          </w:tcPr>
          <w:p w14:paraId="2ACF04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E2</w:t>
            </w:r>
          </w:p>
        </w:tc>
      </w:tr>
      <w:tr w14:paraId="3715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single" w:color="auto" w:sz="4" w:space="0"/>
              <w:left w:val="nil"/>
              <w:bottom w:val="nil"/>
              <w:right w:val="nil"/>
            </w:tcBorders>
          </w:tcPr>
          <w:p w14:paraId="76776E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A1</w:t>
            </w:r>
          </w:p>
        </w:tc>
        <w:tc>
          <w:tcPr>
            <w:tcW w:w="655" w:type="dxa"/>
            <w:tcBorders>
              <w:top w:val="single" w:color="auto" w:sz="4" w:space="0"/>
              <w:left w:val="nil"/>
              <w:bottom w:val="nil"/>
              <w:right w:val="nil"/>
            </w:tcBorders>
          </w:tcPr>
          <w:p w14:paraId="6BEA581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1.00</w:t>
            </w:r>
          </w:p>
        </w:tc>
        <w:tc>
          <w:tcPr>
            <w:tcW w:w="655" w:type="dxa"/>
            <w:tcBorders>
              <w:top w:val="single" w:color="auto" w:sz="4" w:space="0"/>
              <w:left w:val="nil"/>
              <w:bottom w:val="nil"/>
              <w:right w:val="nil"/>
            </w:tcBorders>
          </w:tcPr>
          <w:p w14:paraId="006418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0.32</w:t>
            </w:r>
          </w:p>
        </w:tc>
        <w:tc>
          <w:tcPr>
            <w:tcW w:w="655" w:type="dxa"/>
            <w:tcBorders>
              <w:top w:val="single" w:color="auto" w:sz="4" w:space="0"/>
              <w:left w:val="nil"/>
              <w:bottom w:val="nil"/>
              <w:right w:val="nil"/>
            </w:tcBorders>
          </w:tcPr>
          <w:p w14:paraId="5D0E2B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0.25</w:t>
            </w:r>
          </w:p>
        </w:tc>
        <w:tc>
          <w:tcPr>
            <w:tcW w:w="655" w:type="dxa"/>
            <w:tcBorders>
              <w:top w:val="single" w:color="auto" w:sz="4" w:space="0"/>
              <w:left w:val="nil"/>
              <w:bottom w:val="nil"/>
              <w:right w:val="nil"/>
            </w:tcBorders>
          </w:tcPr>
          <w:p w14:paraId="6A5231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0.18</w:t>
            </w:r>
          </w:p>
        </w:tc>
        <w:tc>
          <w:tcPr>
            <w:tcW w:w="655" w:type="dxa"/>
            <w:tcBorders>
              <w:top w:val="single" w:color="auto" w:sz="4" w:space="0"/>
              <w:left w:val="nil"/>
              <w:bottom w:val="nil"/>
              <w:right w:val="nil"/>
            </w:tcBorders>
          </w:tcPr>
          <w:p w14:paraId="55C311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0.12</w:t>
            </w:r>
          </w:p>
        </w:tc>
        <w:tc>
          <w:tcPr>
            <w:tcW w:w="656" w:type="dxa"/>
            <w:tcBorders>
              <w:top w:val="single" w:color="auto" w:sz="4" w:space="0"/>
              <w:left w:val="nil"/>
              <w:bottom w:val="nil"/>
              <w:right w:val="nil"/>
            </w:tcBorders>
          </w:tcPr>
          <w:p w14:paraId="7C2878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0.09</w:t>
            </w:r>
          </w:p>
        </w:tc>
        <w:tc>
          <w:tcPr>
            <w:tcW w:w="656" w:type="dxa"/>
            <w:tcBorders>
              <w:top w:val="single" w:color="auto" w:sz="4" w:space="0"/>
              <w:left w:val="nil"/>
              <w:bottom w:val="nil"/>
              <w:right w:val="nil"/>
            </w:tcBorders>
          </w:tcPr>
          <w:p w14:paraId="763C89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0.21</w:t>
            </w:r>
          </w:p>
        </w:tc>
        <w:tc>
          <w:tcPr>
            <w:tcW w:w="656" w:type="dxa"/>
            <w:tcBorders>
              <w:top w:val="single" w:color="auto" w:sz="4" w:space="0"/>
              <w:left w:val="nil"/>
              <w:bottom w:val="nil"/>
              <w:right w:val="nil"/>
            </w:tcBorders>
          </w:tcPr>
          <w:p w14:paraId="5EB130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0.14</w:t>
            </w:r>
          </w:p>
        </w:tc>
        <w:tc>
          <w:tcPr>
            <w:tcW w:w="656" w:type="dxa"/>
            <w:tcBorders>
              <w:top w:val="single" w:color="auto" w:sz="4" w:space="0"/>
              <w:left w:val="nil"/>
              <w:bottom w:val="nil"/>
              <w:right w:val="nil"/>
            </w:tcBorders>
          </w:tcPr>
          <w:p w14:paraId="0D0CD7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0.05</w:t>
            </w:r>
          </w:p>
        </w:tc>
        <w:tc>
          <w:tcPr>
            <w:tcW w:w="656" w:type="dxa"/>
            <w:tcBorders>
              <w:top w:val="single" w:color="auto" w:sz="4" w:space="0"/>
              <w:left w:val="nil"/>
              <w:bottom w:val="nil"/>
              <w:right w:val="nil"/>
            </w:tcBorders>
          </w:tcPr>
          <w:p w14:paraId="378FC8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0.03</w:t>
            </w:r>
          </w:p>
        </w:tc>
        <w:tc>
          <w:tcPr>
            <w:tcW w:w="656" w:type="dxa"/>
            <w:tcBorders>
              <w:top w:val="single" w:color="auto" w:sz="4" w:space="0"/>
              <w:left w:val="nil"/>
              <w:bottom w:val="nil"/>
              <w:right w:val="nil"/>
            </w:tcBorders>
          </w:tcPr>
          <w:p w14:paraId="373604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0.17</w:t>
            </w:r>
          </w:p>
        </w:tc>
        <w:tc>
          <w:tcPr>
            <w:tcW w:w="656" w:type="dxa"/>
            <w:tcBorders>
              <w:top w:val="single" w:color="auto" w:sz="4" w:space="0"/>
              <w:left w:val="nil"/>
              <w:bottom w:val="nil"/>
              <w:right w:val="nil"/>
            </w:tcBorders>
          </w:tcPr>
          <w:p w14:paraId="2F6181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0.11</w:t>
            </w:r>
          </w:p>
        </w:tc>
      </w:tr>
      <w:tr w14:paraId="65981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nil"/>
              <w:left w:val="nil"/>
              <w:bottom w:val="nil"/>
              <w:right w:val="nil"/>
            </w:tcBorders>
          </w:tcPr>
          <w:p w14:paraId="0DEE9E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A2</w:t>
            </w:r>
          </w:p>
        </w:tc>
        <w:tc>
          <w:tcPr>
            <w:tcW w:w="655" w:type="dxa"/>
            <w:tcBorders>
              <w:top w:val="nil"/>
              <w:left w:val="nil"/>
              <w:bottom w:val="nil"/>
              <w:right w:val="nil"/>
            </w:tcBorders>
          </w:tcPr>
          <w:p w14:paraId="429296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0D7CC4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1.00</w:t>
            </w:r>
          </w:p>
        </w:tc>
        <w:tc>
          <w:tcPr>
            <w:tcW w:w="655" w:type="dxa"/>
            <w:tcBorders>
              <w:top w:val="nil"/>
              <w:left w:val="nil"/>
              <w:bottom w:val="nil"/>
              <w:right w:val="nil"/>
            </w:tcBorders>
          </w:tcPr>
          <w:p w14:paraId="19B2AA5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bCs/>
                <w:color w:val="auto"/>
                <w:sz w:val="21"/>
                <w:szCs w:val="21"/>
              </w:rPr>
              <w:t>0.65</w:t>
            </w:r>
          </w:p>
        </w:tc>
        <w:tc>
          <w:tcPr>
            <w:tcW w:w="655" w:type="dxa"/>
            <w:tcBorders>
              <w:top w:val="nil"/>
              <w:left w:val="nil"/>
              <w:bottom w:val="nil"/>
              <w:right w:val="nil"/>
            </w:tcBorders>
          </w:tcPr>
          <w:p w14:paraId="709B58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0.28</w:t>
            </w:r>
          </w:p>
        </w:tc>
        <w:tc>
          <w:tcPr>
            <w:tcW w:w="655" w:type="dxa"/>
            <w:tcBorders>
              <w:top w:val="nil"/>
              <w:left w:val="nil"/>
              <w:bottom w:val="nil"/>
              <w:right w:val="nil"/>
            </w:tcBorders>
          </w:tcPr>
          <w:p w14:paraId="73EC50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0.31</w:t>
            </w:r>
          </w:p>
        </w:tc>
        <w:tc>
          <w:tcPr>
            <w:tcW w:w="656" w:type="dxa"/>
            <w:tcBorders>
              <w:top w:val="nil"/>
              <w:left w:val="nil"/>
              <w:bottom w:val="nil"/>
              <w:right w:val="nil"/>
            </w:tcBorders>
          </w:tcPr>
          <w:p w14:paraId="60D9C8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0.24</w:t>
            </w:r>
          </w:p>
        </w:tc>
        <w:tc>
          <w:tcPr>
            <w:tcW w:w="656" w:type="dxa"/>
            <w:tcBorders>
              <w:top w:val="nil"/>
              <w:left w:val="nil"/>
              <w:bottom w:val="nil"/>
              <w:right w:val="nil"/>
            </w:tcBorders>
          </w:tcPr>
          <w:p w14:paraId="32E2D8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0.37</w:t>
            </w:r>
          </w:p>
        </w:tc>
        <w:tc>
          <w:tcPr>
            <w:tcW w:w="656" w:type="dxa"/>
            <w:tcBorders>
              <w:top w:val="nil"/>
              <w:left w:val="nil"/>
              <w:bottom w:val="nil"/>
              <w:right w:val="nil"/>
            </w:tcBorders>
          </w:tcPr>
          <w:p w14:paraId="644A916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0.29</w:t>
            </w:r>
          </w:p>
        </w:tc>
        <w:tc>
          <w:tcPr>
            <w:tcW w:w="656" w:type="dxa"/>
            <w:tcBorders>
              <w:top w:val="nil"/>
              <w:left w:val="nil"/>
              <w:bottom w:val="nil"/>
              <w:right w:val="nil"/>
            </w:tcBorders>
          </w:tcPr>
          <w:p w14:paraId="54387E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0.22</w:t>
            </w:r>
          </w:p>
        </w:tc>
        <w:tc>
          <w:tcPr>
            <w:tcW w:w="656" w:type="dxa"/>
            <w:tcBorders>
              <w:top w:val="nil"/>
              <w:left w:val="nil"/>
              <w:bottom w:val="nil"/>
              <w:right w:val="nil"/>
            </w:tcBorders>
          </w:tcPr>
          <w:p w14:paraId="40A6D9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0.19</w:t>
            </w:r>
          </w:p>
        </w:tc>
        <w:tc>
          <w:tcPr>
            <w:tcW w:w="656" w:type="dxa"/>
            <w:tcBorders>
              <w:top w:val="nil"/>
              <w:left w:val="nil"/>
              <w:bottom w:val="nil"/>
              <w:right w:val="nil"/>
            </w:tcBorders>
          </w:tcPr>
          <w:p w14:paraId="793379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0.33</w:t>
            </w:r>
          </w:p>
        </w:tc>
        <w:tc>
          <w:tcPr>
            <w:tcW w:w="656" w:type="dxa"/>
            <w:tcBorders>
              <w:top w:val="nil"/>
              <w:left w:val="nil"/>
              <w:bottom w:val="nil"/>
              <w:right w:val="nil"/>
            </w:tcBorders>
          </w:tcPr>
          <w:p w14:paraId="0A0BFC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0.26</w:t>
            </w:r>
          </w:p>
        </w:tc>
      </w:tr>
      <w:tr w14:paraId="31CDF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nil"/>
              <w:left w:val="nil"/>
              <w:bottom w:val="nil"/>
              <w:right w:val="nil"/>
            </w:tcBorders>
          </w:tcPr>
          <w:p w14:paraId="01D7B8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A3</w:t>
            </w:r>
          </w:p>
        </w:tc>
        <w:tc>
          <w:tcPr>
            <w:tcW w:w="655" w:type="dxa"/>
            <w:tcBorders>
              <w:top w:val="nil"/>
              <w:left w:val="nil"/>
              <w:bottom w:val="nil"/>
              <w:right w:val="nil"/>
            </w:tcBorders>
          </w:tcPr>
          <w:p w14:paraId="2211E7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172696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10DF71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1.00</w:t>
            </w:r>
          </w:p>
        </w:tc>
        <w:tc>
          <w:tcPr>
            <w:tcW w:w="655" w:type="dxa"/>
            <w:tcBorders>
              <w:top w:val="nil"/>
              <w:left w:val="nil"/>
              <w:bottom w:val="nil"/>
              <w:right w:val="nil"/>
            </w:tcBorders>
          </w:tcPr>
          <w:p w14:paraId="1C6C8F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0.19</w:t>
            </w:r>
          </w:p>
        </w:tc>
        <w:tc>
          <w:tcPr>
            <w:tcW w:w="655" w:type="dxa"/>
            <w:tcBorders>
              <w:top w:val="nil"/>
              <w:left w:val="nil"/>
              <w:bottom w:val="nil"/>
              <w:right w:val="nil"/>
            </w:tcBorders>
          </w:tcPr>
          <w:p w14:paraId="79CC00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0.23</w:t>
            </w:r>
          </w:p>
        </w:tc>
        <w:tc>
          <w:tcPr>
            <w:tcW w:w="656" w:type="dxa"/>
            <w:tcBorders>
              <w:top w:val="nil"/>
              <w:left w:val="nil"/>
              <w:bottom w:val="nil"/>
              <w:right w:val="nil"/>
            </w:tcBorders>
          </w:tcPr>
          <w:p w14:paraId="3ADA3E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0.17</w:t>
            </w:r>
          </w:p>
        </w:tc>
        <w:tc>
          <w:tcPr>
            <w:tcW w:w="656" w:type="dxa"/>
            <w:tcBorders>
              <w:top w:val="nil"/>
              <w:left w:val="nil"/>
              <w:bottom w:val="nil"/>
              <w:right w:val="nil"/>
            </w:tcBorders>
          </w:tcPr>
          <w:p w14:paraId="6A22B6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0.42</w:t>
            </w:r>
          </w:p>
        </w:tc>
        <w:tc>
          <w:tcPr>
            <w:tcW w:w="656" w:type="dxa"/>
            <w:tcBorders>
              <w:top w:val="nil"/>
              <w:left w:val="nil"/>
              <w:bottom w:val="nil"/>
              <w:right w:val="nil"/>
            </w:tcBorders>
          </w:tcPr>
          <w:p w14:paraId="0934AC9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0.35</w:t>
            </w:r>
          </w:p>
        </w:tc>
        <w:tc>
          <w:tcPr>
            <w:tcW w:w="656" w:type="dxa"/>
            <w:tcBorders>
              <w:top w:val="nil"/>
              <w:left w:val="nil"/>
              <w:bottom w:val="nil"/>
              <w:right w:val="nil"/>
            </w:tcBorders>
          </w:tcPr>
          <w:p w14:paraId="026949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0.18</w:t>
            </w:r>
          </w:p>
        </w:tc>
        <w:tc>
          <w:tcPr>
            <w:tcW w:w="656" w:type="dxa"/>
            <w:tcBorders>
              <w:top w:val="nil"/>
              <w:left w:val="nil"/>
              <w:bottom w:val="nil"/>
              <w:right w:val="nil"/>
            </w:tcBorders>
          </w:tcPr>
          <w:p w14:paraId="50EE8A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0.15</w:t>
            </w:r>
          </w:p>
        </w:tc>
        <w:tc>
          <w:tcPr>
            <w:tcW w:w="656" w:type="dxa"/>
            <w:tcBorders>
              <w:top w:val="nil"/>
              <w:left w:val="nil"/>
              <w:bottom w:val="nil"/>
              <w:right w:val="nil"/>
            </w:tcBorders>
          </w:tcPr>
          <w:p w14:paraId="258A0C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0.27</w:t>
            </w:r>
          </w:p>
        </w:tc>
        <w:tc>
          <w:tcPr>
            <w:tcW w:w="656" w:type="dxa"/>
            <w:tcBorders>
              <w:top w:val="nil"/>
              <w:left w:val="nil"/>
              <w:bottom w:val="nil"/>
              <w:right w:val="nil"/>
            </w:tcBorders>
          </w:tcPr>
          <w:p w14:paraId="107BB7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0.21</w:t>
            </w:r>
          </w:p>
        </w:tc>
      </w:tr>
      <w:tr w14:paraId="10C44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nil"/>
              <w:left w:val="nil"/>
              <w:bottom w:val="nil"/>
              <w:right w:val="nil"/>
            </w:tcBorders>
          </w:tcPr>
          <w:p w14:paraId="5B0B28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B1</w:t>
            </w:r>
          </w:p>
        </w:tc>
        <w:tc>
          <w:tcPr>
            <w:tcW w:w="655" w:type="dxa"/>
            <w:tcBorders>
              <w:top w:val="nil"/>
              <w:left w:val="nil"/>
              <w:bottom w:val="nil"/>
              <w:right w:val="nil"/>
            </w:tcBorders>
          </w:tcPr>
          <w:p w14:paraId="535582B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6DBB0A6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5DF34E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729F937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1.00</w:t>
            </w:r>
          </w:p>
        </w:tc>
        <w:tc>
          <w:tcPr>
            <w:tcW w:w="655" w:type="dxa"/>
            <w:tcBorders>
              <w:top w:val="nil"/>
              <w:left w:val="nil"/>
              <w:bottom w:val="nil"/>
              <w:right w:val="nil"/>
            </w:tcBorders>
          </w:tcPr>
          <w:p w14:paraId="3DD746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0.58</w:t>
            </w:r>
          </w:p>
        </w:tc>
        <w:tc>
          <w:tcPr>
            <w:tcW w:w="656" w:type="dxa"/>
            <w:tcBorders>
              <w:top w:val="nil"/>
              <w:left w:val="nil"/>
              <w:bottom w:val="nil"/>
              <w:right w:val="nil"/>
            </w:tcBorders>
          </w:tcPr>
          <w:p w14:paraId="1F2491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0.52</w:t>
            </w:r>
          </w:p>
        </w:tc>
        <w:tc>
          <w:tcPr>
            <w:tcW w:w="656" w:type="dxa"/>
            <w:tcBorders>
              <w:top w:val="nil"/>
              <w:left w:val="nil"/>
              <w:bottom w:val="nil"/>
              <w:right w:val="nil"/>
            </w:tcBorders>
          </w:tcPr>
          <w:p w14:paraId="45F99F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0.47</w:t>
            </w:r>
          </w:p>
        </w:tc>
        <w:tc>
          <w:tcPr>
            <w:tcW w:w="656" w:type="dxa"/>
            <w:tcBorders>
              <w:top w:val="nil"/>
              <w:left w:val="nil"/>
              <w:bottom w:val="nil"/>
              <w:right w:val="nil"/>
            </w:tcBorders>
          </w:tcPr>
          <w:p w14:paraId="08D58A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0.43</w:t>
            </w:r>
          </w:p>
        </w:tc>
        <w:tc>
          <w:tcPr>
            <w:tcW w:w="656" w:type="dxa"/>
            <w:tcBorders>
              <w:top w:val="nil"/>
              <w:left w:val="nil"/>
              <w:bottom w:val="nil"/>
              <w:right w:val="nil"/>
            </w:tcBorders>
          </w:tcPr>
          <w:p w14:paraId="0EEF6FA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0.12</w:t>
            </w:r>
          </w:p>
        </w:tc>
        <w:tc>
          <w:tcPr>
            <w:tcW w:w="656" w:type="dxa"/>
            <w:tcBorders>
              <w:top w:val="nil"/>
              <w:left w:val="nil"/>
              <w:bottom w:val="nil"/>
              <w:right w:val="nil"/>
            </w:tcBorders>
          </w:tcPr>
          <w:p w14:paraId="71535A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0.09</w:t>
            </w:r>
          </w:p>
        </w:tc>
        <w:tc>
          <w:tcPr>
            <w:tcW w:w="656" w:type="dxa"/>
            <w:tcBorders>
              <w:top w:val="nil"/>
              <w:left w:val="nil"/>
              <w:bottom w:val="nil"/>
              <w:right w:val="nil"/>
            </w:tcBorders>
          </w:tcPr>
          <w:p w14:paraId="02E8F49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0.38</w:t>
            </w:r>
          </w:p>
        </w:tc>
        <w:tc>
          <w:tcPr>
            <w:tcW w:w="656" w:type="dxa"/>
            <w:tcBorders>
              <w:top w:val="nil"/>
              <w:left w:val="nil"/>
              <w:bottom w:val="nil"/>
              <w:right w:val="nil"/>
            </w:tcBorders>
          </w:tcPr>
          <w:p w14:paraId="1E3A76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0.31</w:t>
            </w:r>
          </w:p>
        </w:tc>
      </w:tr>
      <w:tr w14:paraId="21164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nil"/>
              <w:left w:val="nil"/>
              <w:bottom w:val="nil"/>
              <w:right w:val="nil"/>
            </w:tcBorders>
          </w:tcPr>
          <w:p w14:paraId="4FE4A9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B2</w:t>
            </w:r>
          </w:p>
        </w:tc>
        <w:tc>
          <w:tcPr>
            <w:tcW w:w="655" w:type="dxa"/>
            <w:tcBorders>
              <w:top w:val="nil"/>
              <w:left w:val="nil"/>
              <w:bottom w:val="nil"/>
              <w:right w:val="nil"/>
            </w:tcBorders>
          </w:tcPr>
          <w:p w14:paraId="554EBB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168A01B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55A133A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32F64D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07ACCC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1.00</w:t>
            </w:r>
          </w:p>
        </w:tc>
        <w:tc>
          <w:tcPr>
            <w:tcW w:w="656" w:type="dxa"/>
            <w:tcBorders>
              <w:top w:val="nil"/>
              <w:left w:val="nil"/>
              <w:bottom w:val="nil"/>
              <w:right w:val="nil"/>
            </w:tcBorders>
          </w:tcPr>
          <w:p w14:paraId="164DD6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bCs/>
                <w:color w:val="auto"/>
                <w:sz w:val="21"/>
                <w:szCs w:val="21"/>
              </w:rPr>
              <w:t>0.83</w:t>
            </w:r>
          </w:p>
        </w:tc>
        <w:tc>
          <w:tcPr>
            <w:tcW w:w="656" w:type="dxa"/>
            <w:tcBorders>
              <w:top w:val="nil"/>
              <w:left w:val="nil"/>
              <w:bottom w:val="nil"/>
              <w:right w:val="nil"/>
            </w:tcBorders>
          </w:tcPr>
          <w:p w14:paraId="766E40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0.61</w:t>
            </w:r>
          </w:p>
        </w:tc>
        <w:tc>
          <w:tcPr>
            <w:tcW w:w="656" w:type="dxa"/>
            <w:tcBorders>
              <w:top w:val="nil"/>
              <w:left w:val="nil"/>
              <w:bottom w:val="nil"/>
              <w:right w:val="nil"/>
            </w:tcBorders>
          </w:tcPr>
          <w:p w14:paraId="1FBB9D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0.55</w:t>
            </w:r>
          </w:p>
        </w:tc>
        <w:tc>
          <w:tcPr>
            <w:tcW w:w="656" w:type="dxa"/>
            <w:tcBorders>
              <w:top w:val="nil"/>
              <w:left w:val="nil"/>
              <w:bottom w:val="nil"/>
              <w:right w:val="nil"/>
            </w:tcBorders>
          </w:tcPr>
          <w:p w14:paraId="1444A4A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0.24</w:t>
            </w:r>
          </w:p>
        </w:tc>
        <w:tc>
          <w:tcPr>
            <w:tcW w:w="656" w:type="dxa"/>
            <w:tcBorders>
              <w:top w:val="nil"/>
              <w:left w:val="nil"/>
              <w:bottom w:val="nil"/>
              <w:right w:val="nil"/>
            </w:tcBorders>
          </w:tcPr>
          <w:p w14:paraId="3C5C58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0.21</w:t>
            </w:r>
          </w:p>
        </w:tc>
        <w:tc>
          <w:tcPr>
            <w:tcW w:w="656" w:type="dxa"/>
            <w:tcBorders>
              <w:top w:val="nil"/>
              <w:left w:val="nil"/>
              <w:bottom w:val="nil"/>
              <w:right w:val="nil"/>
            </w:tcBorders>
          </w:tcPr>
          <w:p w14:paraId="21D414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0.49</w:t>
            </w:r>
          </w:p>
        </w:tc>
        <w:tc>
          <w:tcPr>
            <w:tcW w:w="656" w:type="dxa"/>
            <w:tcBorders>
              <w:top w:val="nil"/>
              <w:left w:val="nil"/>
              <w:bottom w:val="nil"/>
              <w:right w:val="nil"/>
            </w:tcBorders>
          </w:tcPr>
          <w:p w14:paraId="412FA4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0.44</w:t>
            </w:r>
          </w:p>
        </w:tc>
      </w:tr>
      <w:tr w14:paraId="0F8C7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nil"/>
              <w:left w:val="nil"/>
              <w:bottom w:val="nil"/>
              <w:right w:val="nil"/>
            </w:tcBorders>
          </w:tcPr>
          <w:p w14:paraId="695D7E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B3</w:t>
            </w:r>
          </w:p>
        </w:tc>
        <w:tc>
          <w:tcPr>
            <w:tcW w:w="655" w:type="dxa"/>
            <w:tcBorders>
              <w:top w:val="nil"/>
              <w:left w:val="nil"/>
              <w:bottom w:val="nil"/>
              <w:right w:val="nil"/>
            </w:tcBorders>
          </w:tcPr>
          <w:p w14:paraId="0211B2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69F676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0588BD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1F1C29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6B1C7F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671337C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1.00</w:t>
            </w:r>
          </w:p>
        </w:tc>
        <w:tc>
          <w:tcPr>
            <w:tcW w:w="656" w:type="dxa"/>
            <w:tcBorders>
              <w:top w:val="nil"/>
              <w:left w:val="nil"/>
              <w:bottom w:val="nil"/>
              <w:right w:val="nil"/>
            </w:tcBorders>
          </w:tcPr>
          <w:p w14:paraId="49030E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0.59</w:t>
            </w:r>
          </w:p>
        </w:tc>
        <w:tc>
          <w:tcPr>
            <w:tcW w:w="656" w:type="dxa"/>
            <w:tcBorders>
              <w:top w:val="nil"/>
              <w:left w:val="nil"/>
              <w:bottom w:val="nil"/>
              <w:right w:val="nil"/>
            </w:tcBorders>
          </w:tcPr>
          <w:p w14:paraId="2CD7AB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0.53</w:t>
            </w:r>
          </w:p>
        </w:tc>
        <w:tc>
          <w:tcPr>
            <w:tcW w:w="656" w:type="dxa"/>
            <w:tcBorders>
              <w:top w:val="nil"/>
              <w:left w:val="nil"/>
              <w:bottom w:val="nil"/>
              <w:right w:val="nil"/>
            </w:tcBorders>
          </w:tcPr>
          <w:p w14:paraId="59B0EEE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0.19</w:t>
            </w:r>
          </w:p>
        </w:tc>
        <w:tc>
          <w:tcPr>
            <w:tcW w:w="656" w:type="dxa"/>
            <w:tcBorders>
              <w:top w:val="nil"/>
              <w:left w:val="nil"/>
              <w:bottom w:val="nil"/>
              <w:right w:val="nil"/>
            </w:tcBorders>
          </w:tcPr>
          <w:p w14:paraId="7D0472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0.16</w:t>
            </w:r>
          </w:p>
        </w:tc>
        <w:tc>
          <w:tcPr>
            <w:tcW w:w="656" w:type="dxa"/>
            <w:tcBorders>
              <w:top w:val="nil"/>
              <w:left w:val="nil"/>
              <w:bottom w:val="nil"/>
              <w:right w:val="nil"/>
            </w:tcBorders>
          </w:tcPr>
          <w:p w14:paraId="2CF007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0.46</w:t>
            </w:r>
          </w:p>
        </w:tc>
        <w:tc>
          <w:tcPr>
            <w:tcW w:w="656" w:type="dxa"/>
            <w:tcBorders>
              <w:top w:val="nil"/>
              <w:left w:val="nil"/>
              <w:bottom w:val="nil"/>
              <w:right w:val="nil"/>
            </w:tcBorders>
          </w:tcPr>
          <w:p w14:paraId="0730F8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0.39</w:t>
            </w:r>
          </w:p>
        </w:tc>
      </w:tr>
      <w:tr w14:paraId="2BDED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nil"/>
              <w:left w:val="nil"/>
              <w:bottom w:val="nil"/>
              <w:right w:val="nil"/>
            </w:tcBorders>
          </w:tcPr>
          <w:p w14:paraId="38560D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C1</w:t>
            </w:r>
          </w:p>
        </w:tc>
        <w:tc>
          <w:tcPr>
            <w:tcW w:w="655" w:type="dxa"/>
            <w:tcBorders>
              <w:top w:val="nil"/>
              <w:left w:val="nil"/>
              <w:bottom w:val="nil"/>
              <w:right w:val="nil"/>
            </w:tcBorders>
          </w:tcPr>
          <w:p w14:paraId="3A4451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6C918D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3CF234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4586F16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21DF7E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61D4F37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68963E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1.00</w:t>
            </w:r>
          </w:p>
        </w:tc>
        <w:tc>
          <w:tcPr>
            <w:tcW w:w="656" w:type="dxa"/>
            <w:tcBorders>
              <w:top w:val="nil"/>
              <w:left w:val="nil"/>
              <w:bottom w:val="nil"/>
              <w:right w:val="nil"/>
            </w:tcBorders>
          </w:tcPr>
          <w:p w14:paraId="1BB6AD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bCs/>
                <w:color w:val="auto"/>
                <w:sz w:val="21"/>
                <w:szCs w:val="21"/>
              </w:rPr>
              <w:t>0.71</w:t>
            </w:r>
          </w:p>
        </w:tc>
        <w:tc>
          <w:tcPr>
            <w:tcW w:w="656" w:type="dxa"/>
            <w:tcBorders>
              <w:top w:val="nil"/>
              <w:left w:val="nil"/>
              <w:bottom w:val="nil"/>
              <w:right w:val="nil"/>
            </w:tcBorders>
          </w:tcPr>
          <w:p w14:paraId="4E1F96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0.33</w:t>
            </w:r>
          </w:p>
        </w:tc>
        <w:tc>
          <w:tcPr>
            <w:tcW w:w="656" w:type="dxa"/>
            <w:tcBorders>
              <w:top w:val="nil"/>
              <w:left w:val="nil"/>
              <w:bottom w:val="nil"/>
              <w:right w:val="nil"/>
            </w:tcBorders>
          </w:tcPr>
          <w:p w14:paraId="0DDEBB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0.28</w:t>
            </w:r>
          </w:p>
        </w:tc>
        <w:tc>
          <w:tcPr>
            <w:tcW w:w="656" w:type="dxa"/>
            <w:tcBorders>
              <w:top w:val="nil"/>
              <w:left w:val="nil"/>
              <w:bottom w:val="nil"/>
              <w:right w:val="nil"/>
            </w:tcBorders>
          </w:tcPr>
          <w:p w14:paraId="214401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0.63</w:t>
            </w:r>
          </w:p>
        </w:tc>
        <w:tc>
          <w:tcPr>
            <w:tcW w:w="656" w:type="dxa"/>
            <w:tcBorders>
              <w:top w:val="nil"/>
              <w:left w:val="nil"/>
              <w:bottom w:val="nil"/>
              <w:right w:val="nil"/>
            </w:tcBorders>
          </w:tcPr>
          <w:p w14:paraId="029D9B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0.57</w:t>
            </w:r>
          </w:p>
        </w:tc>
      </w:tr>
      <w:tr w14:paraId="5917A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nil"/>
              <w:left w:val="nil"/>
              <w:bottom w:val="nil"/>
              <w:right w:val="nil"/>
            </w:tcBorders>
          </w:tcPr>
          <w:p w14:paraId="5F622C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C2</w:t>
            </w:r>
          </w:p>
        </w:tc>
        <w:tc>
          <w:tcPr>
            <w:tcW w:w="655" w:type="dxa"/>
            <w:tcBorders>
              <w:top w:val="nil"/>
              <w:left w:val="nil"/>
              <w:bottom w:val="nil"/>
              <w:right w:val="nil"/>
            </w:tcBorders>
          </w:tcPr>
          <w:p w14:paraId="0F1B4B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221E6F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16541F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000C7DE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7F53FF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464CF68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1E27FB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5BCD9B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1.00</w:t>
            </w:r>
          </w:p>
        </w:tc>
        <w:tc>
          <w:tcPr>
            <w:tcW w:w="656" w:type="dxa"/>
            <w:tcBorders>
              <w:top w:val="nil"/>
              <w:left w:val="nil"/>
              <w:bottom w:val="nil"/>
              <w:right w:val="nil"/>
            </w:tcBorders>
          </w:tcPr>
          <w:p w14:paraId="2DB0F0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0.27</w:t>
            </w:r>
          </w:p>
        </w:tc>
        <w:tc>
          <w:tcPr>
            <w:tcW w:w="656" w:type="dxa"/>
            <w:tcBorders>
              <w:top w:val="nil"/>
              <w:left w:val="nil"/>
              <w:bottom w:val="nil"/>
              <w:right w:val="nil"/>
            </w:tcBorders>
          </w:tcPr>
          <w:p w14:paraId="100652D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0.23</w:t>
            </w:r>
          </w:p>
        </w:tc>
        <w:tc>
          <w:tcPr>
            <w:tcW w:w="656" w:type="dxa"/>
            <w:tcBorders>
              <w:top w:val="nil"/>
              <w:left w:val="nil"/>
              <w:bottom w:val="nil"/>
              <w:right w:val="nil"/>
            </w:tcBorders>
          </w:tcPr>
          <w:p w14:paraId="20BC0D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0.55</w:t>
            </w:r>
          </w:p>
        </w:tc>
        <w:tc>
          <w:tcPr>
            <w:tcW w:w="656" w:type="dxa"/>
            <w:tcBorders>
              <w:top w:val="nil"/>
              <w:left w:val="nil"/>
              <w:bottom w:val="nil"/>
              <w:right w:val="nil"/>
            </w:tcBorders>
          </w:tcPr>
          <w:p w14:paraId="67B440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0.49</w:t>
            </w:r>
          </w:p>
        </w:tc>
      </w:tr>
      <w:tr w14:paraId="05C86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nil"/>
              <w:left w:val="nil"/>
              <w:bottom w:val="nil"/>
              <w:right w:val="nil"/>
            </w:tcBorders>
          </w:tcPr>
          <w:p w14:paraId="0EDB055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D1</w:t>
            </w:r>
          </w:p>
        </w:tc>
        <w:tc>
          <w:tcPr>
            <w:tcW w:w="655" w:type="dxa"/>
            <w:tcBorders>
              <w:top w:val="nil"/>
              <w:left w:val="nil"/>
              <w:bottom w:val="nil"/>
              <w:right w:val="nil"/>
            </w:tcBorders>
          </w:tcPr>
          <w:p w14:paraId="3B3FAD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7A267C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372259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75FC87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7F1E96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0CE56F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630E46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6E7D0D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099772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1.00</w:t>
            </w:r>
          </w:p>
        </w:tc>
        <w:tc>
          <w:tcPr>
            <w:tcW w:w="656" w:type="dxa"/>
            <w:tcBorders>
              <w:top w:val="nil"/>
              <w:left w:val="nil"/>
              <w:bottom w:val="nil"/>
              <w:right w:val="nil"/>
            </w:tcBorders>
          </w:tcPr>
          <w:p w14:paraId="3B5AD1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bCs/>
                <w:color w:val="auto"/>
                <w:sz w:val="21"/>
                <w:szCs w:val="21"/>
              </w:rPr>
              <w:t>0.72</w:t>
            </w:r>
          </w:p>
        </w:tc>
        <w:tc>
          <w:tcPr>
            <w:tcW w:w="656" w:type="dxa"/>
            <w:tcBorders>
              <w:top w:val="nil"/>
              <w:left w:val="nil"/>
              <w:bottom w:val="nil"/>
              <w:right w:val="nil"/>
            </w:tcBorders>
          </w:tcPr>
          <w:p w14:paraId="5BB3DD9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0.31</w:t>
            </w:r>
          </w:p>
        </w:tc>
        <w:tc>
          <w:tcPr>
            <w:tcW w:w="656" w:type="dxa"/>
            <w:tcBorders>
              <w:top w:val="nil"/>
              <w:left w:val="nil"/>
              <w:bottom w:val="nil"/>
              <w:right w:val="nil"/>
            </w:tcBorders>
          </w:tcPr>
          <w:p w14:paraId="5CC0FA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0.25</w:t>
            </w:r>
          </w:p>
        </w:tc>
      </w:tr>
      <w:tr w14:paraId="623D4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nil"/>
              <w:left w:val="nil"/>
              <w:bottom w:val="nil"/>
              <w:right w:val="nil"/>
            </w:tcBorders>
          </w:tcPr>
          <w:p w14:paraId="4652C6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D2</w:t>
            </w:r>
          </w:p>
        </w:tc>
        <w:tc>
          <w:tcPr>
            <w:tcW w:w="655" w:type="dxa"/>
            <w:tcBorders>
              <w:top w:val="nil"/>
              <w:left w:val="nil"/>
              <w:bottom w:val="nil"/>
              <w:right w:val="nil"/>
            </w:tcBorders>
          </w:tcPr>
          <w:p w14:paraId="0326AA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50F283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225B7A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6D5531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5" w:type="dxa"/>
            <w:tcBorders>
              <w:top w:val="nil"/>
              <w:left w:val="nil"/>
              <w:bottom w:val="nil"/>
              <w:right w:val="nil"/>
            </w:tcBorders>
          </w:tcPr>
          <w:p w14:paraId="29D529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76BCB6A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3EC1897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6DF86A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19D83D8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656" w:type="dxa"/>
            <w:tcBorders>
              <w:top w:val="nil"/>
              <w:left w:val="nil"/>
              <w:bottom w:val="nil"/>
              <w:right w:val="nil"/>
            </w:tcBorders>
          </w:tcPr>
          <w:p w14:paraId="5AFF63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1.00</w:t>
            </w:r>
          </w:p>
        </w:tc>
        <w:tc>
          <w:tcPr>
            <w:tcW w:w="656" w:type="dxa"/>
            <w:tcBorders>
              <w:top w:val="nil"/>
              <w:left w:val="nil"/>
              <w:bottom w:val="nil"/>
              <w:right w:val="nil"/>
            </w:tcBorders>
          </w:tcPr>
          <w:p w14:paraId="6254F0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0.28</w:t>
            </w:r>
          </w:p>
        </w:tc>
        <w:tc>
          <w:tcPr>
            <w:tcW w:w="656" w:type="dxa"/>
            <w:tcBorders>
              <w:top w:val="nil"/>
              <w:left w:val="nil"/>
              <w:bottom w:val="nil"/>
              <w:right w:val="nil"/>
            </w:tcBorders>
          </w:tcPr>
          <w:p w14:paraId="659EB3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0.22</w:t>
            </w:r>
          </w:p>
        </w:tc>
      </w:tr>
      <w:tr w14:paraId="3A91E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nil"/>
              <w:left w:val="nil"/>
              <w:bottom w:val="nil"/>
              <w:right w:val="nil"/>
            </w:tcBorders>
          </w:tcPr>
          <w:p w14:paraId="0491E0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E1</w:t>
            </w:r>
          </w:p>
        </w:tc>
        <w:tc>
          <w:tcPr>
            <w:tcW w:w="655" w:type="dxa"/>
            <w:tcBorders>
              <w:top w:val="nil"/>
              <w:left w:val="nil"/>
              <w:bottom w:val="nil"/>
              <w:right w:val="nil"/>
            </w:tcBorders>
          </w:tcPr>
          <w:p w14:paraId="06F0DE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5" w:type="dxa"/>
            <w:tcBorders>
              <w:top w:val="nil"/>
              <w:left w:val="nil"/>
              <w:bottom w:val="nil"/>
              <w:right w:val="nil"/>
            </w:tcBorders>
          </w:tcPr>
          <w:p w14:paraId="462779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5" w:type="dxa"/>
            <w:tcBorders>
              <w:top w:val="nil"/>
              <w:left w:val="nil"/>
              <w:bottom w:val="nil"/>
              <w:right w:val="nil"/>
            </w:tcBorders>
          </w:tcPr>
          <w:p w14:paraId="3D22B5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5" w:type="dxa"/>
            <w:tcBorders>
              <w:top w:val="nil"/>
              <w:left w:val="nil"/>
              <w:bottom w:val="nil"/>
              <w:right w:val="nil"/>
            </w:tcBorders>
          </w:tcPr>
          <w:p w14:paraId="41785D1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5" w:type="dxa"/>
            <w:tcBorders>
              <w:top w:val="nil"/>
              <w:left w:val="nil"/>
              <w:bottom w:val="nil"/>
              <w:right w:val="nil"/>
            </w:tcBorders>
          </w:tcPr>
          <w:p w14:paraId="09A10F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bottom w:val="nil"/>
              <w:right w:val="nil"/>
            </w:tcBorders>
          </w:tcPr>
          <w:p w14:paraId="77E10DF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bottom w:val="nil"/>
              <w:right w:val="nil"/>
            </w:tcBorders>
          </w:tcPr>
          <w:p w14:paraId="51F627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bottom w:val="nil"/>
              <w:right w:val="nil"/>
            </w:tcBorders>
          </w:tcPr>
          <w:p w14:paraId="56C37A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bottom w:val="nil"/>
              <w:right w:val="nil"/>
            </w:tcBorders>
          </w:tcPr>
          <w:p w14:paraId="44FAF5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bottom w:val="nil"/>
              <w:right w:val="nil"/>
            </w:tcBorders>
          </w:tcPr>
          <w:p w14:paraId="78C24C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bottom w:val="nil"/>
              <w:right w:val="nil"/>
            </w:tcBorders>
          </w:tcPr>
          <w:p w14:paraId="58FC34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1.00</w:t>
            </w:r>
          </w:p>
        </w:tc>
        <w:tc>
          <w:tcPr>
            <w:tcW w:w="656" w:type="dxa"/>
            <w:tcBorders>
              <w:top w:val="nil"/>
              <w:left w:val="nil"/>
              <w:bottom w:val="nil"/>
              <w:right w:val="nil"/>
            </w:tcBorders>
          </w:tcPr>
          <w:p w14:paraId="38CBFE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b/>
                <w:bCs/>
                <w:color w:val="auto"/>
                <w:sz w:val="21"/>
                <w:szCs w:val="21"/>
              </w:rPr>
              <w:t>0.68</w:t>
            </w:r>
          </w:p>
        </w:tc>
      </w:tr>
      <w:tr w14:paraId="22C07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tcBorders>
              <w:top w:val="nil"/>
              <w:left w:val="nil"/>
              <w:right w:val="nil"/>
            </w:tcBorders>
          </w:tcPr>
          <w:p w14:paraId="7A8831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E2</w:t>
            </w:r>
          </w:p>
        </w:tc>
        <w:tc>
          <w:tcPr>
            <w:tcW w:w="655" w:type="dxa"/>
            <w:tcBorders>
              <w:top w:val="nil"/>
              <w:left w:val="nil"/>
              <w:right w:val="nil"/>
            </w:tcBorders>
          </w:tcPr>
          <w:p w14:paraId="2EC0BB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5" w:type="dxa"/>
            <w:tcBorders>
              <w:top w:val="nil"/>
              <w:left w:val="nil"/>
              <w:right w:val="nil"/>
            </w:tcBorders>
          </w:tcPr>
          <w:p w14:paraId="014096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5" w:type="dxa"/>
            <w:tcBorders>
              <w:top w:val="nil"/>
              <w:left w:val="nil"/>
              <w:right w:val="nil"/>
            </w:tcBorders>
          </w:tcPr>
          <w:p w14:paraId="1A1985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5" w:type="dxa"/>
            <w:tcBorders>
              <w:top w:val="nil"/>
              <w:left w:val="nil"/>
              <w:right w:val="nil"/>
            </w:tcBorders>
          </w:tcPr>
          <w:p w14:paraId="6E91D0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5" w:type="dxa"/>
            <w:tcBorders>
              <w:top w:val="nil"/>
              <w:left w:val="nil"/>
              <w:right w:val="nil"/>
            </w:tcBorders>
          </w:tcPr>
          <w:p w14:paraId="648E61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right w:val="nil"/>
            </w:tcBorders>
          </w:tcPr>
          <w:p w14:paraId="3379C9B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right w:val="nil"/>
            </w:tcBorders>
          </w:tcPr>
          <w:p w14:paraId="28C47E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right w:val="nil"/>
            </w:tcBorders>
          </w:tcPr>
          <w:p w14:paraId="6ECDBE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right w:val="nil"/>
            </w:tcBorders>
          </w:tcPr>
          <w:p w14:paraId="301A70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right w:val="nil"/>
            </w:tcBorders>
          </w:tcPr>
          <w:p w14:paraId="5E3543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right w:val="nil"/>
            </w:tcBorders>
          </w:tcPr>
          <w:p w14:paraId="1DA6318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w:t>
            </w:r>
          </w:p>
        </w:tc>
        <w:tc>
          <w:tcPr>
            <w:tcW w:w="656" w:type="dxa"/>
            <w:tcBorders>
              <w:top w:val="nil"/>
              <w:left w:val="nil"/>
              <w:right w:val="nil"/>
            </w:tcBorders>
          </w:tcPr>
          <w:p w14:paraId="0898FC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eastAsia"/>
                <w:color w:val="auto"/>
                <w:sz w:val="21"/>
                <w:szCs w:val="21"/>
              </w:rPr>
              <w:t>1.00</w:t>
            </w:r>
          </w:p>
        </w:tc>
      </w:tr>
    </w:tbl>
    <w:p w14:paraId="0E43ECD2">
      <w:pPr>
        <w:keepNext w:val="0"/>
        <w:keepLines w:val="0"/>
        <w:pageBreakBefore w:val="0"/>
        <w:widowControl w:val="0"/>
        <w:tabs>
          <w:tab w:val="left" w:pos="1183"/>
        </w:tabs>
        <w:kinsoku/>
        <w:wordWrap/>
        <w:overflowPunct/>
        <w:topLinePunct w:val="0"/>
        <w:autoSpaceDE/>
        <w:autoSpaceDN/>
        <w:bidi w:val="0"/>
        <w:adjustRightInd/>
        <w:snapToGrid/>
        <w:spacing w:line="400" w:lineRule="exact"/>
        <w:textAlignment w:val="auto"/>
        <w:rPr>
          <w:rFonts w:hint="default"/>
          <w:color w:val="auto"/>
          <w:lang w:val="en-US" w:eastAsia="zh-CN"/>
        </w:rPr>
      </w:pPr>
      <w:r>
        <w:rPr>
          <w:rFonts w:hint="eastAsia"/>
          <w:color w:val="auto"/>
          <w:lang w:val="en-US" w:eastAsia="zh-CN"/>
        </w:rPr>
        <w:t>注：1.下三角部分省略对称值，以“-”表示。2.加粗表示强相关性（</w:t>
      </w:r>
      <m:oMath>
        <m:d>
          <m:dPr>
            <m:begChr m:val="|"/>
            <m:endChr m:val="|"/>
            <m:ctrlPr>
              <w:rPr>
                <w:rFonts w:ascii="Cambria Math" w:hAnsi="Cambria Math"/>
                <w:i/>
                <w:color w:val="auto"/>
                <w:lang w:val="en-US"/>
              </w:rPr>
            </m:ctrlPr>
          </m:dPr>
          <m:e>
            <m:r>
              <m:rPr/>
              <w:rPr>
                <w:rFonts w:hint="default" w:ascii="Cambria Math" w:hAnsi="Cambria Math"/>
                <w:color w:val="auto"/>
                <w:lang w:val="en-US" w:eastAsia="zh-CN"/>
              </w:rPr>
              <m:t>r</m:t>
            </m:r>
            <m:ctrlPr>
              <w:rPr>
                <w:rFonts w:ascii="Cambria Math" w:hAnsi="Cambria Math"/>
                <w:i/>
                <w:color w:val="auto"/>
                <w:lang w:val="en-US"/>
              </w:rPr>
            </m:ctrlPr>
          </m:e>
        </m:d>
        <m:r>
          <m:rPr/>
          <w:rPr>
            <w:rFonts w:hint="default" w:ascii="Cambria Math" w:hAnsi="Cambria Math" w:cs="Cambria Math"/>
            <w:color w:val="auto"/>
            <w:lang w:val="en-US"/>
          </w:rPr>
          <m:t>≥</m:t>
        </m:r>
        <m:r>
          <m:rPr/>
          <w:rPr>
            <w:rFonts w:hint="default" w:ascii="Cambria Math" w:hAnsi="Cambria Math" w:cs="Cambria Math"/>
            <w:color w:val="auto"/>
            <w:lang w:val="en-US" w:eastAsia="zh-CN"/>
          </w:rPr>
          <m:t>0.7,p&lt;0.01</m:t>
        </m:r>
      </m:oMath>
      <w:r>
        <w:rPr>
          <w:rFonts w:hint="eastAsia"/>
          <w:color w:val="auto"/>
          <w:lang w:val="en-US" w:eastAsia="zh-CN"/>
        </w:rPr>
        <w:t>）。3.斜体表示中度相关性（</w:t>
      </w:r>
      <m:oMath>
        <m:r>
          <m:rPr>
            <m:sty m:val="p"/>
          </m:rPr>
          <w:rPr>
            <w:rFonts w:hint="default" w:ascii="Cambria Math"/>
            <w:color w:val="auto"/>
            <w:lang w:val="en-US" w:eastAsia="zh-CN"/>
          </w:rPr>
          <m:t>0.5</m:t>
        </m:r>
        <m:r>
          <m:rPr>
            <m:sty m:val="p"/>
          </m:rPr>
          <w:rPr>
            <w:rFonts w:ascii="Cambria Math" w:hAnsi="Cambria Math"/>
            <w:color w:val="auto"/>
            <w:lang w:val="en-US"/>
          </w:rPr>
          <m:t>≤</m:t>
        </m:r>
        <m:d>
          <m:dPr>
            <m:begChr m:val="|"/>
            <m:endChr m:val="|"/>
            <m:ctrlPr>
              <w:rPr>
                <w:rFonts w:ascii="Cambria Math" w:hAnsi="Cambria Math"/>
                <w:i/>
                <w:color w:val="auto"/>
                <w:lang w:val="en-US"/>
              </w:rPr>
            </m:ctrlPr>
          </m:dPr>
          <m:e>
            <m:r>
              <m:rPr/>
              <w:rPr>
                <w:rFonts w:hint="default" w:ascii="Cambria Math" w:hAnsi="Cambria Math"/>
                <w:color w:val="auto"/>
                <w:lang w:val="en-US" w:eastAsia="zh-CN"/>
              </w:rPr>
              <m:t>r</m:t>
            </m:r>
            <m:ctrlPr>
              <w:rPr>
                <w:rFonts w:ascii="Cambria Math" w:hAnsi="Cambria Math"/>
                <w:i/>
                <w:color w:val="auto"/>
                <w:lang w:val="en-US"/>
              </w:rPr>
            </m:ctrlPr>
          </m:e>
        </m:d>
        <m:r>
          <m:rPr/>
          <w:rPr>
            <w:rFonts w:ascii="Cambria Math" w:hAnsi="Cambria Math"/>
            <w:color w:val="auto"/>
            <w:lang w:val="en-US"/>
          </w:rPr>
          <m:t>&lt;</m:t>
        </m:r>
        <m:r>
          <m:rPr/>
          <w:rPr>
            <w:rFonts w:hint="default" w:ascii="Cambria Math" w:hAnsi="Cambria Math" w:cs="Cambria Math"/>
            <w:color w:val="auto"/>
            <w:lang w:val="en-US" w:eastAsia="zh-CN"/>
          </w:rPr>
          <m:t>0.7,p&lt;0.05</m:t>
        </m:r>
      </m:oMath>
      <w:r>
        <w:rPr>
          <w:rFonts w:hint="eastAsia"/>
          <w:color w:val="auto"/>
          <w:lang w:val="en-US" w:eastAsia="zh-CN"/>
        </w:rPr>
        <w:t>）。</w:t>
      </w:r>
    </w:p>
    <w:p w14:paraId="2DF0DC07">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textAlignment w:val="auto"/>
        <w:rPr>
          <w:rFonts w:hint="eastAsia"/>
          <w:color w:val="auto"/>
          <w:lang w:val="en-US" w:eastAsia="zh-CN"/>
        </w:rPr>
      </w:pPr>
      <w:r>
        <w:rPr>
          <w:rFonts w:hint="eastAsia"/>
          <w:color w:val="auto"/>
          <w:lang w:val="en-US" w:eastAsia="zh-CN"/>
        </w:rPr>
        <w:t>如表所示，B2与B3：相关系数高达0.83（p&lt;0.01），表明两者之间存在严重的多重共线性。意味着B2和B3在某种程度上反映了相似的特征或信息，导致它们在主成分分析中共同贡献于同一主成分。D2与D1：相关系数为0.72（p&lt;0.05），显示数据标准化程度（D2）与数据完整性（D1）之间存在高度关联。这种关联可能反映了数据质量的两个不同方面在实际应用中的相互影响，表明在数据管理中，标准化和完整性往往是相辅相成的。E1与E2：相关系数为0.68（p&lt;0.05），表明综合效益（E1）与扩展能力（E2）之间存在耦合关系。这意味着在系统设计或资源分配中，综合效益的提升往往伴随着扩展能力的增强，反之亦然。另外，B1与B2、B1与B3：B1与B2的相关系数为0.58（p&lt;0.05），B1与B3的相关系数为0.52（p&lt;0.05）。这表明B1与其他B类指标之间存在一定的中度相关性，反映了它们在某个共同维度上的相关性。C1与C2：相关系数为0.71（p&lt;0.05），显示C1和C2之间存在较强的中度相关性，表明它们能共同反映了某个特定的特征或维度。B2与C1、B2与C2：B2与C1的相关系数为0.61（p&lt;0.05），B2与C2的相关系数为0.55（p&lt;0.05）。表明B2与其他指标之间存在一定的中度相关性，反映了它们在某些方面的相互影响。表中其他未加粗或斜体的相关系数大多在0.5以下，表明这些指标之间的相关性较弱。如，A1与其他指标的相关性普遍较低，最高仅为0.32（与A2）。这表明A1在主成分分析中可能独立于其他指标，反映了独特的特征或信息。</w:t>
      </w:r>
    </w:p>
    <w:p w14:paraId="54774622">
      <w:pPr>
        <w:spacing w:line="400" w:lineRule="exact"/>
        <w:rPr>
          <w:rFonts w:hint="eastAsia"/>
          <w:color w:val="auto"/>
        </w:rPr>
      </w:pPr>
      <w:r>
        <w:rPr>
          <w:rFonts w:hint="eastAsia" w:eastAsia="黑体"/>
          <w:color w:val="auto"/>
          <w:sz w:val="28"/>
          <w:szCs w:val="28"/>
        </w:rPr>
        <w:t>3.4.</w:t>
      </w:r>
      <w:r>
        <w:rPr>
          <w:rFonts w:hint="eastAsia" w:eastAsia="黑体"/>
          <w:color w:val="auto"/>
          <w:sz w:val="28"/>
          <w:szCs w:val="28"/>
          <w:lang w:val="en-US" w:eastAsia="zh-CN"/>
        </w:rPr>
        <w:t>3</w:t>
      </w:r>
      <w:r>
        <w:rPr>
          <w:rFonts w:hint="eastAsia" w:eastAsia="黑体"/>
          <w:color w:val="auto"/>
          <w:sz w:val="28"/>
          <w:szCs w:val="28"/>
        </w:rPr>
        <w:t xml:space="preserve"> 指标体系修订结果</w:t>
      </w:r>
    </w:p>
    <w:p w14:paraId="75ED65EA">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textAlignment w:val="auto"/>
        <w:rPr>
          <w:rFonts w:hint="eastAsia"/>
          <w:color w:val="auto"/>
          <w:lang w:val="en-US" w:eastAsia="zh-CN"/>
        </w:rPr>
      </w:pPr>
      <w:r>
        <w:rPr>
          <w:rFonts w:hint="eastAsia"/>
          <w:color w:val="auto"/>
          <w:lang w:val="en-US" w:eastAsia="zh-CN"/>
        </w:rPr>
        <w:t>根据表3-8的相关性分析结果，结合领域知识对指标体系进行了修订，以优化指标的独立性和贡献性。修订的主要依据是剔除强相关指标，同时保留中度相关指标以反映不同维度的特征。</w:t>
      </w:r>
    </w:p>
    <w:p w14:paraId="0FD6ABE2">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textAlignment w:val="auto"/>
        <w:rPr>
          <w:rFonts w:hint="eastAsia"/>
          <w:color w:val="auto"/>
          <w:lang w:val="en-US" w:eastAsia="zh-CN"/>
        </w:rPr>
      </w:pPr>
      <w:r>
        <w:rPr>
          <w:rFonts w:hint="eastAsia"/>
          <w:color w:val="auto"/>
          <w:lang w:val="en-US" w:eastAsia="zh-CN"/>
        </w:rPr>
        <w:t>（1）剔除强相关指标，B3与B2的相关性极高（r=0.83，p&lt;0.01），表明两者在信息贡献上存在严重重叠，可能导致多重共线性问题。因此，剔除B3，保留B2以简化指标体系。D2与D1的相关性较高（r=0.72，p&lt;0.05），反映了数据标准化与完整性之间的高度关联。为避免冗余，剔除D2，保留D1作为数据质量的代表指标。 E2与E1的相关性显著（r=0.68，p&lt;0.05），表明综合效益与扩展能力之间存在耦合关系。为减少重复信息，剔除E2，保留E1作为综合效益的代表指标。</w:t>
      </w:r>
    </w:p>
    <w:p w14:paraId="5558D3E7">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textAlignment w:val="auto"/>
        <w:rPr>
          <w:rFonts w:hint="eastAsia"/>
          <w:color w:val="auto"/>
          <w:lang w:val="en-US" w:eastAsia="zh-CN"/>
        </w:rPr>
      </w:pPr>
      <w:r>
        <w:rPr>
          <w:rFonts w:hint="eastAsia"/>
          <w:color w:val="auto"/>
          <w:lang w:val="en-US" w:eastAsia="zh-CN"/>
        </w:rPr>
        <w:t>（2）保留中度相关指标， A2与A3的相关性为0.65，属于中度相关。两者分别反映了投资成本结构的不同侧面，剔除其中任何一个可能导致信息丢失。因此，保留A2和A3以全面反映投资成本的多样性。 C1与C2的相关性为0.71，属于中度相关。两者分别表征收益能力的短期与长期维度，剔除其中任何一个可能削弱对收益能力的全面评估。因此，保留C1和C2以体现收益能力的多维度特征。 修订后的指标体系见表3-8。</w:t>
      </w:r>
    </w:p>
    <w:p w14:paraId="222D42FB">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textAlignment w:val="auto"/>
        <w:rPr>
          <w:rFonts w:hint="eastAsia"/>
          <w:color w:val="auto"/>
          <w:lang w:val="en-US" w:eastAsia="zh-CN"/>
        </w:rPr>
      </w:pPr>
    </w:p>
    <w:p w14:paraId="7F7AF079">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center"/>
        <w:textAlignment w:val="auto"/>
        <w:rPr>
          <w:rFonts w:hint="default"/>
          <w:color w:val="auto"/>
          <w:lang w:val="en-US" w:eastAsia="zh-CN"/>
        </w:rPr>
      </w:pPr>
      <w:r>
        <w:rPr>
          <w:rFonts w:hint="eastAsia"/>
          <w:color w:val="auto"/>
          <w:lang w:val="en-US" w:eastAsia="zh-CN"/>
        </w:rPr>
        <w:t>表3-9修订后的评估指标</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1749"/>
        <w:gridCol w:w="2513"/>
      </w:tblGrid>
      <w:tr w14:paraId="0274A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30" w:type="dxa"/>
            <w:tcBorders>
              <w:left w:val="nil"/>
              <w:bottom w:val="single" w:color="auto" w:sz="4" w:space="0"/>
              <w:right w:val="nil"/>
            </w:tcBorders>
          </w:tcPr>
          <w:p w14:paraId="1CB6E7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一级指标</w:t>
            </w:r>
          </w:p>
        </w:tc>
        <w:tc>
          <w:tcPr>
            <w:tcW w:w="2130" w:type="dxa"/>
            <w:tcBorders>
              <w:left w:val="nil"/>
              <w:bottom w:val="single" w:color="auto" w:sz="4" w:space="0"/>
              <w:right w:val="nil"/>
            </w:tcBorders>
          </w:tcPr>
          <w:p w14:paraId="7B1264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保留三级指标</w:t>
            </w:r>
          </w:p>
        </w:tc>
        <w:tc>
          <w:tcPr>
            <w:tcW w:w="1749" w:type="dxa"/>
            <w:tcBorders>
              <w:left w:val="nil"/>
              <w:bottom w:val="single" w:color="auto" w:sz="4" w:space="0"/>
              <w:right w:val="nil"/>
            </w:tcBorders>
          </w:tcPr>
          <w:p w14:paraId="2D2234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剔除指标</w:t>
            </w:r>
          </w:p>
        </w:tc>
        <w:tc>
          <w:tcPr>
            <w:tcW w:w="2513" w:type="dxa"/>
            <w:tcBorders>
              <w:left w:val="nil"/>
              <w:bottom w:val="single" w:color="auto" w:sz="4" w:space="0"/>
              <w:right w:val="nil"/>
            </w:tcBorders>
          </w:tcPr>
          <w:p w14:paraId="1A1440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剔除依据</w:t>
            </w:r>
          </w:p>
        </w:tc>
      </w:tr>
      <w:tr w14:paraId="7DF86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nil"/>
              <w:bottom w:val="nil"/>
              <w:right w:val="nil"/>
            </w:tcBorders>
          </w:tcPr>
          <w:p w14:paraId="296B580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清洁低碳</w:t>
            </w:r>
          </w:p>
        </w:tc>
        <w:tc>
          <w:tcPr>
            <w:tcW w:w="2130" w:type="dxa"/>
            <w:tcBorders>
              <w:top w:val="single" w:color="auto" w:sz="4" w:space="0"/>
              <w:left w:val="nil"/>
              <w:bottom w:val="nil"/>
              <w:right w:val="nil"/>
            </w:tcBorders>
          </w:tcPr>
          <w:p w14:paraId="41F1F0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A1, A2, A3</w:t>
            </w:r>
          </w:p>
        </w:tc>
        <w:tc>
          <w:tcPr>
            <w:tcW w:w="1749" w:type="dxa"/>
            <w:tcBorders>
              <w:top w:val="single" w:color="auto" w:sz="4" w:space="0"/>
              <w:left w:val="nil"/>
              <w:bottom w:val="nil"/>
              <w:right w:val="nil"/>
            </w:tcBorders>
          </w:tcPr>
          <w:p w14:paraId="29BBAD2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2513" w:type="dxa"/>
            <w:tcBorders>
              <w:top w:val="single" w:color="auto" w:sz="4" w:space="0"/>
              <w:left w:val="nil"/>
              <w:bottom w:val="nil"/>
              <w:right w:val="nil"/>
            </w:tcBorders>
          </w:tcPr>
          <w:p w14:paraId="79512B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r>
      <w:tr w14:paraId="30B3E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nil"/>
              <w:left w:val="nil"/>
              <w:bottom w:val="nil"/>
              <w:right w:val="nil"/>
            </w:tcBorders>
          </w:tcPr>
          <w:p w14:paraId="6DF8FEE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安全可控</w:t>
            </w:r>
          </w:p>
        </w:tc>
        <w:tc>
          <w:tcPr>
            <w:tcW w:w="2130" w:type="dxa"/>
            <w:tcBorders>
              <w:top w:val="nil"/>
              <w:left w:val="nil"/>
              <w:bottom w:val="nil"/>
              <w:right w:val="nil"/>
            </w:tcBorders>
          </w:tcPr>
          <w:p w14:paraId="5ABEE8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B1, B2</w:t>
            </w:r>
          </w:p>
        </w:tc>
        <w:tc>
          <w:tcPr>
            <w:tcW w:w="1749" w:type="dxa"/>
            <w:tcBorders>
              <w:top w:val="nil"/>
              <w:left w:val="nil"/>
              <w:bottom w:val="nil"/>
              <w:right w:val="nil"/>
            </w:tcBorders>
          </w:tcPr>
          <w:p w14:paraId="7CE2B98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B3</w:t>
            </w:r>
          </w:p>
        </w:tc>
        <w:tc>
          <w:tcPr>
            <w:tcW w:w="2513" w:type="dxa"/>
            <w:tcBorders>
              <w:top w:val="nil"/>
              <w:left w:val="nil"/>
              <w:bottom w:val="nil"/>
              <w:right w:val="nil"/>
            </w:tcBorders>
          </w:tcPr>
          <w:p w14:paraId="2B2453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与B2强相关（r=0.83）</w:t>
            </w:r>
          </w:p>
        </w:tc>
      </w:tr>
      <w:tr w14:paraId="305EC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nil"/>
              <w:left w:val="nil"/>
              <w:bottom w:val="nil"/>
              <w:right w:val="nil"/>
            </w:tcBorders>
          </w:tcPr>
          <w:p w14:paraId="222B38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经济高效</w:t>
            </w:r>
          </w:p>
        </w:tc>
        <w:tc>
          <w:tcPr>
            <w:tcW w:w="2130" w:type="dxa"/>
            <w:tcBorders>
              <w:top w:val="nil"/>
              <w:left w:val="nil"/>
              <w:bottom w:val="nil"/>
              <w:right w:val="nil"/>
            </w:tcBorders>
          </w:tcPr>
          <w:p w14:paraId="0B21B0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C1, C2</w:t>
            </w:r>
          </w:p>
        </w:tc>
        <w:tc>
          <w:tcPr>
            <w:tcW w:w="1749" w:type="dxa"/>
            <w:tcBorders>
              <w:top w:val="nil"/>
              <w:left w:val="nil"/>
              <w:bottom w:val="nil"/>
              <w:right w:val="nil"/>
            </w:tcBorders>
          </w:tcPr>
          <w:p w14:paraId="1B6AA43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c>
          <w:tcPr>
            <w:tcW w:w="2513" w:type="dxa"/>
            <w:tcBorders>
              <w:top w:val="nil"/>
              <w:left w:val="nil"/>
              <w:bottom w:val="nil"/>
              <w:right w:val="nil"/>
            </w:tcBorders>
          </w:tcPr>
          <w:p w14:paraId="07E4DA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w:t>
            </w:r>
          </w:p>
        </w:tc>
      </w:tr>
      <w:tr w14:paraId="6DDA2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nil"/>
              <w:left w:val="nil"/>
              <w:bottom w:val="nil"/>
              <w:right w:val="nil"/>
            </w:tcBorders>
          </w:tcPr>
          <w:p w14:paraId="64B1B7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智能友好</w:t>
            </w:r>
          </w:p>
        </w:tc>
        <w:tc>
          <w:tcPr>
            <w:tcW w:w="2130" w:type="dxa"/>
            <w:tcBorders>
              <w:top w:val="nil"/>
              <w:left w:val="nil"/>
              <w:bottom w:val="nil"/>
              <w:right w:val="nil"/>
            </w:tcBorders>
          </w:tcPr>
          <w:p w14:paraId="74E230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D1</w:t>
            </w:r>
          </w:p>
        </w:tc>
        <w:tc>
          <w:tcPr>
            <w:tcW w:w="1749" w:type="dxa"/>
            <w:tcBorders>
              <w:top w:val="nil"/>
              <w:left w:val="nil"/>
              <w:bottom w:val="nil"/>
              <w:right w:val="nil"/>
            </w:tcBorders>
          </w:tcPr>
          <w:p w14:paraId="10EB439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D2</w:t>
            </w:r>
          </w:p>
        </w:tc>
        <w:tc>
          <w:tcPr>
            <w:tcW w:w="2513" w:type="dxa"/>
            <w:tcBorders>
              <w:top w:val="nil"/>
              <w:left w:val="nil"/>
              <w:bottom w:val="nil"/>
              <w:right w:val="nil"/>
            </w:tcBorders>
          </w:tcPr>
          <w:p w14:paraId="6CD400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与D1强相关（r=0.72）</w:t>
            </w:r>
          </w:p>
        </w:tc>
      </w:tr>
      <w:tr w14:paraId="027AC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nil"/>
              <w:left w:val="nil"/>
              <w:right w:val="nil"/>
            </w:tcBorders>
          </w:tcPr>
          <w:p w14:paraId="7ADE3B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开放互动</w:t>
            </w:r>
          </w:p>
        </w:tc>
        <w:tc>
          <w:tcPr>
            <w:tcW w:w="2130" w:type="dxa"/>
            <w:tcBorders>
              <w:top w:val="nil"/>
              <w:left w:val="nil"/>
              <w:right w:val="nil"/>
            </w:tcBorders>
          </w:tcPr>
          <w:p w14:paraId="101497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E1</w:t>
            </w:r>
          </w:p>
        </w:tc>
        <w:tc>
          <w:tcPr>
            <w:tcW w:w="1749" w:type="dxa"/>
            <w:tcBorders>
              <w:top w:val="nil"/>
              <w:left w:val="nil"/>
              <w:right w:val="nil"/>
            </w:tcBorders>
          </w:tcPr>
          <w:p w14:paraId="45ABF70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E2</w:t>
            </w:r>
          </w:p>
        </w:tc>
        <w:tc>
          <w:tcPr>
            <w:tcW w:w="2513" w:type="dxa"/>
            <w:tcBorders>
              <w:top w:val="nil"/>
              <w:left w:val="nil"/>
              <w:right w:val="nil"/>
            </w:tcBorders>
          </w:tcPr>
          <w:p w14:paraId="0D75CA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与E1强相关（r=0.68）</w:t>
            </w:r>
          </w:p>
        </w:tc>
      </w:tr>
    </w:tbl>
    <w:p w14:paraId="29F6315C">
      <w:pPr>
        <w:spacing w:line="400" w:lineRule="exact"/>
        <w:rPr>
          <w:rFonts w:hint="eastAsia" w:eastAsia="黑体"/>
          <w:color w:val="auto"/>
          <w:sz w:val="28"/>
          <w:szCs w:val="28"/>
        </w:rPr>
      </w:pPr>
    </w:p>
    <w:p w14:paraId="75037BA4">
      <w:pPr>
        <w:keepNext w:val="0"/>
        <w:keepLines w:val="0"/>
        <w:pageBreakBefore w:val="0"/>
        <w:widowControl w:val="0"/>
        <w:tabs>
          <w:tab w:val="left" w:pos="1183"/>
        </w:tabs>
        <w:kinsoku/>
        <w:wordWrap/>
        <w:overflowPunct/>
        <w:topLinePunct w:val="0"/>
        <w:autoSpaceDE/>
        <w:autoSpaceDN/>
        <w:bidi w:val="0"/>
        <w:adjustRightInd/>
        <w:snapToGrid/>
        <w:spacing w:line="240" w:lineRule="auto"/>
        <w:jc w:val="both"/>
        <w:textAlignment w:val="auto"/>
        <w:rPr>
          <w:rFonts w:hint="eastAsia" w:eastAsia="黑体"/>
          <w:color w:val="auto"/>
          <w:sz w:val="30"/>
          <w:szCs w:val="30"/>
          <w:lang w:val="en-US" w:eastAsia="zh-CN"/>
        </w:rPr>
      </w:pPr>
      <w:r>
        <w:rPr>
          <w:rFonts w:hint="eastAsia" w:eastAsia="黑体"/>
          <w:color w:val="auto"/>
          <w:sz w:val="30"/>
          <w:szCs w:val="30"/>
          <w:lang w:val="en-US" w:eastAsia="zh-CN"/>
        </w:rPr>
        <w:t>3.5 评估指标内涵与量化方法</w:t>
      </w:r>
    </w:p>
    <w:p w14:paraId="047F8F1B">
      <w:pPr>
        <w:spacing w:line="400" w:lineRule="exact"/>
        <w:rPr>
          <w:rFonts w:hint="eastAsia"/>
          <w:color w:val="auto"/>
        </w:rPr>
      </w:pPr>
      <w:r>
        <w:rPr>
          <w:rFonts w:hint="eastAsia" w:eastAsia="黑体"/>
          <w:color w:val="auto"/>
          <w:sz w:val="28"/>
          <w:szCs w:val="28"/>
        </w:rPr>
        <w:t>3.5.1 评估指标内涵说明</w:t>
      </w:r>
    </w:p>
    <w:p w14:paraId="36766E53">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基于新型电力系统特征及表3-8修订后的评估指标，对三级指标的内涵与政策关联进行系统性阐释，明确在技术经济评估中的功能定位与价值导向。</w:t>
      </w:r>
    </w:p>
    <w:p w14:paraId="26B764E7">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（1）清洁低碳维度</w:t>
      </w:r>
    </w:p>
    <w:p w14:paraId="1B54CE4C">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A1（容量利用率）：表征新能源机组实际发电效率与额定容量的匹配程度，定义为实际发电量与理论最大发电量的比值。该指标反映电网对波动性可再生能源的消纳能力，与《可再生能源电力消纳责任权重实施方案》中“保障性消纳”要求直接关联。</w:t>
      </w:r>
    </w:p>
    <w:p w14:paraId="41828FD5">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A2（单位容量投资成本）：指单位装机容量（MW）对应的电网基础设施建设成本，涵盖设备采购、施工安装等直接费用。其数值高低直接体现项目投资集约化水平，需结合《电网工程概算定额》进行标准化核算。</w:t>
      </w:r>
    </w:p>
    <w:p w14:paraId="0F3A75B8">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A3（投资成本与容量比值）：衡量电网项目投资规模与能源供给能力的动态平衡关系，计算公式为总投资额与设计容量的比值，用于评估资源投入的经济性阈值。</w:t>
      </w:r>
    </w:p>
    <w:p w14:paraId="3C689B8C">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（2）安全可控维度</w:t>
      </w:r>
    </w:p>
    <w:p w14:paraId="650E8C09">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B1（投资回收期）：指项目净收益累计值抵消初始投资所需的年限，反映资金回笼效率。需依据《电力建设项目经济评价方法》采用动态折现法计算，纳入电价波动与政策补贴变量。</w:t>
      </w:r>
    </w:p>
    <w:p w14:paraId="35461B23">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B2（年度运维成本占比）：运维费用占项目总投资的百分比，表征资产全生命周期管理能力。该指标需关联设备老化曲线与故障率模型，支撑预防性维护策略优化。</w:t>
      </w:r>
    </w:p>
    <w:p w14:paraId="67A8307F">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（3）经济高效维度</w:t>
      </w:r>
    </w:p>
    <w:p w14:paraId="03056373">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C1（单位容量收益）：定义为单位装机容量产生的年净收益，反映资产盈利能力。计算时需扣除税费、折旧等非现金成本，避免收益虚增。</w:t>
      </w:r>
    </w:p>
    <w:p w14:paraId="709233A6">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C2（收益增长率）：采用复合年均增长率（CAGR）量化收益动态变化趋势，揭示项目对市场环境与负荷需求的适应能力。</w:t>
      </w:r>
    </w:p>
    <w:p w14:paraId="13A8E60A">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（4）智能友好维度</w:t>
      </w:r>
    </w:p>
    <w:p w14:paraId="30E618A0">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D1（数据完整性）：通过已采集数据项与标准数据项的覆盖率（%）评估信息系统的完备性，需符合《智能电网调度控制系统技术规范》（Q/GDW 11778-2017）中数据采集完整性等级要求。</w:t>
      </w:r>
    </w:p>
    <w:p w14:paraId="46ED250C">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（5）开放互动维度</w:t>
      </w:r>
    </w:p>
    <w:p w14:paraId="792ADE4B">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E1（综合效益评估）：采用层次分析法（AHP）集成社会效益（如单位投资就业拉动人数）、环境效益（二氧化碳减排当量）及电网可靠性提升价值，构建多属性效用函数进行综合评价。</w:t>
      </w:r>
    </w:p>
    <w:p w14:paraId="62FE7594">
      <w:pPr>
        <w:spacing w:line="400" w:lineRule="exact"/>
        <w:rPr>
          <w:rFonts w:hint="eastAsia"/>
          <w:color w:val="auto"/>
        </w:rPr>
      </w:pPr>
      <w:r>
        <w:rPr>
          <w:rFonts w:hint="eastAsia" w:eastAsia="黑体"/>
          <w:color w:val="auto"/>
          <w:sz w:val="28"/>
          <w:szCs w:val="28"/>
        </w:rPr>
        <w:t>3.5.</w:t>
      </w:r>
      <w:r>
        <w:rPr>
          <w:rFonts w:hint="eastAsia" w:eastAsia="黑体"/>
          <w:color w:val="auto"/>
          <w:sz w:val="28"/>
          <w:szCs w:val="28"/>
          <w:lang w:val="en-US" w:eastAsia="zh-CN"/>
        </w:rPr>
        <w:t>2</w:t>
      </w:r>
      <w:r>
        <w:rPr>
          <w:rFonts w:hint="eastAsia" w:eastAsia="黑体"/>
          <w:color w:val="auto"/>
          <w:sz w:val="28"/>
          <w:szCs w:val="28"/>
        </w:rPr>
        <w:t xml:space="preserve"> 估指标内涵说明</w:t>
      </w:r>
    </w:p>
    <w:p w14:paraId="533E1FA8">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在设计评估指标的量化方法时，需遵循方法论规范性原则，明确计算逻辑、数据溯源规则及异常处理机制，保证指标体系的科学性和可操作性。</w:t>
      </w:r>
    </w:p>
    <w:p w14:paraId="029A6B67">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计算公式标准化：</w:t>
      </w:r>
    </w:p>
    <w:p w14:paraId="290178B1">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（1）容量利用率（A1）</w:t>
      </w:r>
    </w:p>
    <w:p w14:paraId="5FDCFEAA">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 xml:space="preserve">   容量利用率是通过统计期内实际发电量与额定容量的比值来衡量的。计算时需将实际发电量（单位：kWh）除以额定容量（单位：MW）与统计期小时数（单位：h）的乘积，再乘以100%得到百分比值。对于因风光资源超发导致容量利用率超过100%的情况，需引入气候条件修正系数对理论发电量进行调整，以平抑异常值。</w:t>
      </w:r>
    </w:p>
    <w:p w14:paraId="746E340B">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（2）单位容量收益（C1）</w:t>
      </w:r>
    </w:p>
    <w:p w14:paraId="2125015A">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 xml:space="preserve">   单位容量收益是通过项目年净收益（单位：万元）除以并网容量（单位：MW）来计算的。净收益需根据《企业会计准则第16号——政府补助》调整政策性补贴收入，以确保数据的准确性和合规性。</w:t>
      </w:r>
    </w:p>
    <w:p w14:paraId="0E6647A7">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数据来源与采集规范：</w:t>
      </w:r>
    </w:p>
    <w:p w14:paraId="20BC91B2">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（1）经济类指标（A2、B1、C1）</w:t>
      </w:r>
    </w:p>
    <w:p w14:paraId="1E0CF2BB">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 xml:space="preserve">   经济类指标的原始数据来源于J电网企业资源计划系统（ERP）中的资本性支出（CAPEX）与运营支出（OPEX）台账。数据需经过审计部门复核后导入评估模型，确保数据的可靠性和一致性。</w:t>
      </w:r>
    </w:p>
    <w:p w14:paraId="4B2A7D5E">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（2）技术类指标（A1、D1）</w:t>
      </w:r>
    </w:p>
    <w:p w14:paraId="11F19F87">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 xml:space="preserve">   技术类指标通过数据采集与监控系统（SCADA）和数字孪生平台实时获取。采样频率需满足《电力系统实时动态监测系统技术规范》（GB/T 26865-2011）中规定的最低要求，即每5分钟采集一次，以确保数据的时效性和完整性。</w:t>
      </w:r>
    </w:p>
    <w:p w14:paraId="66833BC6">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异常数据处理规则：</w:t>
      </w:r>
    </w:p>
    <w:p w14:paraId="5B14703E">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（1）空值填补</w:t>
      </w:r>
    </w:p>
    <w:p w14:paraId="45C509F9">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 xml:space="preserve">   对于缺失率低于5%的指标，采用时间序列插值法进行修补；对于缺失率高于5%的指标，则启动现场核查机制，重新采集数据，以确保数据的完整性。</w:t>
      </w:r>
    </w:p>
    <w:p w14:paraId="12BF19B8">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（2）量纲归一化</w:t>
      </w:r>
    </w:p>
    <w:p w14:paraId="4AFE3EED">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 xml:space="preserve">   货币类指标需按评估基准年的价格水平进行通胀调整，技术参数需统一转换为国际单位制（SI），以消除量纲差异，确保数据的可比性。</w:t>
      </w:r>
    </w:p>
    <w:p w14:paraId="698AA56B">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政策约束条件：</w:t>
      </w:r>
    </w:p>
    <w:p w14:paraId="049BAFB5">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eastAsia"/>
          <w:color w:val="auto"/>
          <w:lang w:val="en-US" w:eastAsia="zh-CN"/>
        </w:rPr>
      </w:pPr>
      <w:r>
        <w:rPr>
          <w:rFonts w:hint="eastAsia"/>
          <w:color w:val="auto"/>
          <w:lang w:val="en-US" w:eastAsia="zh-CN"/>
        </w:rPr>
        <w:t>部分指标需嵌入政策刚性阈值作为计算边界。如，容量利用率（A1）的最低值不得低于国家能源局规定的保障性收购小时数对应的比率；数据完整性（D1）需满足《电力监控系统安全防护规定》中100%关键数据项采集的强制性要求。</w:t>
      </w:r>
    </w:p>
    <w:p w14:paraId="6538913B">
      <w:pPr>
        <w:keepNext w:val="0"/>
        <w:keepLines w:val="0"/>
        <w:pageBreakBefore w:val="0"/>
        <w:widowControl w:val="0"/>
        <w:tabs>
          <w:tab w:val="left" w:pos="1183"/>
        </w:tabs>
        <w:kinsoku/>
        <w:wordWrap/>
        <w:overflowPunct/>
        <w:topLinePunct w:val="0"/>
        <w:autoSpaceDE/>
        <w:autoSpaceDN/>
        <w:bidi w:val="0"/>
        <w:adjustRightInd/>
        <w:snapToGrid/>
        <w:spacing w:line="240" w:lineRule="auto"/>
        <w:jc w:val="both"/>
        <w:textAlignment w:val="auto"/>
        <w:rPr>
          <w:rFonts w:hint="default" w:eastAsia="黑体"/>
          <w:color w:val="auto"/>
          <w:sz w:val="30"/>
          <w:szCs w:val="30"/>
          <w:lang w:val="en-US" w:eastAsia="zh-CN"/>
        </w:rPr>
      </w:pPr>
      <w:r>
        <w:rPr>
          <w:rFonts w:hint="eastAsia" w:eastAsia="黑体"/>
          <w:color w:val="auto"/>
          <w:sz w:val="30"/>
          <w:szCs w:val="30"/>
          <w:lang w:val="en-US" w:eastAsia="zh-CN"/>
        </w:rPr>
        <w:t>3.6本章小结</w:t>
      </w:r>
    </w:p>
    <w:p w14:paraId="21225BFE">
      <w:pPr>
        <w:keepNext w:val="0"/>
        <w:keepLines w:val="0"/>
        <w:pageBreakBefore w:val="0"/>
        <w:widowControl w:val="0"/>
        <w:tabs>
          <w:tab w:val="left" w:pos="1183"/>
        </w:tabs>
        <w:kinsoku/>
        <w:wordWrap/>
        <w:overflowPunct/>
        <w:topLinePunct w:val="0"/>
        <w:autoSpaceDE/>
        <w:autoSpaceDN/>
        <w:bidi w:val="0"/>
        <w:adjustRightInd/>
        <w:snapToGrid/>
        <w:spacing w:line="400" w:lineRule="exact"/>
        <w:ind w:firstLine="480" w:firstLineChars="200"/>
        <w:jc w:val="both"/>
        <w:textAlignment w:val="auto"/>
        <w:rPr>
          <w:rFonts w:hint="default"/>
          <w:color w:val="auto"/>
          <w:lang w:val="en-US" w:eastAsia="zh-CN"/>
        </w:rPr>
      </w:pPr>
      <w:r>
        <w:rPr>
          <w:rFonts w:hint="eastAsia"/>
          <w:color w:val="auto"/>
          <w:lang w:val="en-US" w:eastAsia="zh-CN"/>
        </w:rPr>
        <w:t>本章主要围绕新型电力系统特征，构建了电网项目技术经济评估指标。首先，通过Scrapy框架爬取多源异构数据（85.5万字符），结合LDA主题模型识别出清洁低碳、安全可控等5个核心评估维度，其次，采用主成分分析筛选出10项关键指标（如容量利用率、数据完整性），通过载荷系数与共同度检验优化指标独立性，解决多维数据冗余问题，指标解释力提升37.2%。进一步地，设计融合模糊评价与动态权重的算法框架，明确指标量化规则及政策约束阈值，形成“维度-模块-参数”三级评估结构。本章可为第4章投资能力测算中的动态风险评估、容量-效益均衡优化等关键模型提供参数输入与验证基准，实现从“价值评估”到“能力量化”的学术逻辑递进。</w:t>
      </w:r>
    </w:p>
    <w:p w14:paraId="438CC599">
      <w:pPr>
        <w:spacing w:before="312" w:beforeLines="100" w:after="156" w:afterLines="50" w:line="300" w:lineRule="auto"/>
        <w:jc w:val="center"/>
        <w:outlineLvl w:val="0"/>
        <w:rPr>
          <w:rFonts w:hint="eastAsia" w:eastAsia="黑体"/>
          <w:color w:val="auto"/>
          <w:sz w:val="36"/>
          <w:szCs w:val="36"/>
        </w:rPr>
      </w:pPr>
      <w:r>
        <w:rPr>
          <w:rFonts w:eastAsia="黑体"/>
          <w:color w:val="auto"/>
          <w:sz w:val="36"/>
          <w:szCs w:val="36"/>
        </w:rPr>
        <w:t>第4章</w:t>
      </w:r>
      <w:r>
        <w:rPr>
          <w:rFonts w:hint="eastAsia" w:eastAsia="黑体"/>
          <w:color w:val="auto"/>
          <w:sz w:val="36"/>
          <w:szCs w:val="36"/>
        </w:rPr>
        <w:t xml:space="preserve"> </w:t>
      </w:r>
      <w:r>
        <w:rPr>
          <w:rFonts w:eastAsia="黑体"/>
          <w:color w:val="auto"/>
          <w:sz w:val="36"/>
          <w:szCs w:val="36"/>
        </w:rPr>
        <w:t>新型电力系统下</w:t>
      </w:r>
      <w:r>
        <w:rPr>
          <w:rFonts w:hint="eastAsia" w:eastAsia="黑体"/>
          <w:color w:val="auto"/>
          <w:sz w:val="36"/>
          <w:szCs w:val="36"/>
        </w:rPr>
        <w:t>J</w:t>
      </w:r>
      <w:r>
        <w:rPr>
          <w:rFonts w:eastAsia="黑体"/>
          <w:color w:val="auto"/>
          <w:sz w:val="36"/>
          <w:szCs w:val="36"/>
        </w:rPr>
        <w:t>电网项目投资能力测算</w:t>
      </w:r>
      <w:bookmarkEnd w:id="97"/>
      <w:bookmarkEnd w:id="98"/>
      <w:bookmarkEnd w:id="99"/>
    </w:p>
    <w:p w14:paraId="0A855042">
      <w:pPr>
        <w:spacing w:line="400" w:lineRule="exact"/>
        <w:ind w:firstLine="480" w:firstLineChars="200"/>
        <w:rPr>
          <w:color w:val="auto"/>
        </w:rPr>
      </w:pPr>
      <w:bookmarkStart w:id="110" w:name="_Toc192967121"/>
      <w:r>
        <w:rPr>
          <w:color w:val="auto"/>
        </w:rPr>
        <w:t>随着“双碳”目标的深入推进，目前传统电网投资模型主要聚焦于稳定负荷与集中式电源的匹配，难以适应新能源高渗透、多主体协同的市场环境。能源结构的清洁化转型倒逼电网项目从单一输电功能向灵活调节能力跃升，而分布式能源、储能主体的规模化入市进一步加剧了投资决策的复杂性。当前电网企业面临三重挑战：间歇性电源接入导致的投资成本攀升，多元主体博弈下的收益分配难题，以及技术迭代加速引发的投资风险重构。因此，如何构建科学精准的投资能力评估体系，成为破解新型电力系统建设资金约束的关键命题。本章立足电网投资动态演化特征，融合多源异构数据，通过因子分析提炼核心驱动要素，创新性地将深度强化学习引入投资决策优化，构建兼具解释性与适应性的测算模型。后续内容将系统解析能源结构、市场主体、技术创新三大维度的作用机理，并基于J电网实证验证模型效能，为新型电力系统投资决策提供方法支撑。</w:t>
      </w:r>
      <w:bookmarkEnd w:id="110"/>
    </w:p>
    <w:p w14:paraId="3764A701">
      <w:pPr>
        <w:spacing w:before="156" w:beforeLines="50" w:after="156" w:afterLines="50" w:line="324" w:lineRule="auto"/>
        <w:outlineLvl w:val="1"/>
        <w:rPr>
          <w:rFonts w:eastAsia="黑体"/>
          <w:color w:val="auto"/>
          <w:sz w:val="30"/>
          <w:szCs w:val="30"/>
        </w:rPr>
      </w:pPr>
      <w:bookmarkStart w:id="111" w:name="_Toc192967122"/>
      <w:bookmarkStart w:id="112" w:name="_Toc193967359"/>
      <w:bookmarkStart w:id="113" w:name="_Toc30939"/>
      <w:bookmarkStart w:id="114" w:name="_Hlk193747536"/>
      <w:r>
        <w:rPr>
          <w:rFonts w:eastAsia="黑体"/>
          <w:color w:val="auto"/>
          <w:sz w:val="30"/>
          <w:szCs w:val="30"/>
        </w:rPr>
        <w:t>4.1 新型电力系统对</w:t>
      </w:r>
      <w:r>
        <w:rPr>
          <w:rFonts w:hint="eastAsia" w:eastAsia="黑体"/>
          <w:color w:val="auto"/>
          <w:sz w:val="30"/>
          <w:szCs w:val="30"/>
        </w:rPr>
        <w:t>J</w:t>
      </w:r>
      <w:r>
        <w:rPr>
          <w:rFonts w:eastAsia="黑体"/>
          <w:color w:val="auto"/>
          <w:sz w:val="30"/>
          <w:szCs w:val="30"/>
        </w:rPr>
        <w:t>电网项目投资能力的影响分析</w:t>
      </w:r>
      <w:bookmarkEnd w:id="111"/>
      <w:bookmarkEnd w:id="112"/>
      <w:bookmarkEnd w:id="113"/>
    </w:p>
    <w:bookmarkEnd w:id="114"/>
    <w:p w14:paraId="2B679F97">
      <w:pPr>
        <w:spacing w:before="156" w:beforeLines="50" w:after="156" w:afterLines="50" w:line="400" w:lineRule="exact"/>
        <w:outlineLvl w:val="2"/>
        <w:rPr>
          <w:rFonts w:eastAsia="黑体"/>
          <w:color w:val="auto"/>
          <w:sz w:val="28"/>
          <w:szCs w:val="28"/>
        </w:rPr>
      </w:pPr>
      <w:bookmarkStart w:id="115" w:name="_Toc193967360"/>
      <w:bookmarkStart w:id="116" w:name="_Toc28200"/>
      <w:bookmarkStart w:id="117" w:name="_Toc192967123"/>
      <w:r>
        <w:rPr>
          <w:rFonts w:eastAsia="黑体"/>
          <w:color w:val="auto"/>
          <w:sz w:val="28"/>
          <w:szCs w:val="28"/>
        </w:rPr>
        <w:t>4.1.1 能源结构变化的影响</w:t>
      </w:r>
      <w:bookmarkEnd w:id="115"/>
      <w:bookmarkEnd w:id="116"/>
      <w:bookmarkEnd w:id="117"/>
    </w:p>
    <w:p w14:paraId="41622F9C">
      <w:pPr>
        <w:spacing w:line="400" w:lineRule="exact"/>
        <w:ind w:firstLine="480" w:firstLineChars="200"/>
        <w:jc w:val="left"/>
        <w:rPr>
          <w:color w:val="auto"/>
        </w:rPr>
      </w:pPr>
      <w:r>
        <w:rPr>
          <w:color w:val="auto"/>
        </w:rPr>
        <w:t>新能源发电的间歇性和不稳定性要求电网具备更强的调节能力，这增加了电网项目的投资需求。如，风电和光伏发电的波动性需要通过储能设备和灵活的调度机制来平衡，这会间接或直接的增加了电网的投资成本，也对投资能力提出了更高要求。能源结构的变化也在一定的程度上导致电网项目的投资方向发生转变。传统电网项目主要集中在火电和输电线路的建设，而新型电力系统则更加注重新能源接入、分布式能源和储能设施的建设。这些新型项目的投资成相对来说较高，且技术复杂性增加，对电网企业的投资能力提出了新的挑战。此外，能源结构的变化还影响了电网项目的投资回报率。新能源项目的投资成本高，但经济效益和社会效益显著。如，新能源项目的推广有助于减少碳排放，提高能源利用效率，从而带来长期的环境和社会效益</w:t>
      </w:r>
      <w:r>
        <w:rPr>
          <w:rStyle w:val="20"/>
          <w:color w:val="auto"/>
        </w:rPr>
        <w:fldChar w:fldCharType="begin"/>
      </w:r>
      <w:r>
        <w:rPr>
          <w:color w:val="auto"/>
        </w:rPr>
        <w:instrText xml:space="preserve"> REF _Ref193109823 \r \h </w:instrText>
      </w:r>
      <w:r>
        <w:rPr>
          <w:rStyle w:val="20"/>
          <w:color w:val="auto"/>
        </w:rPr>
        <w:fldChar w:fldCharType="separate"/>
      </w:r>
      <w:r>
        <w:rPr>
          <w:color w:val="auto"/>
        </w:rPr>
        <w:t>[59]</w:t>
      </w:r>
      <w:r>
        <w:rPr>
          <w:rStyle w:val="20"/>
          <w:color w:val="auto"/>
        </w:rPr>
        <w:fldChar w:fldCharType="end"/>
      </w:r>
      <w:r>
        <w:rPr>
          <w:color w:val="auto"/>
        </w:rPr>
        <w:fldChar w:fldCharType="begin"/>
      </w:r>
      <w:r>
        <w:rPr>
          <w:rStyle w:val="20"/>
          <w:color w:val="auto"/>
          <w:vertAlign w:val="baseline"/>
        </w:rPr>
        <w:instrText xml:space="preserve"> REF _Ref193109833 \r \h </w:instrText>
      </w:r>
      <w:r>
        <w:rPr>
          <w:color w:val="auto"/>
        </w:rPr>
        <w:instrText xml:space="preserve"> \* MERGEFORMAT </w:instrText>
      </w:r>
      <w:r>
        <w:rPr>
          <w:color w:val="auto"/>
        </w:rPr>
        <w:fldChar w:fldCharType="separate"/>
      </w:r>
      <w:r>
        <w:rPr>
          <w:rStyle w:val="20"/>
          <w:color w:val="auto"/>
          <w:vertAlign w:val="baseline"/>
        </w:rPr>
        <w:t>[60]</w:t>
      </w:r>
      <w:r>
        <w:rPr>
          <w:color w:val="auto"/>
        </w:rPr>
        <w:fldChar w:fldCharType="end"/>
      </w:r>
      <w:r>
        <w:rPr>
          <w:color w:val="auto"/>
        </w:rPr>
        <w:t>。可见图4-1所示。</w:t>
      </w:r>
    </w:p>
    <w:p w14:paraId="6EC93FA6">
      <w:pPr>
        <w:tabs>
          <w:tab w:val="left" w:pos="2280"/>
        </w:tabs>
        <w:spacing w:line="360" w:lineRule="auto"/>
        <w:jc w:val="center"/>
        <w:rPr>
          <w:color w:val="auto"/>
        </w:rPr>
      </w:pPr>
      <w:r>
        <w:rPr>
          <w:color w:val="auto"/>
        </w:rPr>
        <w:drawing>
          <wp:inline distT="0" distB="0" distL="114300" distR="114300">
            <wp:extent cx="5267960" cy="1110615"/>
            <wp:effectExtent l="0" t="0" r="8890" b="13335"/>
            <wp:docPr id="1" name="C9F754DE-2CAD-44b6-B708-469DEB6407EB-1" descr="C:/Users/Administrator/AppData/Local/Temp/wps.csweZs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9F754DE-2CAD-44b6-B708-469DEB6407EB-1" descr="C:/Users/Administrator/AppData/Local/Temp/wps.csweZswps"/>
                    <pic:cNvPicPr>
                      <a:picLocks noChangeAspect="1"/>
                    </pic:cNvPicPr>
                  </pic:nvPicPr>
                  <pic:blipFill>
                    <a:blip r:embed="rId14"/>
                    <a:stretch>
                      <a:fillRect/>
                    </a:stretch>
                  </pic:blipFill>
                  <pic:spPr>
                    <a:xfrm>
                      <a:off x="0" y="0"/>
                      <a:ext cx="5267960" cy="1110615"/>
                    </a:xfrm>
                    <a:prstGeom prst="rect">
                      <a:avLst/>
                    </a:prstGeom>
                  </pic:spPr>
                </pic:pic>
              </a:graphicData>
            </a:graphic>
          </wp:inline>
        </w:drawing>
      </w:r>
    </w:p>
    <w:p w14:paraId="399BA430">
      <w:pPr>
        <w:spacing w:line="400" w:lineRule="exact"/>
        <w:jc w:val="center"/>
        <w:rPr>
          <w:color w:val="auto"/>
        </w:rPr>
      </w:pPr>
      <w:r>
        <w:rPr>
          <w:color w:val="auto"/>
        </w:rPr>
        <w:t>图4-1能源结构变化影响鱼骨图分析</w:t>
      </w:r>
    </w:p>
    <w:p w14:paraId="22F69A09">
      <w:pPr>
        <w:spacing w:before="156" w:beforeLines="50" w:after="156" w:afterLines="50" w:line="400" w:lineRule="exact"/>
        <w:outlineLvl w:val="2"/>
        <w:rPr>
          <w:rFonts w:eastAsia="黑体"/>
          <w:color w:val="auto"/>
          <w:sz w:val="28"/>
          <w:szCs w:val="28"/>
        </w:rPr>
      </w:pPr>
      <w:bookmarkStart w:id="118" w:name="_Toc30851"/>
      <w:bookmarkStart w:id="119" w:name="_Toc192967124"/>
      <w:bookmarkStart w:id="120" w:name="_Toc193967361"/>
      <w:r>
        <w:rPr>
          <w:rFonts w:eastAsia="黑体"/>
          <w:color w:val="auto"/>
          <w:sz w:val="28"/>
          <w:szCs w:val="28"/>
        </w:rPr>
        <w:t>4.1.2 新型主体入市的影响</w:t>
      </w:r>
      <w:bookmarkEnd w:id="118"/>
      <w:bookmarkEnd w:id="119"/>
      <w:bookmarkEnd w:id="120"/>
    </w:p>
    <w:p w14:paraId="69800184">
      <w:pPr>
        <w:spacing w:line="400" w:lineRule="exact"/>
        <w:ind w:firstLine="480" w:firstLineChars="200"/>
        <w:rPr>
          <w:color w:val="auto"/>
        </w:rPr>
      </w:pPr>
      <w:r>
        <w:rPr>
          <w:color w:val="auto"/>
        </w:rPr>
        <w:t>这些新型主体的入市对电网项目投资能力产生了重要影响。新型主体的参与增加了电网项目的投资主体多样性，使得电网投资不再局限于传统的电网企业。可助于分散投资风险，提高投资效率。新型主体的入市也带来了新的投资模式和合作机会。如，分布式能源生产商和储能服务提供商可以通过与电网企业合作，共同投资建设新能源接入项目和储能设施</w:t>
      </w:r>
      <w:r>
        <w:rPr>
          <w:rStyle w:val="20"/>
          <w:color w:val="auto"/>
        </w:rPr>
        <w:fldChar w:fldCharType="begin"/>
      </w:r>
      <w:r>
        <w:rPr>
          <w:color w:val="auto"/>
        </w:rPr>
        <w:instrText xml:space="preserve"> REF _Ref193109854 \r \h </w:instrText>
      </w:r>
      <w:r>
        <w:rPr>
          <w:rStyle w:val="20"/>
          <w:color w:val="auto"/>
        </w:rPr>
        <w:fldChar w:fldCharType="separate"/>
      </w:r>
      <w:r>
        <w:rPr>
          <w:rStyle w:val="20"/>
          <w:rFonts w:hint="eastAsia"/>
          <w:b/>
          <w:bCs/>
          <w:color w:val="auto"/>
        </w:rPr>
        <w:t>错误!未找到引用源。</w:t>
      </w:r>
      <w:r>
        <w:rPr>
          <w:rStyle w:val="20"/>
          <w:color w:val="auto"/>
        </w:rPr>
        <w:fldChar w:fldCharType="end"/>
      </w:r>
      <w:r>
        <w:rPr>
          <w:color w:val="auto"/>
        </w:rPr>
        <w:t>。这种合作模式提高了项目的投资效率，也促进了电网与新型主体之间的协同发展。但是，新型主体的入市也对电网企业的投资能力提出了新的要求。再如，电网企业需要具备更强的协调和管理能力，应对多元化的投资主体和复杂的项目结构。另外新型主体的入市还可能导致市场竞争加剧</w:t>
      </w:r>
      <w:r>
        <w:rPr>
          <w:rStyle w:val="20"/>
          <w:color w:val="auto"/>
        </w:rPr>
        <w:t>[</w:t>
      </w:r>
      <w:r>
        <w:rPr>
          <w:rStyle w:val="20"/>
          <w:color w:val="auto"/>
        </w:rPr>
        <w:endnoteReference w:id="0"/>
      </w:r>
      <w:r>
        <w:rPr>
          <w:rStyle w:val="20"/>
          <w:color w:val="auto"/>
        </w:rPr>
        <w:t>]</w:t>
      </w:r>
      <w:r>
        <w:rPr>
          <w:color w:val="auto"/>
        </w:rPr>
        <w:t>。可见图4-2所示。</w:t>
      </w:r>
    </w:p>
    <w:p w14:paraId="6EC71245">
      <w:pPr>
        <w:spacing w:line="360" w:lineRule="auto"/>
        <w:ind w:firstLine="480" w:firstLineChars="200"/>
        <w:jc w:val="center"/>
        <w:rPr>
          <w:color w:val="auto"/>
        </w:rPr>
      </w:pPr>
      <w:r>
        <w:rPr>
          <w:color w:val="auto"/>
        </w:rPr>
        <w:drawing>
          <wp:inline distT="0" distB="0" distL="114300" distR="114300">
            <wp:extent cx="4671060" cy="1385570"/>
            <wp:effectExtent l="0" t="0" r="0" b="5080"/>
            <wp:docPr id="4" name="C9F754DE-2CAD-44b6-B708-469DEB6407EB-2" descr="C:/Users/Administrator/AppData/Local/Temp/wps.ykBgTz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9F754DE-2CAD-44b6-B708-469DEB6407EB-2" descr="C:/Users/Administrator/AppData/Local/Temp/wps.ykBgTzwps"/>
                    <pic:cNvPicPr>
                      <a:picLocks noChangeAspect="1"/>
                    </pic:cNvPicPr>
                  </pic:nvPicPr>
                  <pic:blipFill>
                    <a:blip r:embed="rId15"/>
                    <a:stretch>
                      <a:fillRect/>
                    </a:stretch>
                  </pic:blipFill>
                  <pic:spPr>
                    <a:xfrm>
                      <a:off x="0" y="0"/>
                      <a:ext cx="4671060" cy="1385570"/>
                    </a:xfrm>
                    <a:prstGeom prst="rect">
                      <a:avLst/>
                    </a:prstGeom>
                  </pic:spPr>
                </pic:pic>
              </a:graphicData>
            </a:graphic>
          </wp:inline>
        </w:drawing>
      </w:r>
    </w:p>
    <w:p w14:paraId="6614E1CB">
      <w:pPr>
        <w:spacing w:line="400" w:lineRule="exact"/>
        <w:ind w:firstLine="480" w:firstLineChars="200"/>
        <w:jc w:val="center"/>
        <w:rPr>
          <w:color w:val="auto"/>
        </w:rPr>
      </w:pPr>
      <w:r>
        <w:rPr>
          <w:color w:val="auto"/>
        </w:rPr>
        <w:t>图4-2影响新型主体入市的因素鱼骨图分析</w:t>
      </w:r>
    </w:p>
    <w:p w14:paraId="4A2704FC">
      <w:pPr>
        <w:spacing w:before="156" w:beforeLines="50" w:after="156" w:afterLines="50" w:line="400" w:lineRule="exact"/>
        <w:outlineLvl w:val="2"/>
        <w:rPr>
          <w:rFonts w:eastAsia="黑体"/>
          <w:color w:val="auto"/>
          <w:sz w:val="28"/>
          <w:szCs w:val="28"/>
        </w:rPr>
      </w:pPr>
      <w:bookmarkStart w:id="121" w:name="_Toc19551"/>
      <w:bookmarkStart w:id="122" w:name="_Toc193967362"/>
      <w:bookmarkStart w:id="123" w:name="_Toc192967125"/>
      <w:r>
        <w:rPr>
          <w:rFonts w:eastAsia="黑体"/>
          <w:color w:val="auto"/>
          <w:sz w:val="28"/>
          <w:szCs w:val="28"/>
        </w:rPr>
        <w:t>4.1.3 技术创新的影响</w:t>
      </w:r>
      <w:bookmarkEnd w:id="121"/>
      <w:bookmarkEnd w:id="122"/>
      <w:bookmarkEnd w:id="123"/>
      <w:r>
        <w:rPr>
          <w:rFonts w:eastAsia="黑体"/>
          <w:color w:val="auto"/>
          <w:sz w:val="28"/>
          <w:szCs w:val="28"/>
        </w:rPr>
        <w:t xml:space="preserve"> </w:t>
      </w:r>
    </w:p>
    <w:p w14:paraId="55F70206">
      <w:pPr>
        <w:spacing w:line="400" w:lineRule="exact"/>
        <w:ind w:firstLine="480" w:firstLineChars="200"/>
        <w:rPr>
          <w:color w:val="auto"/>
        </w:rPr>
      </w:pPr>
      <w:r>
        <w:rPr>
          <w:color w:val="auto"/>
        </w:rPr>
        <w:t>目前，先进的技术和设备的应用，如智能电网、大数据分析和人工智能，显著提升了电网的运行效率和管理水平。可见图4-2所示。</w:t>
      </w:r>
    </w:p>
    <w:p w14:paraId="00158F27">
      <w:pPr>
        <w:tabs>
          <w:tab w:val="left" w:pos="1143"/>
        </w:tabs>
        <w:spacing w:line="400" w:lineRule="exact"/>
        <w:rPr>
          <w:color w:val="auto"/>
        </w:rPr>
      </w:pPr>
      <w:r>
        <w:rPr>
          <w:color w:val="auto"/>
        </w:rPr>
        <w:drawing>
          <wp:inline distT="0" distB="0" distL="114300" distR="114300">
            <wp:extent cx="4710430" cy="1838960"/>
            <wp:effectExtent l="0" t="0" r="13970" b="8890"/>
            <wp:docPr id="7" name="C9F754DE-2CAD-44b6-B708-469DEB6407EB-3" descr="C:/Users/Administrator/AppData/Local/Temp/wps.fmxQgp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9F754DE-2CAD-44b6-B708-469DEB6407EB-3" descr="C:/Users/Administrator/AppData/Local/Temp/wps.fmxQgpwps"/>
                    <pic:cNvPicPr>
                      <a:picLocks noChangeAspect="1"/>
                    </pic:cNvPicPr>
                  </pic:nvPicPr>
                  <pic:blipFill>
                    <a:blip r:embed="rId16"/>
                    <a:stretch>
                      <a:fillRect/>
                    </a:stretch>
                  </pic:blipFill>
                  <pic:spPr>
                    <a:xfrm>
                      <a:off x="0" y="0"/>
                      <a:ext cx="4710430" cy="1838960"/>
                    </a:xfrm>
                    <a:prstGeom prst="rect">
                      <a:avLst/>
                    </a:prstGeom>
                  </pic:spPr>
                </pic:pic>
              </a:graphicData>
            </a:graphic>
          </wp:inline>
        </w:drawing>
      </w:r>
    </w:p>
    <w:p w14:paraId="56217F04">
      <w:pPr>
        <w:spacing w:line="400" w:lineRule="exact"/>
        <w:ind w:firstLine="480" w:firstLineChars="200"/>
        <w:jc w:val="center"/>
        <w:rPr>
          <w:color w:val="auto"/>
        </w:rPr>
      </w:pPr>
      <w:r>
        <w:rPr>
          <w:color w:val="auto"/>
        </w:rPr>
        <w:t>图4-3技术创新对电网企业的影响鱼骨图分析</w:t>
      </w:r>
    </w:p>
    <w:p w14:paraId="5E12B0F7">
      <w:pPr>
        <w:spacing w:line="400" w:lineRule="exact"/>
        <w:ind w:firstLine="480" w:firstLineChars="200"/>
        <w:rPr>
          <w:color w:val="auto"/>
        </w:rPr>
      </w:pPr>
      <w:r>
        <w:rPr>
          <w:color w:val="auto"/>
        </w:rPr>
        <w:t>首先，技术创新提高了电网项目的投资回报率。如，智能电网技术的应用可以优化电网的运行和调度，降低运营成本，提高供电可靠性，从而增加项目的经济效益。大数据分析和人工智能技术的应用也可以提高电网项目的投资决策科学性，减少投资风险。其次，技术创新降低了电网项目的投资成本。例如，先进的施工技术和设备的应用可以缩短项目建设周期，降低建设成本。但是，电网企业需要具备更强的技术研发和应用能力，才能适应快速发展的技术环境。技术创新还可能导致技术更新换代加快，电网企业需要在投资决策中充分考虑技术的生命周期和更新成本，以避免技术落后带来的投资风险</w:t>
      </w:r>
      <w:r>
        <w:rPr>
          <w:rStyle w:val="20"/>
          <w:color w:val="auto"/>
        </w:rPr>
        <w:fldChar w:fldCharType="begin"/>
      </w:r>
      <w:r>
        <w:rPr>
          <w:color w:val="auto"/>
        </w:rPr>
        <w:instrText xml:space="preserve"> REF _Ref193109870 \r \h </w:instrText>
      </w:r>
      <w:r>
        <w:rPr>
          <w:rStyle w:val="20"/>
          <w:color w:val="auto"/>
        </w:rPr>
        <w:fldChar w:fldCharType="separate"/>
      </w:r>
      <w:r>
        <w:rPr>
          <w:color w:val="auto"/>
        </w:rPr>
        <w:t>[61]</w:t>
      </w:r>
      <w:r>
        <w:rPr>
          <w:rStyle w:val="20"/>
          <w:color w:val="auto"/>
        </w:rPr>
        <w:fldChar w:fldCharType="end"/>
      </w:r>
      <w:r>
        <w:rPr>
          <w:color w:val="auto"/>
        </w:rPr>
        <w:fldChar w:fldCharType="begin"/>
      </w:r>
      <w:r>
        <w:rPr>
          <w:rStyle w:val="20"/>
          <w:color w:val="auto"/>
          <w:vertAlign w:val="baseline"/>
        </w:rPr>
        <w:instrText xml:space="preserve"> REF _Ref193109874 \r \h </w:instrText>
      </w:r>
      <w:r>
        <w:rPr>
          <w:color w:val="auto"/>
        </w:rPr>
        <w:instrText xml:space="preserve"> \* MERGEFORMAT </w:instrText>
      </w:r>
      <w:r>
        <w:rPr>
          <w:color w:val="auto"/>
        </w:rPr>
        <w:fldChar w:fldCharType="separate"/>
      </w:r>
      <w:r>
        <w:rPr>
          <w:rStyle w:val="20"/>
          <w:color w:val="auto"/>
          <w:vertAlign w:val="baseline"/>
        </w:rPr>
        <w:t>[62]</w:t>
      </w:r>
      <w:r>
        <w:rPr>
          <w:color w:val="auto"/>
        </w:rPr>
        <w:fldChar w:fldCharType="end"/>
      </w:r>
      <w:r>
        <w:rPr>
          <w:color w:val="auto"/>
        </w:rPr>
        <w:t>。</w:t>
      </w:r>
    </w:p>
    <w:p w14:paraId="0E1BEC85">
      <w:pPr>
        <w:spacing w:before="156" w:beforeLines="50" w:after="156" w:afterLines="50" w:line="324" w:lineRule="auto"/>
        <w:outlineLvl w:val="1"/>
        <w:rPr>
          <w:rFonts w:eastAsia="黑体"/>
          <w:color w:val="auto"/>
          <w:sz w:val="30"/>
          <w:szCs w:val="30"/>
        </w:rPr>
      </w:pPr>
      <w:bookmarkStart w:id="124" w:name="_Toc8947"/>
      <w:bookmarkStart w:id="125" w:name="_Toc192967126"/>
      <w:bookmarkStart w:id="126" w:name="_Toc193967363"/>
      <w:r>
        <w:rPr>
          <w:rFonts w:eastAsia="黑体"/>
          <w:color w:val="auto"/>
          <w:sz w:val="30"/>
          <w:szCs w:val="30"/>
        </w:rPr>
        <w:t xml:space="preserve">4.2 </w:t>
      </w:r>
      <w:bookmarkStart w:id="127" w:name="_Hlk193747592"/>
      <w:r>
        <w:rPr>
          <w:rFonts w:eastAsia="黑体"/>
          <w:color w:val="auto"/>
          <w:sz w:val="30"/>
          <w:szCs w:val="30"/>
        </w:rPr>
        <w:t>电网投资能力测算模型</w:t>
      </w:r>
      <w:bookmarkEnd w:id="124"/>
      <w:bookmarkEnd w:id="125"/>
      <w:r>
        <w:rPr>
          <w:rFonts w:hint="eastAsia" w:eastAsia="黑体"/>
          <w:color w:val="auto"/>
          <w:sz w:val="30"/>
          <w:szCs w:val="30"/>
        </w:rPr>
        <w:t>建立</w:t>
      </w:r>
      <w:bookmarkEnd w:id="126"/>
      <w:bookmarkEnd w:id="127"/>
    </w:p>
    <w:p w14:paraId="604D564C">
      <w:pPr>
        <w:spacing w:before="156" w:beforeLines="50" w:after="156" w:afterLines="50" w:line="400" w:lineRule="exact"/>
        <w:outlineLvl w:val="2"/>
        <w:rPr>
          <w:rFonts w:eastAsia="黑体"/>
          <w:color w:val="auto"/>
          <w:sz w:val="28"/>
          <w:szCs w:val="28"/>
        </w:rPr>
      </w:pPr>
      <w:bookmarkStart w:id="128" w:name="_Toc26612"/>
      <w:bookmarkStart w:id="129" w:name="_Toc192967127"/>
      <w:bookmarkStart w:id="130" w:name="_Toc193967364"/>
      <w:r>
        <w:rPr>
          <w:rFonts w:eastAsia="黑体"/>
          <w:color w:val="auto"/>
          <w:sz w:val="28"/>
          <w:szCs w:val="28"/>
        </w:rPr>
        <w:t>4.2.1 基于因子分析的影响因素识别与筛选</w:t>
      </w:r>
      <w:bookmarkEnd w:id="128"/>
      <w:bookmarkEnd w:id="129"/>
      <w:bookmarkEnd w:id="130"/>
    </w:p>
    <w:p w14:paraId="11F4935B">
      <w:pPr>
        <w:spacing w:line="400" w:lineRule="exact"/>
        <w:ind w:firstLine="480" w:firstLineChars="200"/>
        <w:rPr>
          <w:color w:val="auto"/>
        </w:rPr>
      </w:pPr>
      <w:r>
        <w:rPr>
          <w:color w:val="auto"/>
        </w:rPr>
        <w:t>在构建电网投资能力测算模型时，识别影响因素是至关重要的第一步。为了筛选和提炼影响因素，本节采用因子分析法（Factor Analysis）对潜在的影响因素进行识别和降维处理。</w:t>
      </w:r>
    </w:p>
    <w:p w14:paraId="6EC5B331">
      <w:pPr>
        <w:spacing w:line="400" w:lineRule="exact"/>
        <w:ind w:firstLine="480" w:firstLineChars="200"/>
        <w:rPr>
          <w:color w:val="auto"/>
        </w:rPr>
      </w:pPr>
      <w:r>
        <w:rPr>
          <w:color w:val="auto"/>
        </w:rPr>
        <w:t>因子分析法是一种多变量统计分析方法，基本思想是通过研究多变量之间的内部依赖关系，将原始变量分解为少数几个公共因子和特殊因子的线性组合。这种方法可以减少变量维度，同时保留数据的主要信息，便于后续建模和分析</w:t>
      </w:r>
      <w:r>
        <w:rPr>
          <w:rStyle w:val="20"/>
          <w:color w:val="auto"/>
        </w:rPr>
        <w:fldChar w:fldCharType="begin"/>
      </w:r>
      <w:r>
        <w:rPr>
          <w:color w:val="auto"/>
        </w:rPr>
        <w:instrText xml:space="preserve"> REF _Ref193109904 \r \h </w:instrText>
      </w:r>
      <w:r>
        <w:rPr>
          <w:rStyle w:val="20"/>
          <w:color w:val="auto"/>
        </w:rPr>
        <w:fldChar w:fldCharType="separate"/>
      </w:r>
      <w:r>
        <w:rPr>
          <w:color w:val="auto"/>
        </w:rPr>
        <w:t>[63]</w:t>
      </w:r>
      <w:r>
        <w:rPr>
          <w:rStyle w:val="20"/>
          <w:color w:val="auto"/>
        </w:rPr>
        <w:fldChar w:fldCharType="end"/>
      </w:r>
      <w:r>
        <w:rPr>
          <w:color w:val="auto"/>
        </w:rPr>
        <w:t>。因子分析的核心步骤如下：检验原始变量是否适合进行因子分析，通常通过计算相关系数矩阵并检查KMO值和Bartlett球形检验结果来判断。随后再通过计算各变量之间的相关系数，判断变量之间是否存在较强的相关性。检查KMO值（Kaiser-Meyer-Olkin Measure of Sampling Adequacy），KMO值介于0到1之间，通常认为KMO值大于0.6时适合进行因子分析。进行Bartlett球形检验，若检验结果显著（p值小于0.05），说明变量间存在较强的相关性，适合进行因子分析。使用主成分分析法或其他方法提取公共因子，并根据累积贡献率确定保留的因子数量。一般要求累积贡献率达到70%-85%以上</w:t>
      </w:r>
      <w:r>
        <w:rPr>
          <w:color w:val="auto"/>
        </w:rPr>
        <w:fldChar w:fldCharType="begin"/>
      </w:r>
      <w:r>
        <w:rPr>
          <w:color w:val="auto"/>
        </w:rPr>
        <w:instrText xml:space="preserve"> REF _Ref193109920 \r \h </w:instrText>
      </w:r>
      <w:r>
        <w:rPr>
          <w:color w:val="auto"/>
        </w:rPr>
        <w:fldChar w:fldCharType="separate"/>
      </w:r>
      <w:r>
        <w:rPr>
          <w:color w:val="auto"/>
        </w:rPr>
        <w:t>[64]</w:t>
      </w:r>
      <w:r>
        <w:rPr>
          <w:color w:val="auto"/>
        </w:rPr>
        <w:fldChar w:fldCharType="end"/>
      </w:r>
      <w:r>
        <w:rPr>
          <w:color w:val="auto"/>
        </w:rPr>
        <w:t>。最后对因子载荷矩阵进行旋转（如方差最大正交旋转），使因子具有更好的解释性，便于后续分析。</w:t>
      </w:r>
    </w:p>
    <w:p w14:paraId="3178544A">
      <w:pPr>
        <w:spacing w:line="400" w:lineRule="exact"/>
        <w:ind w:firstLine="480" w:firstLineChars="200"/>
        <w:rPr>
          <w:color w:val="auto"/>
        </w:rPr>
      </w:pPr>
      <w:r>
        <w:rPr>
          <w:color w:val="auto"/>
        </w:rPr>
        <w:t>基于第3章中爬取的数据（见表3-3）以及主成分分析结果（见表3-4和表3-5），本文从以下几个方面提取了影响电网投资能力的关键因素。</w:t>
      </w:r>
    </w:p>
    <w:p w14:paraId="70466D87">
      <w:pPr>
        <w:spacing w:line="400" w:lineRule="exact"/>
        <w:ind w:firstLine="480" w:firstLineChars="200"/>
        <w:rPr>
          <w:color w:val="auto"/>
        </w:rPr>
      </w:pPr>
      <w:r>
        <w:rPr>
          <w:color w:val="auto"/>
        </w:rPr>
        <w:t>（1）数据来源与预处理</w:t>
      </w:r>
    </w:p>
    <w:p w14:paraId="58E4BB4B">
      <w:pPr>
        <w:spacing w:line="400" w:lineRule="exact"/>
        <w:ind w:firstLine="480" w:firstLineChars="200"/>
        <w:rPr>
          <w:color w:val="auto"/>
        </w:rPr>
      </w:pPr>
      <w:r>
        <w:rPr>
          <w:color w:val="auto"/>
        </w:rPr>
        <w:t>从国家能源局网站、电力行业统计数据平台等权威渠道获取的数据（见表3-2和表3-3）。随后删除重复数据、填补缺失值、统一数据格式后，得到最终的新闻数据信息（见表3-3）。最后通过文本向量化和主成分分析（PCA），提取关键特征并生成主成分分析结果（见表3-4和表3-5）。</w:t>
      </w:r>
    </w:p>
    <w:p w14:paraId="59F211C6">
      <w:pPr>
        <w:spacing w:line="400" w:lineRule="exact"/>
        <w:ind w:firstLine="480" w:firstLineChars="200"/>
        <w:rPr>
          <w:color w:val="auto"/>
        </w:rPr>
      </w:pPr>
      <w:r>
        <w:rPr>
          <w:color w:val="auto"/>
        </w:rPr>
        <w:t>（2）初步变量筛选</w:t>
      </w:r>
    </w:p>
    <w:p w14:paraId="36A0B77D">
      <w:pPr>
        <w:spacing w:line="400" w:lineRule="exact"/>
        <w:ind w:firstLine="480" w:firstLineChars="200"/>
        <w:rPr>
          <w:color w:val="auto"/>
        </w:rPr>
      </w:pPr>
      <w:r>
        <w:rPr>
          <w:color w:val="auto"/>
        </w:rPr>
        <w:t>根据主成分分析结果（见表3-4），前三个主成分累计贡献率达到79.50%，因此选取PC1、PC2和PC3作为主要评估维度。结合主成分载荷矩阵（见表3-5），进一步筛选出以下关键变量：</w:t>
      </w:r>
    </w:p>
    <w:p w14:paraId="4EAC1917">
      <w:pPr>
        <w:spacing w:line="400" w:lineRule="exact"/>
        <w:ind w:firstLine="480" w:firstLineChars="200"/>
        <w:rPr>
          <w:color w:val="auto"/>
        </w:rPr>
      </w:pPr>
      <w:r>
        <w:rPr>
          <w:color w:val="auto"/>
        </w:rPr>
        <w:t>PC1：容量利用率 (YL)、单位容量收益 (SY)、收益增长率 (ZC)、综合效益评估 (XH)、单位容量潜在扩展能力 (KZ)。</w:t>
      </w:r>
    </w:p>
    <w:p w14:paraId="3B4B69A9">
      <w:pPr>
        <w:spacing w:line="400" w:lineRule="exact"/>
        <w:ind w:firstLine="480" w:firstLineChars="200"/>
        <w:rPr>
          <w:color w:val="auto"/>
        </w:rPr>
      </w:pPr>
      <w:r>
        <w:rPr>
          <w:color w:val="auto"/>
        </w:rPr>
        <w:t>PC2：单位容量投资成本 (TZ)、年度运维成本占比 (YY)、数据标准化程度 (BZ)。</w:t>
      </w:r>
    </w:p>
    <w:p w14:paraId="57215E39">
      <w:pPr>
        <w:spacing w:line="400" w:lineRule="exact"/>
        <w:ind w:firstLine="480" w:firstLineChars="200"/>
        <w:rPr>
          <w:color w:val="auto"/>
        </w:rPr>
      </w:pPr>
      <w:r>
        <w:rPr>
          <w:color w:val="auto"/>
        </w:rPr>
        <w:t>PC3：投资回收期 (HS)、单位容量运维成本 (YW)。</w:t>
      </w:r>
    </w:p>
    <w:p w14:paraId="362884C7">
      <w:pPr>
        <w:spacing w:line="400" w:lineRule="exact"/>
        <w:ind w:firstLine="480" w:firstLineChars="200"/>
        <w:rPr>
          <w:color w:val="auto"/>
        </w:rPr>
      </w:pPr>
      <w:r>
        <w:rPr>
          <w:color w:val="auto"/>
        </w:rPr>
        <w:t>对上述关键变量的相关系数矩阵进行计算后，得到了KMO值和Bartlett球形检验的结果。见表4-1.</w:t>
      </w:r>
    </w:p>
    <w:p w14:paraId="4B7A987D">
      <w:pPr>
        <w:spacing w:line="400" w:lineRule="exact"/>
        <w:jc w:val="center"/>
        <w:rPr>
          <w:color w:val="auto"/>
          <w:szCs w:val="21"/>
        </w:rPr>
      </w:pPr>
      <w:r>
        <w:rPr>
          <w:color w:val="auto"/>
          <w:szCs w:val="21"/>
        </w:rPr>
        <w:t>表4-1 KMO值与Bartlett球形检验结果</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3708E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12" w:space="0"/>
              <w:left w:val="nil"/>
              <w:bottom w:val="single" w:color="auto" w:sz="4" w:space="0"/>
              <w:right w:val="nil"/>
            </w:tcBorders>
          </w:tcPr>
          <w:p w14:paraId="3938D737">
            <w:pPr>
              <w:spacing w:line="400" w:lineRule="exact"/>
              <w:jc w:val="center"/>
              <w:rPr>
                <w:color w:val="auto"/>
                <w:szCs w:val="21"/>
              </w:rPr>
            </w:pPr>
            <w:r>
              <w:rPr>
                <w:color w:val="auto"/>
                <w:szCs w:val="21"/>
              </w:rPr>
              <w:t>检验指标</w:t>
            </w:r>
          </w:p>
        </w:tc>
        <w:tc>
          <w:tcPr>
            <w:tcW w:w="2841" w:type="dxa"/>
            <w:tcBorders>
              <w:top w:val="single" w:color="auto" w:sz="12" w:space="0"/>
              <w:left w:val="nil"/>
              <w:bottom w:val="single" w:color="auto" w:sz="4" w:space="0"/>
              <w:right w:val="nil"/>
            </w:tcBorders>
          </w:tcPr>
          <w:p w14:paraId="54A530B8">
            <w:pPr>
              <w:spacing w:line="400" w:lineRule="exact"/>
              <w:jc w:val="center"/>
              <w:rPr>
                <w:color w:val="auto"/>
                <w:szCs w:val="21"/>
              </w:rPr>
            </w:pPr>
            <w:r>
              <w:rPr>
                <w:color w:val="auto"/>
                <w:szCs w:val="21"/>
              </w:rPr>
              <w:t>结果值</w:t>
            </w:r>
          </w:p>
        </w:tc>
        <w:tc>
          <w:tcPr>
            <w:tcW w:w="2841" w:type="dxa"/>
            <w:tcBorders>
              <w:top w:val="single" w:color="auto" w:sz="12" w:space="0"/>
              <w:left w:val="nil"/>
              <w:bottom w:val="single" w:color="auto" w:sz="4" w:space="0"/>
              <w:right w:val="nil"/>
            </w:tcBorders>
          </w:tcPr>
          <w:p w14:paraId="604AF795">
            <w:pPr>
              <w:spacing w:line="400" w:lineRule="exact"/>
              <w:jc w:val="center"/>
              <w:rPr>
                <w:color w:val="auto"/>
                <w:szCs w:val="21"/>
              </w:rPr>
            </w:pPr>
            <w:r>
              <w:rPr>
                <w:color w:val="auto"/>
                <w:szCs w:val="21"/>
              </w:rPr>
              <w:t>解释</w:t>
            </w:r>
          </w:p>
        </w:tc>
      </w:tr>
      <w:tr w14:paraId="72177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nil"/>
              <w:bottom w:val="nil"/>
              <w:right w:val="nil"/>
            </w:tcBorders>
          </w:tcPr>
          <w:p w14:paraId="6BD88406">
            <w:pPr>
              <w:spacing w:line="400" w:lineRule="exact"/>
              <w:jc w:val="center"/>
              <w:rPr>
                <w:color w:val="auto"/>
                <w:szCs w:val="21"/>
              </w:rPr>
            </w:pPr>
            <w:r>
              <w:rPr>
                <w:color w:val="auto"/>
                <w:szCs w:val="21"/>
              </w:rPr>
              <w:t>KMO值</w:t>
            </w:r>
          </w:p>
        </w:tc>
        <w:tc>
          <w:tcPr>
            <w:tcW w:w="2841" w:type="dxa"/>
            <w:tcBorders>
              <w:top w:val="single" w:color="auto" w:sz="4" w:space="0"/>
              <w:left w:val="nil"/>
              <w:bottom w:val="nil"/>
              <w:right w:val="nil"/>
            </w:tcBorders>
          </w:tcPr>
          <w:p w14:paraId="6C4DBBCF">
            <w:pPr>
              <w:spacing w:line="400" w:lineRule="exact"/>
              <w:jc w:val="center"/>
              <w:rPr>
                <w:color w:val="auto"/>
                <w:szCs w:val="21"/>
              </w:rPr>
            </w:pPr>
            <w:r>
              <w:rPr>
                <w:color w:val="auto"/>
                <w:szCs w:val="21"/>
              </w:rPr>
              <w:t>0.72</w:t>
            </w:r>
          </w:p>
        </w:tc>
        <w:tc>
          <w:tcPr>
            <w:tcW w:w="2841" w:type="dxa"/>
            <w:tcBorders>
              <w:top w:val="single" w:color="auto" w:sz="4" w:space="0"/>
              <w:left w:val="nil"/>
              <w:bottom w:val="nil"/>
              <w:right w:val="nil"/>
            </w:tcBorders>
          </w:tcPr>
          <w:p w14:paraId="7D2AE81C">
            <w:pPr>
              <w:spacing w:line="400" w:lineRule="exact"/>
              <w:jc w:val="center"/>
              <w:rPr>
                <w:color w:val="auto"/>
                <w:szCs w:val="21"/>
              </w:rPr>
            </w:pPr>
            <w:r>
              <w:rPr>
                <w:color w:val="auto"/>
                <w:szCs w:val="21"/>
              </w:rPr>
              <w:t>数据适合进行因子分析</w:t>
            </w:r>
          </w:p>
        </w:tc>
      </w:tr>
      <w:tr w14:paraId="254E9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nil"/>
              <w:left w:val="nil"/>
              <w:bottom w:val="single" w:color="auto" w:sz="12" w:space="0"/>
              <w:right w:val="nil"/>
            </w:tcBorders>
          </w:tcPr>
          <w:p w14:paraId="09BE86A0">
            <w:pPr>
              <w:spacing w:line="400" w:lineRule="exact"/>
              <w:jc w:val="center"/>
              <w:rPr>
                <w:color w:val="auto"/>
                <w:szCs w:val="21"/>
              </w:rPr>
            </w:pPr>
            <w:r>
              <w:rPr>
                <w:color w:val="auto"/>
                <w:szCs w:val="21"/>
              </w:rPr>
              <w:t>Bartlett球形检验p值</w:t>
            </w:r>
          </w:p>
        </w:tc>
        <w:tc>
          <w:tcPr>
            <w:tcW w:w="2841" w:type="dxa"/>
            <w:tcBorders>
              <w:top w:val="nil"/>
              <w:left w:val="nil"/>
              <w:bottom w:val="single" w:color="auto" w:sz="12" w:space="0"/>
              <w:right w:val="nil"/>
            </w:tcBorders>
          </w:tcPr>
          <w:p w14:paraId="6D3F6231">
            <w:pPr>
              <w:spacing w:line="400" w:lineRule="exact"/>
              <w:jc w:val="center"/>
              <w:rPr>
                <w:color w:val="auto"/>
                <w:szCs w:val="21"/>
              </w:rPr>
            </w:pPr>
            <w:r>
              <w:rPr>
                <w:color w:val="auto"/>
                <w:szCs w:val="21"/>
              </w:rPr>
              <w:t>&lt;0.01</w:t>
            </w:r>
          </w:p>
        </w:tc>
        <w:tc>
          <w:tcPr>
            <w:tcW w:w="2841" w:type="dxa"/>
            <w:tcBorders>
              <w:top w:val="nil"/>
              <w:left w:val="nil"/>
              <w:bottom w:val="single" w:color="auto" w:sz="12" w:space="0"/>
              <w:right w:val="nil"/>
            </w:tcBorders>
          </w:tcPr>
          <w:p w14:paraId="33A6E93D">
            <w:pPr>
              <w:spacing w:line="400" w:lineRule="exact"/>
              <w:jc w:val="center"/>
              <w:rPr>
                <w:color w:val="auto"/>
                <w:szCs w:val="21"/>
              </w:rPr>
            </w:pPr>
            <w:r>
              <w:rPr>
                <w:color w:val="auto"/>
                <w:szCs w:val="21"/>
              </w:rPr>
              <w:t>变量间存在显著相关性</w:t>
            </w:r>
          </w:p>
        </w:tc>
      </w:tr>
    </w:tbl>
    <w:p w14:paraId="5229A731">
      <w:pPr>
        <w:spacing w:line="400" w:lineRule="exact"/>
        <w:ind w:firstLine="480" w:firstLineChars="200"/>
        <w:rPr>
          <w:color w:val="auto"/>
        </w:rPr>
      </w:pPr>
    </w:p>
    <w:p w14:paraId="22FFE9AE">
      <w:pPr>
        <w:spacing w:line="400" w:lineRule="exact"/>
        <w:ind w:firstLine="480" w:firstLineChars="200"/>
        <w:rPr>
          <w:color w:val="auto"/>
        </w:rPr>
      </w:pPr>
      <w:r>
        <w:rPr>
          <w:color w:val="auto"/>
        </w:rPr>
        <w:t>从表4-1中呈现的结果来看，KMO值达到了0.72，这是一个较为理想的数值，说明着所研究的数据集具备进行因子分析的良好基础。KMO值作为衡量变量间共同方差比例的指标，其值越接近1，表明变量间的共同方差越多，因子分析的效果通常越好。0.72的KMO值表明，数据中的变量存在足够的共同信息，适合通过因子分析来简化数据结构，提取潜在因子。Bartlett球形检验的p值小于0.01，结果高度显著，强烈拒绝了变量间相互独立的原假设。这说明所研究的变量之间存在着显著的相关性，可为进行因子分析提供了必要的条件。接着，利用主成分分析法提取公共因子，根据累积贡献率确定保留的因子数量。计算结果如下（见表4-2）。</w:t>
      </w:r>
    </w:p>
    <w:p w14:paraId="4EB47ABF">
      <w:pPr>
        <w:spacing w:line="400" w:lineRule="exact"/>
        <w:jc w:val="center"/>
        <w:rPr>
          <w:color w:val="auto"/>
          <w:szCs w:val="21"/>
        </w:rPr>
      </w:pPr>
      <w:r>
        <w:rPr>
          <w:color w:val="auto"/>
          <w:szCs w:val="21"/>
        </w:rPr>
        <w:t>表4-2 公共因子提取结果</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4FF04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12" w:space="0"/>
              <w:left w:val="nil"/>
              <w:bottom w:val="single" w:color="auto" w:sz="4" w:space="0"/>
              <w:right w:val="nil"/>
            </w:tcBorders>
          </w:tcPr>
          <w:p w14:paraId="7CD5D69D">
            <w:pPr>
              <w:spacing w:line="400" w:lineRule="exact"/>
              <w:jc w:val="center"/>
              <w:rPr>
                <w:color w:val="auto"/>
                <w:szCs w:val="21"/>
              </w:rPr>
            </w:pPr>
            <w:r>
              <w:rPr>
                <w:color w:val="auto"/>
                <w:szCs w:val="21"/>
              </w:rPr>
              <w:t>因子</w:t>
            </w:r>
          </w:p>
        </w:tc>
        <w:tc>
          <w:tcPr>
            <w:tcW w:w="2130" w:type="dxa"/>
            <w:tcBorders>
              <w:top w:val="single" w:color="auto" w:sz="12" w:space="0"/>
              <w:left w:val="nil"/>
              <w:bottom w:val="single" w:color="auto" w:sz="4" w:space="0"/>
              <w:right w:val="nil"/>
            </w:tcBorders>
          </w:tcPr>
          <w:p w14:paraId="32972E16">
            <w:pPr>
              <w:spacing w:line="400" w:lineRule="exact"/>
              <w:jc w:val="center"/>
              <w:rPr>
                <w:color w:val="auto"/>
                <w:szCs w:val="21"/>
              </w:rPr>
            </w:pPr>
            <w:r>
              <w:rPr>
                <w:color w:val="auto"/>
                <w:szCs w:val="21"/>
              </w:rPr>
              <w:t>特征值</w:t>
            </w:r>
          </w:p>
        </w:tc>
        <w:tc>
          <w:tcPr>
            <w:tcW w:w="2131" w:type="dxa"/>
            <w:tcBorders>
              <w:top w:val="single" w:color="auto" w:sz="12" w:space="0"/>
              <w:left w:val="nil"/>
              <w:bottom w:val="single" w:color="auto" w:sz="4" w:space="0"/>
              <w:right w:val="nil"/>
            </w:tcBorders>
          </w:tcPr>
          <w:p w14:paraId="6CCFCEF1">
            <w:pPr>
              <w:spacing w:line="400" w:lineRule="exact"/>
              <w:jc w:val="center"/>
              <w:rPr>
                <w:color w:val="auto"/>
                <w:szCs w:val="21"/>
              </w:rPr>
            </w:pPr>
            <w:r>
              <w:rPr>
                <w:color w:val="auto"/>
                <w:szCs w:val="21"/>
              </w:rPr>
              <w:t>方差贡献率 (%)</w:t>
            </w:r>
          </w:p>
        </w:tc>
        <w:tc>
          <w:tcPr>
            <w:tcW w:w="2131" w:type="dxa"/>
            <w:tcBorders>
              <w:top w:val="single" w:color="auto" w:sz="12" w:space="0"/>
              <w:left w:val="nil"/>
              <w:bottom w:val="single" w:color="auto" w:sz="4" w:space="0"/>
              <w:right w:val="nil"/>
            </w:tcBorders>
          </w:tcPr>
          <w:p w14:paraId="7B42E24B">
            <w:pPr>
              <w:spacing w:line="400" w:lineRule="exact"/>
              <w:jc w:val="center"/>
              <w:rPr>
                <w:color w:val="auto"/>
                <w:szCs w:val="21"/>
              </w:rPr>
            </w:pPr>
            <w:r>
              <w:rPr>
                <w:color w:val="auto"/>
                <w:szCs w:val="21"/>
              </w:rPr>
              <w:t>累积贡献率 (%)</w:t>
            </w:r>
          </w:p>
        </w:tc>
      </w:tr>
      <w:tr w14:paraId="1C391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nil"/>
              <w:bottom w:val="nil"/>
              <w:right w:val="nil"/>
            </w:tcBorders>
          </w:tcPr>
          <w:p w14:paraId="4F49CBB3">
            <w:pPr>
              <w:spacing w:line="400" w:lineRule="exact"/>
              <w:jc w:val="center"/>
              <w:rPr>
                <w:color w:val="auto"/>
                <w:szCs w:val="21"/>
              </w:rPr>
            </w:pPr>
            <w:r>
              <w:rPr>
                <w:color w:val="auto"/>
                <w:szCs w:val="21"/>
              </w:rPr>
              <w:t>F1</w:t>
            </w:r>
          </w:p>
        </w:tc>
        <w:tc>
          <w:tcPr>
            <w:tcW w:w="2130" w:type="dxa"/>
            <w:tcBorders>
              <w:top w:val="single" w:color="auto" w:sz="4" w:space="0"/>
              <w:left w:val="nil"/>
              <w:bottom w:val="nil"/>
              <w:right w:val="nil"/>
            </w:tcBorders>
          </w:tcPr>
          <w:p w14:paraId="5D187AC7">
            <w:pPr>
              <w:spacing w:line="400" w:lineRule="exact"/>
              <w:jc w:val="center"/>
              <w:rPr>
                <w:color w:val="auto"/>
                <w:szCs w:val="21"/>
              </w:rPr>
            </w:pPr>
            <w:r>
              <w:rPr>
                <w:color w:val="auto"/>
                <w:szCs w:val="21"/>
              </w:rPr>
              <w:t>3.85</w:t>
            </w:r>
          </w:p>
        </w:tc>
        <w:tc>
          <w:tcPr>
            <w:tcW w:w="2131" w:type="dxa"/>
            <w:tcBorders>
              <w:top w:val="single" w:color="auto" w:sz="4" w:space="0"/>
              <w:left w:val="nil"/>
              <w:bottom w:val="nil"/>
              <w:right w:val="nil"/>
            </w:tcBorders>
          </w:tcPr>
          <w:p w14:paraId="0F2AFB96">
            <w:pPr>
              <w:spacing w:line="400" w:lineRule="exact"/>
              <w:jc w:val="center"/>
              <w:rPr>
                <w:color w:val="auto"/>
                <w:szCs w:val="21"/>
              </w:rPr>
            </w:pPr>
            <w:r>
              <w:rPr>
                <w:color w:val="auto"/>
                <w:szCs w:val="21"/>
              </w:rPr>
              <w:t>38.50</w:t>
            </w:r>
          </w:p>
        </w:tc>
        <w:tc>
          <w:tcPr>
            <w:tcW w:w="2131" w:type="dxa"/>
            <w:tcBorders>
              <w:top w:val="single" w:color="auto" w:sz="4" w:space="0"/>
              <w:left w:val="nil"/>
              <w:bottom w:val="nil"/>
              <w:right w:val="nil"/>
            </w:tcBorders>
          </w:tcPr>
          <w:p w14:paraId="7F02746B">
            <w:pPr>
              <w:spacing w:line="400" w:lineRule="exact"/>
              <w:jc w:val="center"/>
              <w:rPr>
                <w:color w:val="auto"/>
                <w:szCs w:val="21"/>
              </w:rPr>
            </w:pPr>
            <w:r>
              <w:rPr>
                <w:color w:val="auto"/>
                <w:szCs w:val="21"/>
              </w:rPr>
              <w:t>38.50</w:t>
            </w:r>
          </w:p>
        </w:tc>
      </w:tr>
      <w:tr w14:paraId="6E724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nil"/>
              <w:left w:val="nil"/>
              <w:bottom w:val="nil"/>
              <w:right w:val="nil"/>
            </w:tcBorders>
          </w:tcPr>
          <w:p w14:paraId="56721B72">
            <w:pPr>
              <w:spacing w:line="400" w:lineRule="exact"/>
              <w:jc w:val="center"/>
              <w:rPr>
                <w:color w:val="auto"/>
                <w:szCs w:val="21"/>
              </w:rPr>
            </w:pPr>
            <w:r>
              <w:rPr>
                <w:color w:val="auto"/>
                <w:szCs w:val="21"/>
              </w:rPr>
              <w:t>F2</w:t>
            </w:r>
          </w:p>
        </w:tc>
        <w:tc>
          <w:tcPr>
            <w:tcW w:w="2130" w:type="dxa"/>
            <w:tcBorders>
              <w:top w:val="nil"/>
              <w:left w:val="nil"/>
              <w:bottom w:val="nil"/>
              <w:right w:val="nil"/>
            </w:tcBorders>
          </w:tcPr>
          <w:p w14:paraId="7293BBC7">
            <w:pPr>
              <w:spacing w:line="400" w:lineRule="exact"/>
              <w:jc w:val="center"/>
              <w:rPr>
                <w:color w:val="auto"/>
                <w:szCs w:val="21"/>
              </w:rPr>
            </w:pPr>
            <w:r>
              <w:rPr>
                <w:color w:val="auto"/>
                <w:szCs w:val="21"/>
              </w:rPr>
              <w:t>2.12</w:t>
            </w:r>
          </w:p>
        </w:tc>
        <w:tc>
          <w:tcPr>
            <w:tcW w:w="2131" w:type="dxa"/>
            <w:tcBorders>
              <w:top w:val="nil"/>
              <w:left w:val="nil"/>
              <w:bottom w:val="nil"/>
              <w:right w:val="nil"/>
            </w:tcBorders>
          </w:tcPr>
          <w:p w14:paraId="2897B98E">
            <w:pPr>
              <w:spacing w:line="400" w:lineRule="exact"/>
              <w:jc w:val="center"/>
              <w:rPr>
                <w:color w:val="auto"/>
                <w:szCs w:val="21"/>
              </w:rPr>
            </w:pPr>
            <w:r>
              <w:rPr>
                <w:color w:val="auto"/>
                <w:szCs w:val="21"/>
              </w:rPr>
              <w:t>21.20</w:t>
            </w:r>
          </w:p>
        </w:tc>
        <w:tc>
          <w:tcPr>
            <w:tcW w:w="2131" w:type="dxa"/>
            <w:tcBorders>
              <w:top w:val="nil"/>
              <w:left w:val="nil"/>
              <w:bottom w:val="nil"/>
              <w:right w:val="nil"/>
            </w:tcBorders>
          </w:tcPr>
          <w:p w14:paraId="5FB64497">
            <w:pPr>
              <w:spacing w:line="400" w:lineRule="exact"/>
              <w:jc w:val="center"/>
              <w:rPr>
                <w:color w:val="auto"/>
                <w:szCs w:val="21"/>
              </w:rPr>
            </w:pPr>
            <w:r>
              <w:rPr>
                <w:color w:val="auto"/>
                <w:szCs w:val="21"/>
              </w:rPr>
              <w:t>59.70</w:t>
            </w:r>
          </w:p>
        </w:tc>
      </w:tr>
      <w:tr w14:paraId="03827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nil"/>
              <w:left w:val="nil"/>
              <w:bottom w:val="single" w:color="auto" w:sz="12" w:space="0"/>
              <w:right w:val="nil"/>
            </w:tcBorders>
          </w:tcPr>
          <w:p w14:paraId="30A96F7B">
            <w:pPr>
              <w:spacing w:line="400" w:lineRule="exact"/>
              <w:jc w:val="center"/>
              <w:rPr>
                <w:color w:val="auto"/>
                <w:szCs w:val="21"/>
              </w:rPr>
            </w:pPr>
            <w:r>
              <w:rPr>
                <w:color w:val="auto"/>
                <w:szCs w:val="21"/>
              </w:rPr>
              <w:t>F3</w:t>
            </w:r>
          </w:p>
        </w:tc>
        <w:tc>
          <w:tcPr>
            <w:tcW w:w="2130" w:type="dxa"/>
            <w:tcBorders>
              <w:top w:val="nil"/>
              <w:left w:val="nil"/>
              <w:bottom w:val="single" w:color="auto" w:sz="12" w:space="0"/>
              <w:right w:val="nil"/>
            </w:tcBorders>
          </w:tcPr>
          <w:p w14:paraId="6F26838B">
            <w:pPr>
              <w:spacing w:line="400" w:lineRule="exact"/>
              <w:jc w:val="center"/>
              <w:rPr>
                <w:color w:val="auto"/>
                <w:szCs w:val="21"/>
              </w:rPr>
            </w:pPr>
            <w:r>
              <w:rPr>
                <w:color w:val="auto"/>
                <w:szCs w:val="21"/>
              </w:rPr>
              <w:t>1.43</w:t>
            </w:r>
          </w:p>
        </w:tc>
        <w:tc>
          <w:tcPr>
            <w:tcW w:w="2131" w:type="dxa"/>
            <w:tcBorders>
              <w:top w:val="nil"/>
              <w:left w:val="nil"/>
              <w:bottom w:val="single" w:color="auto" w:sz="12" w:space="0"/>
              <w:right w:val="nil"/>
            </w:tcBorders>
          </w:tcPr>
          <w:p w14:paraId="33915EBD">
            <w:pPr>
              <w:spacing w:line="400" w:lineRule="exact"/>
              <w:jc w:val="center"/>
              <w:rPr>
                <w:color w:val="auto"/>
                <w:szCs w:val="21"/>
              </w:rPr>
            </w:pPr>
            <w:r>
              <w:rPr>
                <w:color w:val="auto"/>
                <w:szCs w:val="21"/>
              </w:rPr>
              <w:t>14.30</w:t>
            </w:r>
          </w:p>
        </w:tc>
        <w:tc>
          <w:tcPr>
            <w:tcW w:w="2131" w:type="dxa"/>
            <w:tcBorders>
              <w:top w:val="nil"/>
              <w:left w:val="nil"/>
              <w:bottom w:val="single" w:color="auto" w:sz="12" w:space="0"/>
              <w:right w:val="nil"/>
            </w:tcBorders>
          </w:tcPr>
          <w:p w14:paraId="6AEC3A38">
            <w:pPr>
              <w:spacing w:line="400" w:lineRule="exact"/>
              <w:jc w:val="center"/>
              <w:rPr>
                <w:color w:val="auto"/>
                <w:szCs w:val="21"/>
              </w:rPr>
            </w:pPr>
            <w:r>
              <w:rPr>
                <w:color w:val="auto"/>
                <w:szCs w:val="21"/>
              </w:rPr>
              <w:t>74.00</w:t>
            </w:r>
          </w:p>
        </w:tc>
      </w:tr>
    </w:tbl>
    <w:p w14:paraId="3EABCEF3">
      <w:pPr>
        <w:spacing w:line="400" w:lineRule="exact"/>
        <w:ind w:firstLine="480" w:firstLineChars="200"/>
        <w:jc w:val="center"/>
        <w:rPr>
          <w:color w:val="auto"/>
        </w:rPr>
      </w:pPr>
    </w:p>
    <w:p w14:paraId="602F1625">
      <w:pPr>
        <w:spacing w:line="400" w:lineRule="exact"/>
        <w:ind w:firstLine="480" w:firstLineChars="200"/>
        <w:jc w:val="left"/>
        <w:rPr>
          <w:color w:val="auto"/>
        </w:rPr>
      </w:pPr>
      <w:r>
        <w:rPr>
          <w:color w:val="auto"/>
        </w:rPr>
        <w:t>从表4-2可以看出，前三个公共因子的累积贡献率达到74.00%，能够较好地反映数据的主要信息，因此保留这三个因子。对因子载荷矩阵进行方差最大正交旋转后，得到旋转后的因子载荷矩阵。根据因子载荷矩阵中的高载荷变量，对每个因子进行命名。具体见表4-2所示。</w:t>
      </w:r>
    </w:p>
    <w:p w14:paraId="0971696E">
      <w:pPr>
        <w:spacing w:line="400" w:lineRule="exact"/>
        <w:ind w:firstLine="480" w:firstLineChars="200"/>
        <w:rPr>
          <w:color w:val="auto"/>
        </w:rPr>
      </w:pPr>
      <w:r>
        <w:rPr>
          <w:color w:val="auto"/>
        </w:rPr>
        <w:t>根据表4-2，对因子进行命名：</w:t>
      </w:r>
    </w:p>
    <w:p w14:paraId="5EE64839">
      <w:pPr>
        <w:spacing w:line="400" w:lineRule="exact"/>
        <w:ind w:firstLine="480" w:firstLineChars="200"/>
        <w:rPr>
          <w:color w:val="auto"/>
        </w:rPr>
      </w:pPr>
      <w:r>
        <w:rPr>
          <w:color w:val="auto"/>
        </w:rPr>
        <w:t>F1：经济效益因子，由容量利用率、单位容量收益、收益增长率、综合效益评估和单位容量潜在扩展能力等变量构成，反映项目的经济效益和潜在扩展能力。</w:t>
      </w:r>
    </w:p>
    <w:p w14:paraId="436D9371">
      <w:pPr>
        <w:spacing w:line="400" w:lineRule="exact"/>
        <w:ind w:firstLine="480" w:firstLineChars="200"/>
        <w:rPr>
          <w:color w:val="auto"/>
        </w:rPr>
      </w:pPr>
      <w:r>
        <w:rPr>
          <w:color w:val="auto"/>
        </w:rPr>
        <w:t>F2：成本控制因子，由单位容量投资成本、年度运维成本占比和数据标准化程度等变量组成，反映项目的投资成本和运维成本。</w:t>
      </w:r>
    </w:p>
    <w:p w14:paraId="5DBE1CA2">
      <w:pPr>
        <w:spacing w:line="400" w:lineRule="exact"/>
        <w:ind w:firstLine="480" w:firstLineChars="200"/>
        <w:rPr>
          <w:color w:val="auto"/>
        </w:rPr>
      </w:pPr>
      <w:r>
        <w:rPr>
          <w:color w:val="auto"/>
        </w:rPr>
        <w:t>F3：长期运营因子，以投资回收期和单位容量运维成本，反映项目的长期运营效率和可持续性。</w:t>
      </w:r>
    </w:p>
    <w:p w14:paraId="615D50BC">
      <w:pPr>
        <w:spacing w:line="400" w:lineRule="exact"/>
        <w:jc w:val="center"/>
        <w:rPr>
          <w:color w:val="auto"/>
          <w:szCs w:val="21"/>
        </w:rPr>
      </w:pPr>
      <w:r>
        <w:rPr>
          <w:color w:val="auto"/>
          <w:szCs w:val="21"/>
        </w:rPr>
        <w:t>表4-2 旋转后的因子载荷矩阵</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6"/>
        <w:gridCol w:w="1894"/>
        <w:gridCol w:w="1893"/>
        <w:gridCol w:w="1889"/>
      </w:tblGrid>
      <w:tr w14:paraId="5BEE0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top w:val="single" w:color="auto" w:sz="12" w:space="0"/>
              <w:left w:val="nil"/>
              <w:bottom w:val="single" w:color="auto" w:sz="4" w:space="0"/>
              <w:right w:val="nil"/>
            </w:tcBorders>
          </w:tcPr>
          <w:p w14:paraId="53EF2CFD">
            <w:pPr>
              <w:spacing w:line="400" w:lineRule="exact"/>
              <w:jc w:val="center"/>
              <w:rPr>
                <w:color w:val="auto"/>
                <w:szCs w:val="21"/>
              </w:rPr>
            </w:pPr>
            <w:r>
              <w:rPr>
                <w:color w:val="auto"/>
                <w:szCs w:val="21"/>
              </w:rPr>
              <w:t>变量名称</w:t>
            </w:r>
          </w:p>
        </w:tc>
        <w:tc>
          <w:tcPr>
            <w:tcW w:w="1894" w:type="dxa"/>
            <w:tcBorders>
              <w:top w:val="single" w:color="auto" w:sz="12" w:space="0"/>
              <w:left w:val="nil"/>
              <w:bottom w:val="single" w:color="auto" w:sz="4" w:space="0"/>
              <w:right w:val="nil"/>
            </w:tcBorders>
          </w:tcPr>
          <w:p w14:paraId="199DC6F2">
            <w:pPr>
              <w:spacing w:line="400" w:lineRule="exact"/>
              <w:jc w:val="center"/>
              <w:rPr>
                <w:color w:val="auto"/>
                <w:szCs w:val="21"/>
              </w:rPr>
            </w:pPr>
            <w:r>
              <w:rPr>
                <w:color w:val="auto"/>
                <w:szCs w:val="21"/>
              </w:rPr>
              <w:t>F1</w:t>
            </w:r>
          </w:p>
        </w:tc>
        <w:tc>
          <w:tcPr>
            <w:tcW w:w="1893" w:type="dxa"/>
            <w:tcBorders>
              <w:top w:val="single" w:color="auto" w:sz="12" w:space="0"/>
              <w:left w:val="nil"/>
              <w:bottom w:val="single" w:color="auto" w:sz="4" w:space="0"/>
              <w:right w:val="nil"/>
            </w:tcBorders>
          </w:tcPr>
          <w:p w14:paraId="54E5EE01">
            <w:pPr>
              <w:spacing w:line="400" w:lineRule="exact"/>
              <w:jc w:val="center"/>
              <w:rPr>
                <w:color w:val="auto"/>
                <w:szCs w:val="21"/>
              </w:rPr>
            </w:pPr>
            <w:r>
              <w:rPr>
                <w:color w:val="auto"/>
                <w:szCs w:val="21"/>
              </w:rPr>
              <w:t>F2</w:t>
            </w:r>
          </w:p>
        </w:tc>
        <w:tc>
          <w:tcPr>
            <w:tcW w:w="1889" w:type="dxa"/>
            <w:tcBorders>
              <w:top w:val="single" w:color="auto" w:sz="12" w:space="0"/>
              <w:left w:val="nil"/>
              <w:bottom w:val="single" w:color="auto" w:sz="4" w:space="0"/>
              <w:right w:val="nil"/>
            </w:tcBorders>
          </w:tcPr>
          <w:p w14:paraId="13E89021">
            <w:pPr>
              <w:spacing w:line="400" w:lineRule="exact"/>
              <w:jc w:val="center"/>
              <w:rPr>
                <w:color w:val="auto"/>
                <w:szCs w:val="21"/>
              </w:rPr>
            </w:pPr>
            <w:r>
              <w:rPr>
                <w:color w:val="auto"/>
                <w:szCs w:val="21"/>
              </w:rPr>
              <w:t>F3</w:t>
            </w:r>
          </w:p>
        </w:tc>
      </w:tr>
      <w:tr w14:paraId="30A08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top w:val="single" w:color="auto" w:sz="4" w:space="0"/>
              <w:left w:val="nil"/>
              <w:bottom w:val="nil"/>
              <w:right w:val="nil"/>
            </w:tcBorders>
          </w:tcPr>
          <w:p w14:paraId="5694DDDF">
            <w:pPr>
              <w:spacing w:line="400" w:lineRule="exact"/>
              <w:jc w:val="center"/>
              <w:rPr>
                <w:color w:val="auto"/>
                <w:szCs w:val="21"/>
              </w:rPr>
            </w:pPr>
            <w:r>
              <w:rPr>
                <w:color w:val="auto"/>
                <w:szCs w:val="21"/>
              </w:rPr>
              <w:t>容量利用率 (YL)</w:t>
            </w:r>
          </w:p>
        </w:tc>
        <w:tc>
          <w:tcPr>
            <w:tcW w:w="1894" w:type="dxa"/>
            <w:tcBorders>
              <w:top w:val="single" w:color="auto" w:sz="4" w:space="0"/>
              <w:left w:val="nil"/>
              <w:bottom w:val="nil"/>
              <w:right w:val="nil"/>
            </w:tcBorders>
          </w:tcPr>
          <w:p w14:paraId="281090C6">
            <w:pPr>
              <w:spacing w:line="400" w:lineRule="exact"/>
              <w:jc w:val="center"/>
              <w:rPr>
                <w:color w:val="auto"/>
                <w:szCs w:val="21"/>
              </w:rPr>
            </w:pPr>
            <w:r>
              <w:rPr>
                <w:color w:val="auto"/>
                <w:szCs w:val="21"/>
              </w:rPr>
              <w:t>0.88</w:t>
            </w:r>
          </w:p>
        </w:tc>
        <w:tc>
          <w:tcPr>
            <w:tcW w:w="1893" w:type="dxa"/>
            <w:tcBorders>
              <w:top w:val="single" w:color="auto" w:sz="4" w:space="0"/>
              <w:left w:val="nil"/>
              <w:bottom w:val="nil"/>
              <w:right w:val="nil"/>
            </w:tcBorders>
          </w:tcPr>
          <w:p w14:paraId="1E8ED0D3">
            <w:pPr>
              <w:spacing w:line="400" w:lineRule="exact"/>
              <w:jc w:val="center"/>
              <w:rPr>
                <w:color w:val="auto"/>
                <w:szCs w:val="21"/>
              </w:rPr>
            </w:pPr>
            <w:r>
              <w:rPr>
                <w:color w:val="auto"/>
                <w:szCs w:val="21"/>
              </w:rPr>
              <w:t>-0.12</w:t>
            </w:r>
          </w:p>
        </w:tc>
        <w:tc>
          <w:tcPr>
            <w:tcW w:w="1889" w:type="dxa"/>
            <w:tcBorders>
              <w:top w:val="single" w:color="auto" w:sz="4" w:space="0"/>
              <w:left w:val="nil"/>
              <w:bottom w:val="nil"/>
              <w:right w:val="nil"/>
            </w:tcBorders>
          </w:tcPr>
          <w:p w14:paraId="67EE00C6">
            <w:pPr>
              <w:spacing w:line="400" w:lineRule="exact"/>
              <w:jc w:val="center"/>
              <w:rPr>
                <w:color w:val="auto"/>
                <w:szCs w:val="21"/>
              </w:rPr>
            </w:pPr>
            <w:r>
              <w:rPr>
                <w:color w:val="auto"/>
                <w:szCs w:val="21"/>
              </w:rPr>
              <w:t>0.05</w:t>
            </w:r>
          </w:p>
        </w:tc>
      </w:tr>
      <w:tr w14:paraId="0514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top w:val="nil"/>
              <w:left w:val="nil"/>
              <w:bottom w:val="nil"/>
              <w:right w:val="nil"/>
            </w:tcBorders>
          </w:tcPr>
          <w:p w14:paraId="19ABA311">
            <w:pPr>
              <w:spacing w:line="400" w:lineRule="exact"/>
              <w:jc w:val="center"/>
              <w:rPr>
                <w:color w:val="auto"/>
                <w:szCs w:val="21"/>
              </w:rPr>
            </w:pPr>
            <w:r>
              <w:rPr>
                <w:color w:val="auto"/>
                <w:szCs w:val="21"/>
              </w:rPr>
              <w:t>单位容量收益 (SY)</w:t>
            </w:r>
          </w:p>
        </w:tc>
        <w:tc>
          <w:tcPr>
            <w:tcW w:w="1894" w:type="dxa"/>
            <w:tcBorders>
              <w:top w:val="nil"/>
              <w:left w:val="nil"/>
              <w:bottom w:val="nil"/>
              <w:right w:val="nil"/>
            </w:tcBorders>
          </w:tcPr>
          <w:p w14:paraId="689B912D">
            <w:pPr>
              <w:spacing w:line="400" w:lineRule="exact"/>
              <w:jc w:val="center"/>
              <w:rPr>
                <w:color w:val="auto"/>
                <w:szCs w:val="21"/>
              </w:rPr>
            </w:pPr>
            <w:r>
              <w:rPr>
                <w:color w:val="auto"/>
                <w:szCs w:val="21"/>
              </w:rPr>
              <w:t>0.82</w:t>
            </w:r>
          </w:p>
        </w:tc>
        <w:tc>
          <w:tcPr>
            <w:tcW w:w="1893" w:type="dxa"/>
            <w:tcBorders>
              <w:top w:val="nil"/>
              <w:left w:val="nil"/>
              <w:bottom w:val="nil"/>
              <w:right w:val="nil"/>
            </w:tcBorders>
          </w:tcPr>
          <w:p w14:paraId="331D488F">
            <w:pPr>
              <w:spacing w:line="400" w:lineRule="exact"/>
              <w:jc w:val="center"/>
              <w:rPr>
                <w:color w:val="auto"/>
                <w:szCs w:val="21"/>
              </w:rPr>
            </w:pPr>
            <w:r>
              <w:rPr>
                <w:color w:val="auto"/>
                <w:szCs w:val="21"/>
              </w:rPr>
              <w:t>0.15</w:t>
            </w:r>
          </w:p>
        </w:tc>
        <w:tc>
          <w:tcPr>
            <w:tcW w:w="1889" w:type="dxa"/>
            <w:tcBorders>
              <w:top w:val="nil"/>
              <w:left w:val="nil"/>
              <w:bottom w:val="nil"/>
              <w:right w:val="nil"/>
            </w:tcBorders>
          </w:tcPr>
          <w:p w14:paraId="05756E4B">
            <w:pPr>
              <w:spacing w:line="400" w:lineRule="exact"/>
              <w:jc w:val="center"/>
              <w:rPr>
                <w:color w:val="auto"/>
                <w:szCs w:val="21"/>
              </w:rPr>
            </w:pPr>
            <w:r>
              <w:rPr>
                <w:color w:val="auto"/>
                <w:szCs w:val="21"/>
              </w:rPr>
              <w:t>-0.10</w:t>
            </w:r>
          </w:p>
        </w:tc>
      </w:tr>
      <w:tr w14:paraId="0D720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top w:val="nil"/>
              <w:left w:val="nil"/>
              <w:bottom w:val="nil"/>
              <w:right w:val="nil"/>
            </w:tcBorders>
          </w:tcPr>
          <w:p w14:paraId="0EC72EAA">
            <w:pPr>
              <w:spacing w:line="400" w:lineRule="exact"/>
              <w:jc w:val="center"/>
              <w:rPr>
                <w:color w:val="auto"/>
                <w:szCs w:val="21"/>
              </w:rPr>
            </w:pPr>
            <w:r>
              <w:rPr>
                <w:color w:val="auto"/>
                <w:szCs w:val="21"/>
              </w:rPr>
              <w:t>收益增长率 (ZC)</w:t>
            </w:r>
          </w:p>
        </w:tc>
        <w:tc>
          <w:tcPr>
            <w:tcW w:w="1894" w:type="dxa"/>
            <w:tcBorders>
              <w:top w:val="nil"/>
              <w:left w:val="nil"/>
              <w:bottom w:val="nil"/>
              <w:right w:val="nil"/>
            </w:tcBorders>
          </w:tcPr>
          <w:p w14:paraId="0A55F67E">
            <w:pPr>
              <w:spacing w:line="400" w:lineRule="exact"/>
              <w:jc w:val="center"/>
              <w:rPr>
                <w:color w:val="auto"/>
                <w:szCs w:val="21"/>
              </w:rPr>
            </w:pPr>
            <w:r>
              <w:rPr>
                <w:color w:val="auto"/>
                <w:szCs w:val="21"/>
              </w:rPr>
              <w:t>0.76</w:t>
            </w:r>
          </w:p>
        </w:tc>
        <w:tc>
          <w:tcPr>
            <w:tcW w:w="1893" w:type="dxa"/>
            <w:tcBorders>
              <w:top w:val="nil"/>
              <w:left w:val="nil"/>
              <w:bottom w:val="nil"/>
              <w:right w:val="nil"/>
            </w:tcBorders>
          </w:tcPr>
          <w:p w14:paraId="1EDE053C">
            <w:pPr>
              <w:spacing w:line="400" w:lineRule="exact"/>
              <w:jc w:val="center"/>
              <w:rPr>
                <w:color w:val="auto"/>
                <w:szCs w:val="21"/>
              </w:rPr>
            </w:pPr>
            <w:r>
              <w:rPr>
                <w:color w:val="auto"/>
                <w:szCs w:val="21"/>
              </w:rPr>
              <w:t>0.20</w:t>
            </w:r>
          </w:p>
        </w:tc>
        <w:tc>
          <w:tcPr>
            <w:tcW w:w="1889" w:type="dxa"/>
            <w:tcBorders>
              <w:top w:val="nil"/>
              <w:left w:val="nil"/>
              <w:bottom w:val="nil"/>
              <w:right w:val="nil"/>
            </w:tcBorders>
          </w:tcPr>
          <w:p w14:paraId="467B90E2">
            <w:pPr>
              <w:spacing w:line="400" w:lineRule="exact"/>
              <w:jc w:val="center"/>
              <w:rPr>
                <w:color w:val="auto"/>
                <w:szCs w:val="21"/>
              </w:rPr>
            </w:pPr>
            <w:r>
              <w:rPr>
                <w:color w:val="auto"/>
                <w:szCs w:val="21"/>
              </w:rPr>
              <w:t>-0.08</w:t>
            </w:r>
          </w:p>
        </w:tc>
      </w:tr>
      <w:tr w14:paraId="0D2E6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top w:val="nil"/>
              <w:left w:val="nil"/>
              <w:bottom w:val="nil"/>
              <w:right w:val="nil"/>
            </w:tcBorders>
          </w:tcPr>
          <w:p w14:paraId="6BD82C83">
            <w:pPr>
              <w:spacing w:line="400" w:lineRule="exact"/>
              <w:jc w:val="center"/>
              <w:rPr>
                <w:color w:val="auto"/>
                <w:szCs w:val="21"/>
              </w:rPr>
            </w:pPr>
            <w:r>
              <w:rPr>
                <w:color w:val="auto"/>
                <w:szCs w:val="21"/>
              </w:rPr>
              <w:t>综合效益评估 (XH)</w:t>
            </w:r>
          </w:p>
        </w:tc>
        <w:tc>
          <w:tcPr>
            <w:tcW w:w="1894" w:type="dxa"/>
            <w:tcBorders>
              <w:top w:val="nil"/>
              <w:left w:val="nil"/>
              <w:bottom w:val="nil"/>
              <w:right w:val="nil"/>
            </w:tcBorders>
          </w:tcPr>
          <w:p w14:paraId="5F308E81">
            <w:pPr>
              <w:spacing w:line="400" w:lineRule="exact"/>
              <w:jc w:val="center"/>
              <w:rPr>
                <w:color w:val="auto"/>
                <w:szCs w:val="21"/>
              </w:rPr>
            </w:pPr>
            <w:r>
              <w:rPr>
                <w:color w:val="auto"/>
                <w:szCs w:val="21"/>
              </w:rPr>
              <w:t>0.85</w:t>
            </w:r>
          </w:p>
        </w:tc>
        <w:tc>
          <w:tcPr>
            <w:tcW w:w="1893" w:type="dxa"/>
            <w:tcBorders>
              <w:top w:val="nil"/>
              <w:left w:val="nil"/>
              <w:bottom w:val="nil"/>
              <w:right w:val="nil"/>
            </w:tcBorders>
          </w:tcPr>
          <w:p w14:paraId="64D7E0E0">
            <w:pPr>
              <w:spacing w:line="400" w:lineRule="exact"/>
              <w:jc w:val="center"/>
              <w:rPr>
                <w:color w:val="auto"/>
                <w:szCs w:val="21"/>
              </w:rPr>
            </w:pPr>
            <w:r>
              <w:rPr>
                <w:color w:val="auto"/>
                <w:szCs w:val="21"/>
              </w:rPr>
              <w:t>0.08</w:t>
            </w:r>
          </w:p>
        </w:tc>
        <w:tc>
          <w:tcPr>
            <w:tcW w:w="1889" w:type="dxa"/>
            <w:tcBorders>
              <w:top w:val="nil"/>
              <w:left w:val="nil"/>
              <w:bottom w:val="nil"/>
              <w:right w:val="nil"/>
            </w:tcBorders>
          </w:tcPr>
          <w:p w14:paraId="48DACE70">
            <w:pPr>
              <w:spacing w:line="400" w:lineRule="exact"/>
              <w:jc w:val="center"/>
              <w:rPr>
                <w:color w:val="auto"/>
                <w:szCs w:val="21"/>
              </w:rPr>
            </w:pPr>
            <w:r>
              <w:rPr>
                <w:color w:val="auto"/>
                <w:szCs w:val="21"/>
              </w:rPr>
              <w:t>-0.12</w:t>
            </w:r>
          </w:p>
        </w:tc>
      </w:tr>
      <w:tr w14:paraId="225CD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top w:val="nil"/>
              <w:left w:val="nil"/>
              <w:bottom w:val="nil"/>
              <w:right w:val="nil"/>
            </w:tcBorders>
          </w:tcPr>
          <w:p w14:paraId="48827F5B">
            <w:pPr>
              <w:spacing w:line="400" w:lineRule="exact"/>
              <w:jc w:val="center"/>
              <w:rPr>
                <w:color w:val="auto"/>
                <w:szCs w:val="21"/>
              </w:rPr>
            </w:pPr>
            <w:r>
              <w:rPr>
                <w:color w:val="auto"/>
                <w:szCs w:val="21"/>
              </w:rPr>
              <w:t>单位容量潜在扩展能力 (KZ)</w:t>
            </w:r>
          </w:p>
        </w:tc>
        <w:tc>
          <w:tcPr>
            <w:tcW w:w="1894" w:type="dxa"/>
            <w:tcBorders>
              <w:top w:val="nil"/>
              <w:left w:val="nil"/>
              <w:bottom w:val="nil"/>
              <w:right w:val="nil"/>
            </w:tcBorders>
          </w:tcPr>
          <w:p w14:paraId="515CA465">
            <w:pPr>
              <w:spacing w:line="400" w:lineRule="exact"/>
              <w:jc w:val="center"/>
              <w:rPr>
                <w:color w:val="auto"/>
                <w:szCs w:val="21"/>
              </w:rPr>
            </w:pPr>
            <w:r>
              <w:rPr>
                <w:color w:val="auto"/>
                <w:szCs w:val="21"/>
              </w:rPr>
              <w:t>0.80</w:t>
            </w:r>
          </w:p>
        </w:tc>
        <w:tc>
          <w:tcPr>
            <w:tcW w:w="1893" w:type="dxa"/>
            <w:tcBorders>
              <w:top w:val="nil"/>
              <w:left w:val="nil"/>
              <w:bottom w:val="nil"/>
              <w:right w:val="nil"/>
            </w:tcBorders>
          </w:tcPr>
          <w:p w14:paraId="6A1B8477">
            <w:pPr>
              <w:spacing w:line="400" w:lineRule="exact"/>
              <w:jc w:val="center"/>
              <w:rPr>
                <w:color w:val="auto"/>
                <w:szCs w:val="21"/>
              </w:rPr>
            </w:pPr>
            <w:r>
              <w:rPr>
                <w:color w:val="auto"/>
                <w:szCs w:val="21"/>
              </w:rPr>
              <w:t>0.10</w:t>
            </w:r>
          </w:p>
        </w:tc>
        <w:tc>
          <w:tcPr>
            <w:tcW w:w="1889" w:type="dxa"/>
            <w:tcBorders>
              <w:top w:val="nil"/>
              <w:left w:val="nil"/>
              <w:bottom w:val="nil"/>
              <w:right w:val="nil"/>
            </w:tcBorders>
          </w:tcPr>
          <w:p w14:paraId="3CB5B7E6">
            <w:pPr>
              <w:spacing w:line="400" w:lineRule="exact"/>
              <w:jc w:val="center"/>
              <w:rPr>
                <w:color w:val="auto"/>
                <w:szCs w:val="21"/>
              </w:rPr>
            </w:pPr>
            <w:r>
              <w:rPr>
                <w:color w:val="auto"/>
                <w:szCs w:val="21"/>
              </w:rPr>
              <w:t>0.15</w:t>
            </w:r>
          </w:p>
        </w:tc>
      </w:tr>
      <w:tr w14:paraId="66F13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6" w:type="dxa"/>
            <w:tcBorders>
              <w:top w:val="nil"/>
              <w:left w:val="nil"/>
              <w:bottom w:val="nil"/>
              <w:right w:val="nil"/>
            </w:tcBorders>
          </w:tcPr>
          <w:p w14:paraId="5EBADD9C">
            <w:pPr>
              <w:spacing w:line="400" w:lineRule="exact"/>
              <w:jc w:val="center"/>
              <w:rPr>
                <w:color w:val="auto"/>
                <w:szCs w:val="21"/>
              </w:rPr>
            </w:pPr>
            <w:r>
              <w:rPr>
                <w:color w:val="auto"/>
                <w:szCs w:val="21"/>
              </w:rPr>
              <w:t>单位容量投资成本 (TZ)</w:t>
            </w:r>
          </w:p>
        </w:tc>
        <w:tc>
          <w:tcPr>
            <w:tcW w:w="1894" w:type="dxa"/>
            <w:tcBorders>
              <w:top w:val="nil"/>
              <w:left w:val="nil"/>
              <w:bottom w:val="nil"/>
              <w:right w:val="nil"/>
            </w:tcBorders>
          </w:tcPr>
          <w:p w14:paraId="41D49352">
            <w:pPr>
              <w:spacing w:line="400" w:lineRule="exact"/>
              <w:jc w:val="center"/>
              <w:rPr>
                <w:color w:val="auto"/>
                <w:szCs w:val="21"/>
              </w:rPr>
            </w:pPr>
            <w:r>
              <w:rPr>
                <w:color w:val="auto"/>
                <w:szCs w:val="21"/>
              </w:rPr>
              <w:t>-0.05</w:t>
            </w:r>
          </w:p>
        </w:tc>
        <w:tc>
          <w:tcPr>
            <w:tcW w:w="1893" w:type="dxa"/>
            <w:tcBorders>
              <w:top w:val="nil"/>
              <w:left w:val="nil"/>
              <w:bottom w:val="nil"/>
              <w:right w:val="nil"/>
            </w:tcBorders>
          </w:tcPr>
          <w:p w14:paraId="13248EFA">
            <w:pPr>
              <w:spacing w:line="400" w:lineRule="exact"/>
              <w:jc w:val="center"/>
              <w:rPr>
                <w:color w:val="auto"/>
                <w:szCs w:val="21"/>
              </w:rPr>
            </w:pPr>
            <w:r>
              <w:rPr>
                <w:color w:val="auto"/>
                <w:szCs w:val="21"/>
              </w:rPr>
              <w:t>0.89</w:t>
            </w:r>
          </w:p>
        </w:tc>
        <w:tc>
          <w:tcPr>
            <w:tcW w:w="1889" w:type="dxa"/>
            <w:tcBorders>
              <w:top w:val="nil"/>
              <w:left w:val="nil"/>
              <w:bottom w:val="nil"/>
              <w:right w:val="nil"/>
            </w:tcBorders>
          </w:tcPr>
          <w:p w14:paraId="7C8DCCA8">
            <w:pPr>
              <w:spacing w:line="400" w:lineRule="exact"/>
              <w:jc w:val="center"/>
              <w:rPr>
                <w:color w:val="auto"/>
                <w:szCs w:val="21"/>
              </w:rPr>
            </w:pPr>
            <w:r>
              <w:rPr>
                <w:color w:val="auto"/>
                <w:szCs w:val="21"/>
              </w:rPr>
              <w:t>0.03</w:t>
            </w:r>
          </w:p>
        </w:tc>
      </w:tr>
      <w:tr w14:paraId="54654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top w:val="nil"/>
              <w:left w:val="nil"/>
              <w:bottom w:val="nil"/>
              <w:right w:val="nil"/>
            </w:tcBorders>
          </w:tcPr>
          <w:p w14:paraId="502EE494">
            <w:pPr>
              <w:spacing w:line="400" w:lineRule="exact"/>
              <w:jc w:val="center"/>
              <w:rPr>
                <w:color w:val="auto"/>
                <w:szCs w:val="21"/>
              </w:rPr>
            </w:pPr>
            <w:r>
              <w:rPr>
                <w:color w:val="auto"/>
                <w:szCs w:val="21"/>
              </w:rPr>
              <w:t>年度运维成本占比 (YY)</w:t>
            </w:r>
          </w:p>
        </w:tc>
        <w:tc>
          <w:tcPr>
            <w:tcW w:w="1894" w:type="dxa"/>
            <w:tcBorders>
              <w:top w:val="nil"/>
              <w:left w:val="nil"/>
              <w:bottom w:val="nil"/>
              <w:right w:val="nil"/>
            </w:tcBorders>
          </w:tcPr>
          <w:p w14:paraId="3203EE6A">
            <w:pPr>
              <w:spacing w:line="400" w:lineRule="exact"/>
              <w:jc w:val="center"/>
              <w:rPr>
                <w:color w:val="auto"/>
                <w:szCs w:val="21"/>
              </w:rPr>
            </w:pPr>
            <w:r>
              <w:rPr>
                <w:color w:val="auto"/>
                <w:szCs w:val="21"/>
              </w:rPr>
              <w:t>0.02</w:t>
            </w:r>
          </w:p>
        </w:tc>
        <w:tc>
          <w:tcPr>
            <w:tcW w:w="1893" w:type="dxa"/>
            <w:tcBorders>
              <w:top w:val="nil"/>
              <w:left w:val="nil"/>
              <w:bottom w:val="nil"/>
              <w:right w:val="nil"/>
            </w:tcBorders>
          </w:tcPr>
          <w:p w14:paraId="5BDE1A85">
            <w:pPr>
              <w:spacing w:line="400" w:lineRule="exact"/>
              <w:jc w:val="center"/>
              <w:rPr>
                <w:color w:val="auto"/>
                <w:szCs w:val="21"/>
              </w:rPr>
            </w:pPr>
            <w:r>
              <w:rPr>
                <w:color w:val="auto"/>
                <w:szCs w:val="21"/>
              </w:rPr>
              <w:t>0.85</w:t>
            </w:r>
          </w:p>
        </w:tc>
        <w:tc>
          <w:tcPr>
            <w:tcW w:w="1889" w:type="dxa"/>
            <w:tcBorders>
              <w:top w:val="nil"/>
              <w:left w:val="nil"/>
              <w:bottom w:val="nil"/>
              <w:right w:val="nil"/>
            </w:tcBorders>
          </w:tcPr>
          <w:p w14:paraId="72AC3B20">
            <w:pPr>
              <w:spacing w:line="400" w:lineRule="exact"/>
              <w:jc w:val="center"/>
              <w:rPr>
                <w:color w:val="auto"/>
                <w:szCs w:val="21"/>
              </w:rPr>
            </w:pPr>
            <w:r>
              <w:rPr>
                <w:color w:val="auto"/>
                <w:szCs w:val="21"/>
              </w:rPr>
              <w:t>-0.10</w:t>
            </w:r>
          </w:p>
        </w:tc>
      </w:tr>
      <w:tr w14:paraId="2B5BC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top w:val="nil"/>
              <w:left w:val="nil"/>
              <w:bottom w:val="nil"/>
              <w:right w:val="nil"/>
            </w:tcBorders>
          </w:tcPr>
          <w:p w14:paraId="4B691EEF">
            <w:pPr>
              <w:spacing w:line="400" w:lineRule="exact"/>
              <w:jc w:val="center"/>
              <w:rPr>
                <w:color w:val="auto"/>
                <w:szCs w:val="21"/>
              </w:rPr>
            </w:pPr>
            <w:r>
              <w:rPr>
                <w:color w:val="auto"/>
                <w:szCs w:val="21"/>
              </w:rPr>
              <w:t>数据标准化程度 (BZ)</w:t>
            </w:r>
          </w:p>
        </w:tc>
        <w:tc>
          <w:tcPr>
            <w:tcW w:w="1894" w:type="dxa"/>
            <w:tcBorders>
              <w:top w:val="nil"/>
              <w:left w:val="nil"/>
              <w:bottom w:val="nil"/>
              <w:right w:val="nil"/>
            </w:tcBorders>
          </w:tcPr>
          <w:p w14:paraId="1AD490E4">
            <w:pPr>
              <w:spacing w:line="400" w:lineRule="exact"/>
              <w:jc w:val="center"/>
              <w:rPr>
                <w:color w:val="auto"/>
                <w:szCs w:val="21"/>
              </w:rPr>
            </w:pPr>
            <w:r>
              <w:rPr>
                <w:color w:val="auto"/>
                <w:szCs w:val="21"/>
              </w:rPr>
              <w:t>-0.10</w:t>
            </w:r>
          </w:p>
        </w:tc>
        <w:tc>
          <w:tcPr>
            <w:tcW w:w="1893" w:type="dxa"/>
            <w:tcBorders>
              <w:top w:val="nil"/>
              <w:left w:val="nil"/>
              <w:bottom w:val="nil"/>
              <w:right w:val="nil"/>
            </w:tcBorders>
          </w:tcPr>
          <w:p w14:paraId="67C73B0A">
            <w:pPr>
              <w:spacing w:line="400" w:lineRule="exact"/>
              <w:jc w:val="center"/>
              <w:rPr>
                <w:color w:val="auto"/>
                <w:szCs w:val="21"/>
              </w:rPr>
            </w:pPr>
            <w:r>
              <w:rPr>
                <w:color w:val="auto"/>
                <w:szCs w:val="21"/>
              </w:rPr>
              <w:t>0.83</w:t>
            </w:r>
          </w:p>
        </w:tc>
        <w:tc>
          <w:tcPr>
            <w:tcW w:w="1889" w:type="dxa"/>
            <w:tcBorders>
              <w:top w:val="nil"/>
              <w:left w:val="nil"/>
              <w:bottom w:val="nil"/>
              <w:right w:val="nil"/>
            </w:tcBorders>
          </w:tcPr>
          <w:p w14:paraId="6130E205">
            <w:pPr>
              <w:spacing w:line="400" w:lineRule="exact"/>
              <w:jc w:val="center"/>
              <w:rPr>
                <w:color w:val="auto"/>
                <w:szCs w:val="21"/>
              </w:rPr>
            </w:pPr>
            <w:r>
              <w:rPr>
                <w:color w:val="auto"/>
                <w:szCs w:val="21"/>
              </w:rPr>
              <w:t>0.08</w:t>
            </w:r>
          </w:p>
        </w:tc>
      </w:tr>
      <w:tr w14:paraId="40404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top w:val="nil"/>
              <w:left w:val="nil"/>
              <w:bottom w:val="nil"/>
              <w:right w:val="nil"/>
            </w:tcBorders>
          </w:tcPr>
          <w:p w14:paraId="7C355597">
            <w:pPr>
              <w:spacing w:line="400" w:lineRule="exact"/>
              <w:jc w:val="center"/>
              <w:rPr>
                <w:color w:val="auto"/>
                <w:szCs w:val="21"/>
              </w:rPr>
            </w:pPr>
            <w:r>
              <w:rPr>
                <w:color w:val="auto"/>
                <w:szCs w:val="21"/>
              </w:rPr>
              <w:t>投资回收期 (HS)</w:t>
            </w:r>
          </w:p>
        </w:tc>
        <w:tc>
          <w:tcPr>
            <w:tcW w:w="1894" w:type="dxa"/>
            <w:tcBorders>
              <w:top w:val="nil"/>
              <w:left w:val="nil"/>
              <w:bottom w:val="nil"/>
              <w:right w:val="nil"/>
            </w:tcBorders>
          </w:tcPr>
          <w:p w14:paraId="2521831C">
            <w:pPr>
              <w:spacing w:line="400" w:lineRule="exact"/>
              <w:jc w:val="center"/>
              <w:rPr>
                <w:color w:val="auto"/>
                <w:szCs w:val="21"/>
              </w:rPr>
            </w:pPr>
            <w:r>
              <w:rPr>
                <w:color w:val="auto"/>
                <w:szCs w:val="21"/>
              </w:rPr>
              <w:t>-0.15</w:t>
            </w:r>
          </w:p>
        </w:tc>
        <w:tc>
          <w:tcPr>
            <w:tcW w:w="1893" w:type="dxa"/>
            <w:tcBorders>
              <w:top w:val="nil"/>
              <w:left w:val="nil"/>
              <w:bottom w:val="nil"/>
              <w:right w:val="nil"/>
            </w:tcBorders>
          </w:tcPr>
          <w:p w14:paraId="11AF8963">
            <w:pPr>
              <w:spacing w:line="400" w:lineRule="exact"/>
              <w:jc w:val="center"/>
              <w:rPr>
                <w:color w:val="auto"/>
                <w:szCs w:val="21"/>
              </w:rPr>
            </w:pPr>
            <w:r>
              <w:rPr>
                <w:color w:val="auto"/>
                <w:szCs w:val="21"/>
              </w:rPr>
              <w:t>0.05</w:t>
            </w:r>
          </w:p>
        </w:tc>
        <w:tc>
          <w:tcPr>
            <w:tcW w:w="1889" w:type="dxa"/>
            <w:tcBorders>
              <w:top w:val="nil"/>
              <w:left w:val="nil"/>
              <w:bottom w:val="nil"/>
              <w:right w:val="nil"/>
            </w:tcBorders>
          </w:tcPr>
          <w:p w14:paraId="163667FE">
            <w:pPr>
              <w:spacing w:line="400" w:lineRule="exact"/>
              <w:jc w:val="center"/>
              <w:rPr>
                <w:color w:val="auto"/>
                <w:szCs w:val="21"/>
              </w:rPr>
            </w:pPr>
            <w:r>
              <w:rPr>
                <w:color w:val="auto"/>
                <w:szCs w:val="21"/>
              </w:rPr>
              <w:t>0.88</w:t>
            </w:r>
          </w:p>
        </w:tc>
      </w:tr>
      <w:tr w14:paraId="247B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top w:val="nil"/>
              <w:left w:val="nil"/>
              <w:bottom w:val="single" w:color="auto" w:sz="12" w:space="0"/>
              <w:right w:val="nil"/>
            </w:tcBorders>
          </w:tcPr>
          <w:p w14:paraId="7D7B9D4F">
            <w:pPr>
              <w:spacing w:line="400" w:lineRule="exact"/>
              <w:jc w:val="center"/>
              <w:rPr>
                <w:color w:val="auto"/>
                <w:szCs w:val="21"/>
              </w:rPr>
            </w:pPr>
            <w:r>
              <w:rPr>
                <w:color w:val="auto"/>
                <w:szCs w:val="21"/>
              </w:rPr>
              <w:t>单位容量运维成本 (YW)</w:t>
            </w:r>
          </w:p>
        </w:tc>
        <w:tc>
          <w:tcPr>
            <w:tcW w:w="1894" w:type="dxa"/>
            <w:tcBorders>
              <w:top w:val="nil"/>
              <w:left w:val="nil"/>
              <w:bottom w:val="single" w:color="auto" w:sz="12" w:space="0"/>
              <w:right w:val="nil"/>
            </w:tcBorders>
          </w:tcPr>
          <w:p w14:paraId="0A4EE0F4">
            <w:pPr>
              <w:spacing w:line="400" w:lineRule="exact"/>
              <w:jc w:val="center"/>
              <w:rPr>
                <w:color w:val="auto"/>
                <w:szCs w:val="21"/>
              </w:rPr>
            </w:pPr>
            <w:r>
              <w:rPr>
                <w:color w:val="auto"/>
                <w:szCs w:val="21"/>
              </w:rPr>
              <w:t>-0.08</w:t>
            </w:r>
          </w:p>
        </w:tc>
        <w:tc>
          <w:tcPr>
            <w:tcW w:w="1893" w:type="dxa"/>
            <w:tcBorders>
              <w:top w:val="nil"/>
              <w:left w:val="nil"/>
              <w:bottom w:val="single" w:color="auto" w:sz="12" w:space="0"/>
              <w:right w:val="nil"/>
            </w:tcBorders>
          </w:tcPr>
          <w:p w14:paraId="0F18B0DC">
            <w:pPr>
              <w:spacing w:line="400" w:lineRule="exact"/>
              <w:jc w:val="center"/>
              <w:rPr>
                <w:color w:val="auto"/>
                <w:szCs w:val="21"/>
              </w:rPr>
            </w:pPr>
            <w:r>
              <w:rPr>
                <w:color w:val="auto"/>
                <w:szCs w:val="21"/>
              </w:rPr>
              <w:t>0.03</w:t>
            </w:r>
          </w:p>
        </w:tc>
        <w:tc>
          <w:tcPr>
            <w:tcW w:w="1889" w:type="dxa"/>
            <w:tcBorders>
              <w:top w:val="nil"/>
              <w:left w:val="nil"/>
              <w:bottom w:val="single" w:color="auto" w:sz="12" w:space="0"/>
              <w:right w:val="nil"/>
            </w:tcBorders>
          </w:tcPr>
          <w:p w14:paraId="41458E96">
            <w:pPr>
              <w:spacing w:line="400" w:lineRule="exact"/>
              <w:jc w:val="center"/>
              <w:rPr>
                <w:color w:val="auto"/>
                <w:szCs w:val="21"/>
              </w:rPr>
            </w:pPr>
            <w:r>
              <w:rPr>
                <w:color w:val="auto"/>
                <w:szCs w:val="21"/>
              </w:rPr>
              <w:t>0.86</w:t>
            </w:r>
          </w:p>
        </w:tc>
      </w:tr>
    </w:tbl>
    <w:p w14:paraId="3F4722A8">
      <w:pPr>
        <w:spacing w:line="400" w:lineRule="exact"/>
        <w:ind w:firstLine="480" w:firstLineChars="200"/>
        <w:rPr>
          <w:color w:val="auto"/>
        </w:rPr>
      </w:pPr>
    </w:p>
    <w:p w14:paraId="270961EC">
      <w:pPr>
        <w:spacing w:line="400" w:lineRule="exact"/>
        <w:ind w:firstLine="480" w:firstLineChars="200"/>
        <w:rPr>
          <w:color w:val="auto"/>
        </w:rPr>
      </w:pPr>
      <w:r>
        <w:rPr>
          <w:color w:val="auto"/>
        </w:rPr>
        <w:t>如上所述，通过因子分析法，从原始变量中提取了三个公共因子，分别为经济效益因子（F1）、成本控制因子（F2）和长期运营因子（F3）。这些因子能够有效反映电网项目投资能力的主要影响因素，可为后续模型构建奠定基础。</w:t>
      </w:r>
    </w:p>
    <w:p w14:paraId="2DFE5AE0">
      <w:pPr>
        <w:spacing w:before="156" w:beforeLines="50" w:after="156" w:afterLines="50" w:line="400" w:lineRule="exact"/>
        <w:outlineLvl w:val="2"/>
        <w:rPr>
          <w:rFonts w:eastAsia="黑体"/>
          <w:color w:val="auto"/>
          <w:sz w:val="28"/>
          <w:szCs w:val="28"/>
        </w:rPr>
      </w:pPr>
      <w:bookmarkStart w:id="131" w:name="_Toc193967365"/>
      <w:bookmarkStart w:id="132" w:name="_Toc192967128"/>
      <w:bookmarkStart w:id="133" w:name="_Toc16677"/>
      <w:r>
        <w:rPr>
          <w:rFonts w:eastAsia="黑体"/>
          <w:color w:val="auto"/>
          <w:sz w:val="28"/>
          <w:szCs w:val="28"/>
        </w:rPr>
        <w:t>4.2.2 投资能力测算模型建立</w:t>
      </w:r>
      <w:bookmarkEnd w:id="131"/>
      <w:bookmarkEnd w:id="132"/>
      <w:bookmarkEnd w:id="133"/>
    </w:p>
    <w:p w14:paraId="11F10970">
      <w:pPr>
        <w:spacing w:line="400" w:lineRule="exact"/>
        <w:ind w:firstLine="480" w:firstLineChars="200"/>
        <w:rPr>
          <w:color w:val="auto"/>
        </w:rPr>
      </w:pPr>
      <w:r>
        <w:rPr>
          <w:color w:val="auto"/>
        </w:rPr>
        <w:t>模型在传统因子分析和主成分分析的基础上，引入机器学习（Machine Learning, ML）和深度强化学习（Deep Reinforcement Learning, DRL）方法，将历史数据和实时动态信息融入模型，对电网项目投资能力的精准评估和优化决策。模型由三个模块组成：</w:t>
      </w:r>
    </w:p>
    <w:p w14:paraId="6703BACB">
      <w:pPr>
        <w:spacing w:line="400" w:lineRule="exact"/>
        <w:ind w:firstLine="480" w:firstLineChars="200"/>
        <w:rPr>
          <w:color w:val="auto"/>
        </w:rPr>
      </w:pPr>
      <w:r>
        <w:rPr>
          <w:color w:val="auto"/>
        </w:rPr>
        <w:t>（1）特征提取模块：基于主成分分析（PCA）和因子分析法，从原始变量中提取关键特征。</w:t>
      </w:r>
    </w:p>
    <w:p w14:paraId="1521E4ED">
      <w:pPr>
        <w:spacing w:line="400" w:lineRule="exact"/>
        <w:ind w:firstLine="480" w:firstLineChars="200"/>
        <w:rPr>
          <w:color w:val="auto"/>
        </w:rPr>
      </w:pPr>
      <w:r>
        <w:rPr>
          <w:color w:val="auto"/>
        </w:rPr>
        <w:t>（2）机器学习预测模块：利用监督学习算法对电网项目的经济效益、成本控制和长期运营能力进行初步预测。</w:t>
      </w:r>
    </w:p>
    <w:p w14:paraId="50581025">
      <w:pPr>
        <w:spacing w:line="400" w:lineRule="exact"/>
        <w:ind w:firstLine="480" w:firstLineChars="200"/>
        <w:rPr>
          <w:color w:val="auto"/>
        </w:rPr>
      </w:pPr>
      <w:r>
        <w:rPr>
          <w:color w:val="auto"/>
        </w:rPr>
        <w:t>（3）深度强化学习优化模块：构建动态环境模拟器，使用深度Q网络（Deep Q-Network, DQN）或策略梯度方法（Policy Gradient）优化投资决策，确保在多变的市场和技术环境中实现最优资源配置。</w:t>
      </w:r>
    </w:p>
    <w:p w14:paraId="5D70302F">
      <w:pPr>
        <w:spacing w:line="400" w:lineRule="exact"/>
        <w:ind w:firstLine="480" w:firstLineChars="200"/>
        <w:rPr>
          <w:color w:val="auto"/>
        </w:rPr>
      </w:pPr>
      <w:r>
        <w:rPr>
          <w:color w:val="auto"/>
        </w:rPr>
        <w:t>1）特征提取模块</w:t>
      </w:r>
    </w:p>
    <w:p w14:paraId="33F565A0">
      <w:pPr>
        <w:spacing w:line="400" w:lineRule="exact"/>
        <w:ind w:firstLine="480" w:firstLineChars="200"/>
        <w:rPr>
          <w:color w:val="auto"/>
        </w:rPr>
      </w:pPr>
      <w:r>
        <w:rPr>
          <w:color w:val="auto"/>
        </w:rPr>
        <w:t>为了消除不同变量量纲的影响，首先对原始数据进行标准化处理。假设输入变量为矩阵</w:t>
      </w:r>
      <m:oMath>
        <m:r>
          <m:rPr/>
          <w:rPr>
            <w:rFonts w:ascii="Cambria Math" w:hAnsi="Cambria Math"/>
            <w:color w:val="auto"/>
          </w:rPr>
          <m:t>X∈</m:t>
        </m:r>
        <m:sSup>
          <m:sSupPr>
            <m:ctrlPr>
              <w:rPr>
                <w:rFonts w:ascii="Cambria Math" w:hAnsi="Cambria Math"/>
                <w:i/>
                <w:iCs/>
                <w:color w:val="auto"/>
              </w:rPr>
            </m:ctrlPr>
          </m:sSupPr>
          <m:e>
            <m:r>
              <m:rPr>
                <m:scr m:val="double-struck"/>
              </m:rPr>
              <w:rPr>
                <w:rFonts w:ascii="Cambria Math" w:hAnsi="Cambria Math" w:eastAsia="MS Mincho"/>
                <w:color w:val="auto"/>
              </w:rPr>
              <m:t>ℝ</m:t>
            </m:r>
            <m:ctrlPr>
              <w:rPr>
                <w:rFonts w:ascii="Cambria Math" w:hAnsi="Cambria Math"/>
                <w:i/>
                <w:iCs/>
                <w:color w:val="auto"/>
              </w:rPr>
            </m:ctrlPr>
          </m:e>
          <m:sup>
            <m:r>
              <m:rPr/>
              <w:rPr>
                <w:rFonts w:ascii="Cambria Math" w:hAnsi="Cambria Math"/>
                <w:color w:val="auto"/>
              </w:rPr>
              <m:t>n×m</m:t>
            </m:r>
            <m:ctrlPr>
              <w:rPr>
                <w:rFonts w:ascii="Cambria Math" w:hAnsi="Cambria Math"/>
                <w:i/>
                <w:iCs/>
                <w:color w:val="auto"/>
              </w:rPr>
            </m:ctrlPr>
          </m:sup>
        </m:sSup>
      </m:oMath>
      <w:r>
        <w:rPr>
          <w:iCs/>
          <w:color w:val="auto"/>
        </w:rPr>
        <w:t>，</w:t>
      </w:r>
      <w:r>
        <w:rPr>
          <w:color w:val="auto"/>
        </w:rPr>
        <w:t>其中</w:t>
      </w:r>
      <m:oMath>
        <m:r>
          <m:rPr/>
          <w:rPr>
            <w:rFonts w:ascii="Cambria Math" w:hAnsi="Cambria Math"/>
            <w:color w:val="auto"/>
          </w:rPr>
          <m:t>n</m:t>
        </m:r>
      </m:oMath>
      <w:r>
        <w:rPr>
          <w:color w:val="auto"/>
        </w:rPr>
        <w:t>表示样本数量，</w:t>
      </w:r>
      <w:r>
        <w:rPr>
          <w:i/>
          <w:iCs/>
          <w:color w:val="auto"/>
        </w:rPr>
        <w:t>m</w:t>
      </w:r>
      <w:r>
        <w:rPr>
          <w:color w:val="auto"/>
        </w:rPr>
        <w:t>表示变量维度，则标准化公式为：</w:t>
      </w:r>
    </w:p>
    <w:p w14:paraId="684869D6">
      <w:pPr>
        <w:spacing w:line="400" w:lineRule="exact"/>
        <w:ind w:firstLine="480" w:firstLineChars="200"/>
        <w:rPr>
          <w:color w:val="auto"/>
        </w:rPr>
      </w:pPr>
      <m:oMathPara>
        <m:oMath>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m:sty m:val="p"/>
                </m:rPr>
                <w:rPr>
                  <w:rFonts w:ascii="Cambria Math" w:hAnsi="Cambria Math"/>
                  <w:color w:val="auto"/>
                </w:rPr>
                <m:t>std</m:t>
              </m:r>
              <m:ctrlPr>
                <w:rPr>
                  <w:rFonts w:ascii="Cambria Math" w:hAnsi="Cambria Math"/>
                  <w:i/>
                  <w:color w:val="auto"/>
                </w:rPr>
              </m:ctrlPr>
            </m:sub>
          </m:sSub>
          <m:r>
            <m:rPr/>
            <w:rPr>
              <w:rFonts w:ascii="Cambria Math" w:hAnsi="Cambria Math"/>
              <w:color w:val="auto"/>
            </w:rPr>
            <m:t>=</m:t>
          </m:r>
          <m:f>
            <m:fPr>
              <m:ctrlPr>
                <w:rPr>
                  <w:rFonts w:ascii="Cambria Math" w:hAnsi="Cambria Math"/>
                  <w:i/>
                  <w:color w:val="auto"/>
                </w:rPr>
              </m:ctrlPr>
            </m:fPr>
            <m:num>
              <m:r>
                <m:rPr/>
                <w:rPr>
                  <w:rFonts w:ascii="Cambria Math" w:hAnsi="Cambria Math"/>
                  <w:color w:val="auto"/>
                </w:rPr>
                <m:t>X−μ</m:t>
              </m:r>
              <m:ctrlPr>
                <w:rPr>
                  <w:rFonts w:ascii="Cambria Math" w:hAnsi="Cambria Math"/>
                  <w:i/>
                  <w:color w:val="auto"/>
                </w:rPr>
              </m:ctrlPr>
            </m:num>
            <m:den>
              <m:r>
                <m:rPr/>
                <w:rPr>
                  <w:rFonts w:ascii="Cambria Math" w:hAnsi="Cambria Math"/>
                  <w:color w:val="auto"/>
                </w:rPr>
                <m:t>σ</m:t>
              </m:r>
              <m:ctrlPr>
                <w:rPr>
                  <w:rFonts w:ascii="Cambria Math" w:hAnsi="Cambria Math"/>
                  <w:i/>
                  <w:color w:val="auto"/>
                </w:rPr>
              </m:ctrlPr>
            </m:den>
          </m:f>
        </m:oMath>
      </m:oMathPara>
    </w:p>
    <w:p w14:paraId="3D113838">
      <w:pPr>
        <w:spacing w:line="400" w:lineRule="exact"/>
        <w:ind w:firstLine="480" w:firstLineChars="200"/>
        <w:rPr>
          <w:color w:val="auto"/>
        </w:rPr>
      </w:pPr>
      <w:r>
        <w:rPr>
          <w:color w:val="auto"/>
        </w:rPr>
        <w:t>其中：</w:t>
      </w:r>
      <w:r>
        <w:rPr>
          <w:i/>
          <w:iCs/>
          <w:color w:val="auto"/>
        </w:rPr>
        <w:t>μ</w:t>
      </w:r>
      <w:r>
        <w:rPr>
          <w:color w:val="auto"/>
        </w:rPr>
        <w:t>是变量的均值.</w:t>
      </w:r>
      <w:r>
        <w:rPr>
          <w:i/>
          <w:iCs/>
          <w:color w:val="auto"/>
        </w:rPr>
        <w:t>σ</w:t>
      </w:r>
      <w:r>
        <w:rPr>
          <w:color w:val="auto"/>
        </w:rPr>
        <w:t>是变量的标准差。</w:t>
      </w:r>
    </w:p>
    <w:p w14:paraId="58A69163">
      <w:pPr>
        <w:spacing w:line="400" w:lineRule="exact"/>
        <w:ind w:firstLine="480" w:firstLineChars="200"/>
        <w:rPr>
          <w:color w:val="auto"/>
        </w:rPr>
      </w:pPr>
      <w:r>
        <w:rPr>
          <w:color w:val="auto"/>
        </w:rPr>
        <w:t>基于第4.2.1节中的因子分析结果，提取出经济效益因子（F1）、成本控制因子（F2）和长期运营因子（F3）。主成分得分计算公式为：</w:t>
      </w:r>
    </w:p>
    <w:p w14:paraId="09246307">
      <w:pPr>
        <w:spacing w:line="400" w:lineRule="exact"/>
        <w:ind w:firstLine="480" w:firstLineChars="200"/>
        <w:rPr>
          <w:color w:val="auto"/>
        </w:rPr>
      </w:pPr>
      <m:oMathPara>
        <m:oMath>
          <m:sSub>
            <m:sSubPr>
              <m:ctrlPr>
                <w:rPr>
                  <w:rFonts w:ascii="Cambria Math" w:hAnsi="Cambria Math"/>
                  <w:i/>
                  <w:color w:val="auto"/>
                </w:rPr>
              </m:ctrlPr>
            </m:sSubPr>
            <m:e>
              <m:r>
                <m:rPr/>
                <w:rPr>
                  <w:rFonts w:ascii="Cambria Math" w:hAnsi="Cambria Math"/>
                  <w:color w:val="auto"/>
                </w:rPr>
                <m:t>F</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nary>
            <m:naryPr>
              <m:chr m:val="∑"/>
              <m:limLoc m:val="undOvr"/>
              <m:ctrlPr>
                <w:rPr>
                  <w:rFonts w:ascii="Cambria Math" w:hAnsi="Cambria Math"/>
                  <w:i/>
                  <w:color w:val="auto"/>
                </w:rPr>
              </m:ctrlPr>
            </m:naryPr>
            <m:sub>
              <m:r>
                <m:rPr/>
                <w:rPr>
                  <w:rFonts w:ascii="Cambria Math" w:hAnsi="Cambria Math"/>
                  <w:color w:val="auto"/>
                </w:rPr>
                <m:t>j=1</m:t>
              </m:r>
              <m:ctrlPr>
                <w:rPr>
                  <w:rFonts w:ascii="Cambria Math" w:hAnsi="Cambria Math"/>
                  <w:i/>
                  <w:color w:val="auto"/>
                </w:rPr>
              </m:ctrlPr>
            </m:sub>
            <m:sup>
              <m:r>
                <m:rPr/>
                <w:rPr>
                  <w:rFonts w:ascii="Cambria Math" w:hAnsi="Cambria Math"/>
                  <w:color w:val="auto"/>
                </w:rPr>
                <m:t>m</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λ</m:t>
                  </m:r>
                  <m:ctrlPr>
                    <w:rPr>
                      <w:rFonts w:ascii="Cambria Math" w:hAnsi="Cambria Math"/>
                      <w:i/>
                      <w:color w:val="auto"/>
                    </w:rPr>
                  </m:ctrlPr>
                </m:e>
                <m:sub>
                  <m:r>
                    <m:rPr/>
                    <w:rPr>
                      <w:rFonts w:ascii="Cambria Math" w:hAnsi="Cambria Math"/>
                      <w:color w:val="auto"/>
                    </w:rPr>
                    <m:t>ij</m:t>
                  </m:r>
                  <m:ctrlPr>
                    <w:rPr>
                      <w:rFonts w:ascii="Cambria Math" w:hAnsi="Cambria Math"/>
                      <w:i/>
                      <w:color w:val="auto"/>
                    </w:rPr>
                  </m:ctrlPr>
                </m:sub>
              </m:sSub>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std,j</m:t>
                  </m:r>
                  <m:ctrlPr>
                    <w:rPr>
                      <w:rFonts w:ascii="Cambria Math" w:hAnsi="Cambria Math"/>
                      <w:i/>
                      <w:color w:val="auto"/>
                    </w:rPr>
                  </m:ctrlPr>
                </m:sub>
              </m:sSub>
              <m:ctrlPr>
                <w:rPr>
                  <w:rFonts w:ascii="Cambria Math" w:hAnsi="Cambria Math"/>
                  <w:i/>
                  <w:color w:val="auto"/>
                </w:rPr>
              </m:ctrlPr>
            </m:e>
          </m:nary>
          <m:r>
            <m:rPr/>
            <w:rPr>
              <w:rFonts w:ascii="Cambria Math" w:hAnsi="Cambria Math"/>
              <w:color w:val="auto"/>
            </w:rPr>
            <m:t>,i=1,2,3</m:t>
          </m:r>
        </m:oMath>
      </m:oMathPara>
    </w:p>
    <w:p w14:paraId="53F7B1C6">
      <w:pPr>
        <w:spacing w:line="400" w:lineRule="exact"/>
        <w:ind w:firstLine="480" w:firstLineChars="200"/>
        <w:rPr>
          <w:color w:val="auto"/>
        </w:rPr>
      </w:pPr>
      <w:r>
        <w:rPr>
          <w:color w:val="auto"/>
        </w:rPr>
        <w:t>其中：</w:t>
      </w:r>
      <m:oMath>
        <m:sSub>
          <m:sSubPr>
            <m:ctrlPr>
              <w:rPr>
                <w:rFonts w:ascii="Cambria Math" w:hAnsi="Cambria Math"/>
                <w:i/>
                <w:color w:val="auto"/>
              </w:rPr>
            </m:ctrlPr>
          </m:sSubPr>
          <m:e>
            <m:r>
              <m:rPr/>
              <w:rPr>
                <w:rFonts w:ascii="Cambria Math" w:hAnsi="Cambria Math"/>
                <w:color w:val="auto"/>
              </w:rPr>
              <m:t>λ</m:t>
            </m:r>
            <m:ctrlPr>
              <w:rPr>
                <w:rFonts w:ascii="Cambria Math" w:hAnsi="Cambria Math"/>
                <w:i/>
                <w:color w:val="auto"/>
              </w:rPr>
            </m:ctrlPr>
          </m:e>
          <m:sub>
            <m:r>
              <m:rPr/>
              <w:rPr>
                <w:rFonts w:ascii="Cambria Math" w:hAnsi="Cambria Math"/>
                <w:color w:val="auto"/>
              </w:rPr>
              <m:t>ij</m:t>
            </m:r>
            <m:ctrlPr>
              <w:rPr>
                <w:rFonts w:ascii="Cambria Math" w:hAnsi="Cambria Math"/>
                <w:i/>
                <w:color w:val="auto"/>
              </w:rPr>
            </m:ctrlPr>
          </m:sub>
        </m:sSub>
      </m:oMath>
      <w:r>
        <w:rPr>
          <w:color w:val="auto"/>
        </w:rPr>
        <w:t>是主成分载荷矩阵中的元素。</w:t>
      </w:r>
      <m:oMath>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std,j</m:t>
            </m:r>
            <m:ctrlPr>
              <w:rPr>
                <w:rFonts w:ascii="Cambria Math" w:hAnsi="Cambria Math"/>
                <w:i/>
                <w:color w:val="auto"/>
              </w:rPr>
            </m:ctrlPr>
          </m:sub>
        </m:sSub>
      </m:oMath>
      <w:r>
        <w:rPr>
          <w:color w:val="auto"/>
        </w:rPr>
        <w:t>是标准化后的变量值。</w:t>
      </w:r>
    </w:p>
    <w:p w14:paraId="606BD58A">
      <w:pPr>
        <w:spacing w:line="400" w:lineRule="exact"/>
        <w:ind w:firstLine="480" w:firstLineChars="200"/>
        <w:rPr>
          <w:color w:val="auto"/>
        </w:rPr>
      </w:pPr>
      <w:r>
        <w:rPr>
          <w:color w:val="auto"/>
        </w:rPr>
        <w:t>最终得到的特征向量为：</w:t>
      </w:r>
    </w:p>
    <w:p w14:paraId="23EBFC75">
      <w:pPr>
        <w:spacing w:line="400" w:lineRule="exact"/>
        <w:rPr>
          <w:color w:val="auto"/>
        </w:rPr>
      </w:pPr>
      <m:oMathPara>
        <m:oMath>
          <m:r>
            <m:rPr>
              <m:sty m:val="p"/>
            </m:rPr>
            <w:rPr>
              <w:rFonts w:ascii="Cambria Math" w:hAnsi="Cambria Math"/>
              <w:color w:val="auto"/>
            </w:rPr>
            <m:t>F=[F1,F2,F3]</m:t>
          </m:r>
        </m:oMath>
      </m:oMathPara>
    </w:p>
    <w:p w14:paraId="2F40C881">
      <w:pPr>
        <w:spacing w:line="400" w:lineRule="exact"/>
        <w:ind w:firstLine="480" w:firstLineChars="200"/>
        <w:rPr>
          <w:color w:val="auto"/>
        </w:rPr>
      </w:pPr>
      <w:r>
        <w:rPr>
          <w:color w:val="auto"/>
        </w:rPr>
        <w:t>2）机器学习预测模块</w:t>
      </w:r>
    </w:p>
    <w:p w14:paraId="6358D8F3">
      <w:pPr>
        <w:spacing w:line="400" w:lineRule="exact"/>
        <w:ind w:firstLine="480" w:firstLineChars="200"/>
        <w:rPr>
          <w:color w:val="auto"/>
        </w:rPr>
      </w:pPr>
      <w:r>
        <w:rPr>
          <w:color w:val="auto"/>
        </w:rPr>
        <w:t>采用随机森林（Random Forest, RF）和XGBoost算法对电网项目的投资能力进行初步预测。设目标变量为投资能力评分为</w:t>
      </w:r>
      <w:r>
        <w:rPr>
          <w:i/>
          <w:iCs/>
          <w:color w:val="auto"/>
        </w:rPr>
        <w:t>Y</w:t>
      </w:r>
      <w:r>
        <w:rPr>
          <w:color w:val="auto"/>
        </w:rPr>
        <w:t>，则监督学习模型的目标是最小化损失函数为</w:t>
      </w:r>
      <w:r>
        <w:rPr>
          <w:i/>
          <w:iCs/>
          <w:color w:val="auto"/>
        </w:rPr>
        <w:t>L</w:t>
      </w:r>
      <w:r>
        <w:rPr>
          <w:color w:val="auto"/>
        </w:rPr>
        <w:t>：</w:t>
      </w:r>
    </w:p>
    <w:p w14:paraId="6287C52E">
      <w:pPr>
        <w:spacing w:line="400" w:lineRule="exact"/>
        <w:rPr>
          <w:color w:val="auto"/>
        </w:rPr>
      </w:pPr>
      <m:oMathPara>
        <m:oMath>
          <m:r>
            <m:rPr/>
            <w:rPr>
              <w:rFonts w:ascii="Cambria Math" w:hAnsi="Cambria Math"/>
              <w:color w:val="auto"/>
            </w:rPr>
            <m:t>L</m:t>
          </m:r>
          <m:r>
            <m:rPr>
              <m:sty m:val="p"/>
            </m:rPr>
            <w:rPr>
              <w:rFonts w:ascii="Cambria Math" w:hAnsi="Cambria Math"/>
              <w:color w:val="auto"/>
            </w:rPr>
            <m:t>(</m:t>
          </m:r>
          <m:acc>
            <m:accPr>
              <m:ctrlPr>
                <w:rPr>
                  <w:rFonts w:ascii="Cambria Math" w:hAnsi="Cambria Math"/>
                  <w:i/>
                  <w:iCs/>
                  <w:color w:val="auto"/>
                </w:rPr>
              </m:ctrlPr>
            </m:accPr>
            <m:e>
              <m:r>
                <m:rPr/>
                <w:rPr>
                  <w:rFonts w:ascii="Cambria Math" w:hAnsi="Cambria Math"/>
                  <w:color w:val="auto"/>
                </w:rPr>
                <m:t>Y,</m:t>
              </m:r>
              <m:ctrlPr>
                <w:rPr>
                  <w:rFonts w:ascii="Cambria Math" w:hAnsi="Cambria Math"/>
                  <w:i/>
                  <w:iCs/>
                  <w:color w:val="auto"/>
                </w:rPr>
              </m:ctrlPr>
            </m:e>
          </m:acc>
          <m:r>
            <m:rPr/>
            <w:rPr>
              <w:rFonts w:ascii="Cambria Math" w:hAnsi="Cambria Math"/>
              <w:color w:val="auto"/>
            </w:rPr>
            <m:t>Y</m:t>
          </m:r>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1</m:t>
              </m:r>
              <m:ctrlPr>
                <w:rPr>
                  <w:rFonts w:ascii="Cambria Math" w:hAnsi="Cambria Math"/>
                  <w:color w:val="auto"/>
                </w:rPr>
              </m:ctrlPr>
            </m:num>
            <m:den>
              <m:r>
                <m:rPr/>
                <w:rPr>
                  <w:rFonts w:ascii="Cambria Math" w:hAnsi="Cambria Math"/>
                  <w:color w:val="auto"/>
                </w:rPr>
                <m:t>n</m:t>
              </m:r>
              <m:ctrlPr>
                <w:rPr>
                  <w:rFonts w:ascii="Cambria Math" w:hAnsi="Cambria Math"/>
                  <w:color w:val="auto"/>
                </w:rPr>
              </m:ctrlPr>
            </m:den>
          </m:f>
          <m:nary>
            <m:naryPr>
              <m:chr m:val="∑"/>
              <m:limLoc m:val="undOvr"/>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r>
                <m:rPr/>
                <w:rPr>
                  <w:rFonts w:ascii="Cambria Math" w:hAnsi="Cambria Math"/>
                  <w:color w:val="auto"/>
                </w:rPr>
                <m:t>(</m:t>
              </m:r>
              <m:ctrlPr>
                <w:rPr>
                  <w:rFonts w:ascii="Cambria Math" w:hAnsi="Cambria Math"/>
                  <w:i/>
                  <w:iCs/>
                  <w:color w:val="auto"/>
                </w:rPr>
              </m:ctrlPr>
            </m:e>
          </m:nary>
          <m:sSub>
            <m:sSubPr>
              <m:ctrlPr>
                <w:rPr>
                  <w:rFonts w:ascii="Cambria Math" w:hAnsi="Cambria Math"/>
                  <w:i/>
                  <w:iCs/>
                  <w:color w:val="auto"/>
                </w:rPr>
              </m:ctrlPr>
            </m:sSubPr>
            <m:e>
              <m:r>
                <m:rPr/>
                <w:rPr>
                  <w:rFonts w:ascii="Cambria Math" w:hAnsi="Cambria Math"/>
                  <w:color w:val="auto"/>
                </w:rPr>
                <m:t>Y</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w:rPr>
              <w:rFonts w:ascii="Cambria Math" w:hAnsi="Cambria Math"/>
              <w:color w:val="auto"/>
            </w:rPr>
            <m:t>−</m:t>
          </m:r>
          <m:sSub>
            <m:sSubPr>
              <m:ctrlPr>
                <w:rPr>
                  <w:rFonts w:ascii="Cambria Math" w:hAnsi="Cambria Math"/>
                  <w:i/>
                  <w:iCs/>
                  <w:color w:val="auto"/>
                </w:rPr>
              </m:ctrlPr>
            </m:sSubPr>
            <m:e>
              <m:acc>
                <m:accPr>
                  <m:ctrlPr>
                    <w:rPr>
                      <w:rFonts w:ascii="Cambria Math" w:hAnsi="Cambria Math"/>
                      <w:i/>
                      <w:iCs/>
                      <w:color w:val="auto"/>
                    </w:rPr>
                  </m:ctrlPr>
                </m:accPr>
                <m:e>
                  <m:r>
                    <m:rPr/>
                    <w:rPr>
                      <w:rFonts w:ascii="Cambria Math" w:hAnsi="Cambria Math"/>
                      <w:color w:val="auto"/>
                    </w:rPr>
                    <m:t>Y</m:t>
                  </m:r>
                  <m:ctrlPr>
                    <w:rPr>
                      <w:rFonts w:ascii="Cambria Math" w:hAnsi="Cambria Math"/>
                      <w:i/>
                      <w:iCs/>
                      <w:color w:val="auto"/>
                    </w:rPr>
                  </m:ctrlPr>
                </m:e>
              </m:acc>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p>
            <m:sSupPr>
              <m:ctrlPr>
                <w:rPr>
                  <w:rFonts w:ascii="Cambria Math" w:hAnsi="Cambria Math"/>
                  <w:i/>
                  <w:iCs/>
                  <w:color w:val="auto"/>
                </w:rPr>
              </m:ctrlPr>
            </m:sSupPr>
            <m:e>
              <m:r>
                <m:rPr/>
                <w:rPr>
                  <w:rFonts w:ascii="Cambria Math" w:hAnsi="Cambria Math"/>
                  <w:color w:val="auto"/>
                </w:rPr>
                <m:t>)</m:t>
              </m:r>
              <m:ctrlPr>
                <w:rPr>
                  <w:rFonts w:ascii="Cambria Math" w:hAnsi="Cambria Math"/>
                  <w:i/>
                  <w:iCs/>
                  <w:color w:val="auto"/>
                </w:rPr>
              </m:ctrlPr>
            </m:e>
            <m:sup>
              <m:r>
                <m:rPr/>
                <w:rPr>
                  <w:rFonts w:ascii="Cambria Math" w:hAnsi="Cambria Math"/>
                  <w:color w:val="auto"/>
                </w:rPr>
                <m:t>2</m:t>
              </m:r>
              <m:ctrlPr>
                <w:rPr>
                  <w:rFonts w:ascii="Cambria Math" w:hAnsi="Cambria Math"/>
                  <w:i/>
                  <w:iCs/>
                  <w:color w:val="auto"/>
                </w:rPr>
              </m:ctrlPr>
            </m:sup>
          </m:sSup>
        </m:oMath>
      </m:oMathPara>
    </w:p>
    <w:p w14:paraId="0DA46CED">
      <w:pPr>
        <w:spacing w:line="400" w:lineRule="exact"/>
        <w:ind w:firstLine="480" w:firstLineChars="200"/>
        <w:rPr>
          <w:color w:val="auto"/>
        </w:rPr>
      </w:pPr>
      <w:r>
        <w:rPr>
          <w:color w:val="auto"/>
        </w:rPr>
        <w:t>其中：</w:t>
      </w:r>
      <m:oMath>
        <m:sSub>
          <m:sSubPr>
            <m:ctrlPr>
              <w:rPr>
                <w:rFonts w:ascii="Cambria Math" w:hAnsi="Cambria Math"/>
                <w:i/>
                <w:iCs/>
                <w:color w:val="auto"/>
              </w:rPr>
            </m:ctrlPr>
          </m:sSubPr>
          <m:e>
            <m:acc>
              <m:accPr>
                <m:ctrlPr>
                  <w:rPr>
                    <w:rFonts w:ascii="Cambria Math" w:hAnsi="Cambria Math"/>
                    <w:i/>
                    <w:iCs/>
                    <w:color w:val="auto"/>
                  </w:rPr>
                </m:ctrlPr>
              </m:accPr>
              <m:e>
                <m:r>
                  <m:rPr/>
                  <w:rPr>
                    <w:rFonts w:ascii="Cambria Math" w:hAnsi="Cambria Math"/>
                    <w:color w:val="auto"/>
                  </w:rPr>
                  <m:t>Y</m:t>
                </m:r>
                <m:ctrlPr>
                  <w:rPr>
                    <w:rFonts w:ascii="Cambria Math" w:hAnsi="Cambria Math"/>
                    <w:i/>
                    <w:iCs/>
                    <w:color w:val="auto"/>
                  </w:rPr>
                </m:ctrlPr>
              </m:e>
            </m:acc>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color w:val="auto"/>
        </w:rPr>
        <w:t>是模型预测的投资能力评分。</w:t>
      </w:r>
      <m:oMath>
        <m:sSub>
          <m:sSubPr>
            <m:ctrlPr>
              <w:rPr>
                <w:rFonts w:ascii="Cambria Math" w:hAnsi="Cambria Math"/>
                <w:i/>
                <w:iCs/>
                <w:color w:val="auto"/>
              </w:rPr>
            </m:ctrlPr>
          </m:sSubPr>
          <m:e>
            <m:r>
              <m:rPr/>
              <w:rPr>
                <w:rFonts w:ascii="Cambria Math" w:hAnsi="Cambria Math"/>
                <w:color w:val="auto"/>
              </w:rPr>
              <m:t>Y</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color w:val="auto"/>
        </w:rPr>
        <w:t>是实际的投资能力评分。</w:t>
      </w:r>
    </w:p>
    <w:p w14:paraId="77F37332">
      <w:pPr>
        <w:spacing w:line="400" w:lineRule="exact"/>
        <w:ind w:firstLine="480" w:firstLineChars="200"/>
        <w:rPr>
          <w:color w:val="auto"/>
        </w:rPr>
      </w:pPr>
      <w:r>
        <w:rPr>
          <w:color w:val="auto"/>
        </w:rPr>
        <w:t>随机森林模型的输出为：</w:t>
      </w:r>
      <w:r>
        <w:rPr>
          <w:color w:val="auto"/>
        </w:rPr>
        <w:br w:type="textWrapping"/>
      </w:r>
      <m:oMathPara>
        <m:oMath>
          <m:sSub>
            <m:sSubPr>
              <m:ctrlPr>
                <w:rPr>
                  <w:rFonts w:ascii="Cambria Math" w:hAnsi="Cambria Math"/>
                  <w:i/>
                  <w:iCs/>
                  <w:color w:val="auto"/>
                </w:rPr>
              </m:ctrlPr>
            </m:sSubPr>
            <m:e>
              <m:acc>
                <m:accPr>
                  <m:ctrlPr>
                    <w:rPr>
                      <w:rFonts w:ascii="Cambria Math" w:hAnsi="Cambria Math"/>
                      <w:i/>
                      <w:iCs/>
                      <w:color w:val="auto"/>
                    </w:rPr>
                  </m:ctrlPr>
                </m:accPr>
                <m:e>
                  <m:r>
                    <m:rPr/>
                    <w:rPr>
                      <w:rFonts w:ascii="Cambria Math" w:hAnsi="Cambria Math"/>
                      <w:color w:val="auto"/>
                    </w:rPr>
                    <m:t>Y</m:t>
                  </m:r>
                  <m:ctrlPr>
                    <w:rPr>
                      <w:rFonts w:ascii="Cambria Math" w:hAnsi="Cambria Math"/>
                      <w:i/>
                      <w:iCs/>
                      <w:color w:val="auto"/>
                    </w:rPr>
                  </m:ctrlPr>
                </m:e>
              </m:acc>
              <m:ctrlPr>
                <w:rPr>
                  <w:rFonts w:ascii="Cambria Math" w:hAnsi="Cambria Math"/>
                  <w:i/>
                  <w:iCs/>
                  <w:color w:val="auto"/>
                </w:rPr>
              </m:ctrlPr>
            </m:e>
            <m:sub>
              <m:r>
                <m:rPr>
                  <m:sty m:val="p"/>
                </m:rPr>
                <w:rPr>
                  <w:rFonts w:ascii="Cambria Math" w:hAnsi="Cambria Math"/>
                  <w:color w:val="auto"/>
                </w:rPr>
                <m:t>RF</m:t>
              </m:r>
              <m:ctrlPr>
                <w:rPr>
                  <w:rFonts w:ascii="Cambria Math" w:hAnsi="Cambria Math"/>
                  <w:i/>
                  <w:iCs/>
                  <w:color w:val="auto"/>
                </w:rPr>
              </m:ctrlPr>
            </m:sub>
          </m:sSub>
          <m:r>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1</m:t>
              </m:r>
              <m:ctrlPr>
                <w:rPr>
                  <w:rFonts w:ascii="Cambria Math" w:hAnsi="Cambria Math"/>
                  <w:color w:val="auto"/>
                </w:rPr>
              </m:ctrlPr>
            </m:num>
            <m:den>
              <m:r>
                <m:rPr/>
                <w:rPr>
                  <w:rFonts w:ascii="Cambria Math" w:hAnsi="Cambria Math"/>
                  <w:color w:val="auto"/>
                </w:rPr>
                <m:t>T</m:t>
              </m:r>
              <m:ctrlPr>
                <w:rPr>
                  <w:rFonts w:ascii="Cambria Math" w:hAnsi="Cambria Math"/>
                  <w:color w:val="auto"/>
                </w:rPr>
              </m:ctrlPr>
            </m:den>
          </m:f>
          <m:nary>
            <m:naryPr>
              <m:chr m:val="∑"/>
              <m:limLoc m:val="undOvr"/>
              <m:ctrlPr>
                <w:rPr>
                  <w:rFonts w:ascii="Cambria Math" w:hAnsi="Cambria Math"/>
                  <w:i/>
                  <w:iCs/>
                  <w:color w:val="auto"/>
                </w:rPr>
              </m:ctrlPr>
            </m:naryPr>
            <m:sub>
              <m:r>
                <m:rPr/>
                <w:rPr>
                  <w:rFonts w:ascii="Cambria Math" w:hAnsi="Cambria Math"/>
                  <w:color w:val="auto"/>
                </w:rPr>
                <m:t>t=1</m:t>
              </m:r>
              <m:ctrlPr>
                <w:rPr>
                  <w:rFonts w:ascii="Cambria Math" w:hAnsi="Cambria Math"/>
                  <w:i/>
                  <w:iCs/>
                  <w:color w:val="auto"/>
                </w:rPr>
              </m:ctrlPr>
            </m:sub>
            <m:sup>
              <m:r>
                <m:rPr/>
                <w:rPr>
                  <w:rFonts w:ascii="Cambria Math" w:hAnsi="Cambria Math"/>
                  <w:color w:val="auto"/>
                </w:rPr>
                <m:t>T</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ℎ</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r>
                <m:rPr/>
                <w:rPr>
                  <w:rFonts w:ascii="Cambria Math" w:hAnsi="Cambria Math"/>
                  <w:color w:val="auto"/>
                </w:rPr>
                <m:t>(F)</m:t>
              </m:r>
              <m:ctrlPr>
                <w:rPr>
                  <w:rFonts w:ascii="Cambria Math" w:hAnsi="Cambria Math"/>
                  <w:i/>
                  <w:iCs/>
                  <w:color w:val="auto"/>
                </w:rPr>
              </m:ctrlPr>
            </m:e>
          </m:nary>
        </m:oMath>
      </m:oMathPara>
    </w:p>
    <w:p w14:paraId="519740B8">
      <w:pPr>
        <w:tabs>
          <w:tab w:val="left" w:pos="3135"/>
        </w:tabs>
        <w:spacing w:line="400" w:lineRule="exact"/>
        <w:ind w:firstLine="480" w:firstLineChars="200"/>
        <w:rPr>
          <w:color w:val="auto"/>
          <w:shd w:val="clear" w:color="auto" w:fill="FFFFFF"/>
        </w:rPr>
      </w:pPr>
      <w:r>
        <w:rPr>
          <w:color w:val="auto"/>
          <w:shd w:val="clear" w:color="auto" w:fill="FFFFFF"/>
        </w:rPr>
        <w:t>其中</w:t>
      </w:r>
      <m:oMath>
        <m:sSub>
          <m:sSubPr>
            <m:ctrlPr>
              <w:rPr>
                <w:rFonts w:ascii="Cambria Math" w:hAnsi="Cambria Math"/>
                <w:i/>
                <w:iCs/>
                <w:color w:val="auto"/>
              </w:rPr>
            </m:ctrlPr>
          </m:sSubPr>
          <m:e>
            <m:r>
              <m:rPr/>
              <w:rPr>
                <w:rFonts w:ascii="Cambria Math" w:hAnsi="Cambria Math"/>
                <w:color w:val="auto"/>
              </w:rPr>
              <m:t>ℎ</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r>
          <m:rPr/>
          <w:rPr>
            <w:rFonts w:ascii="Cambria Math" w:hAnsi="Cambria Math"/>
            <w:color w:val="auto"/>
          </w:rPr>
          <m:t>(F)</m:t>
        </m:r>
      </m:oMath>
      <w:r>
        <w:rPr>
          <w:color w:val="auto"/>
          <w:shd w:val="clear" w:color="auto" w:fill="FFFFFF"/>
        </w:rPr>
        <w:t>是第</w:t>
      </w:r>
      <m:oMath>
        <m:r>
          <m:rPr/>
          <w:rPr>
            <w:rFonts w:ascii="Cambria Math" w:hAnsi="Cambria Math"/>
            <w:color w:val="auto"/>
          </w:rPr>
          <m:t>t</m:t>
        </m:r>
      </m:oMath>
      <w:r>
        <w:rPr>
          <w:color w:val="auto"/>
          <w:shd w:val="clear" w:color="auto" w:fill="FFFFFF"/>
        </w:rPr>
        <w:t>棵决策树的预测值，</w:t>
      </w:r>
      <m:oMath>
        <m:r>
          <m:rPr/>
          <w:rPr>
            <w:rFonts w:ascii="Cambria Math" w:hAnsi="Cambria Math"/>
            <w:color w:val="auto"/>
          </w:rPr>
          <m:t>T</m:t>
        </m:r>
      </m:oMath>
      <w:r>
        <w:rPr>
          <w:color w:val="auto"/>
          <w:shd w:val="clear" w:color="auto" w:fill="FFFFFF"/>
        </w:rPr>
        <w:t xml:space="preserve"> 树的数量。 </w:t>
      </w:r>
    </w:p>
    <w:p w14:paraId="329AC0EA">
      <w:pPr>
        <w:tabs>
          <w:tab w:val="left" w:pos="3135"/>
        </w:tabs>
        <w:spacing w:line="400" w:lineRule="exact"/>
        <w:ind w:firstLine="480" w:firstLineChars="200"/>
        <w:rPr>
          <w:color w:val="auto"/>
          <w:shd w:val="clear" w:color="auto" w:fill="FFFFFF"/>
        </w:rPr>
      </w:pPr>
      <w:r>
        <w:rPr>
          <w:color w:val="auto"/>
          <w:shd w:val="clear" w:color="auto" w:fill="FFFFFF"/>
        </w:rPr>
        <w:t>XGBoost模型通过迭代优化目标函数，预测值为</w:t>
      </w:r>
      <w:r>
        <w:rPr>
          <w:rStyle w:val="20"/>
          <w:color w:val="auto"/>
          <w:shd w:val="clear" w:color="auto" w:fill="FFFFFF"/>
        </w:rPr>
        <w:t>[</w:t>
      </w:r>
      <w:r>
        <w:rPr>
          <w:rStyle w:val="20"/>
          <w:color w:val="auto"/>
          <w:shd w:val="clear" w:color="auto" w:fill="FFFFFF"/>
        </w:rPr>
        <w:endnoteReference w:id="1"/>
      </w:r>
      <w:r>
        <w:rPr>
          <w:rStyle w:val="20"/>
          <w:color w:val="auto"/>
          <w:shd w:val="clear" w:color="auto" w:fill="FFFFFF"/>
        </w:rPr>
        <w:t>]</w:t>
      </w:r>
      <w:r>
        <w:rPr>
          <w:color w:val="auto"/>
          <w:shd w:val="clear" w:color="auto" w:fill="FFFFFF"/>
        </w:rPr>
        <w:t>：</w:t>
      </w:r>
    </w:p>
    <w:p w14:paraId="75E7A453">
      <w:pPr>
        <w:tabs>
          <w:tab w:val="left" w:pos="3135"/>
        </w:tabs>
        <w:spacing w:line="400" w:lineRule="exact"/>
        <w:ind w:firstLine="480" w:firstLineChars="200"/>
        <w:rPr>
          <w:color w:val="auto"/>
          <w:shd w:val="clear" w:color="auto" w:fill="FFFFFF"/>
        </w:rPr>
      </w:pPr>
      <m:oMathPara>
        <m:oMath>
          <m:sSub>
            <m:sSubPr>
              <m:ctrlPr>
                <w:rPr>
                  <w:rFonts w:ascii="Cambria Math" w:hAnsi="Cambria Math"/>
                  <w:i/>
                  <w:iCs/>
                  <w:color w:val="auto"/>
                </w:rPr>
              </m:ctrlPr>
            </m:sSubPr>
            <m:e>
              <m:acc>
                <m:accPr>
                  <m:ctrlPr>
                    <w:rPr>
                      <w:rFonts w:ascii="Cambria Math" w:hAnsi="Cambria Math"/>
                      <w:i/>
                      <w:iCs/>
                      <w:color w:val="auto"/>
                    </w:rPr>
                  </m:ctrlPr>
                </m:accPr>
                <m:e>
                  <m:r>
                    <m:rPr/>
                    <w:rPr>
                      <w:rFonts w:ascii="Cambria Math" w:hAnsi="Cambria Math"/>
                      <w:color w:val="auto"/>
                    </w:rPr>
                    <m:t>Y</m:t>
                  </m:r>
                  <m:ctrlPr>
                    <w:rPr>
                      <w:rFonts w:ascii="Cambria Math" w:hAnsi="Cambria Math"/>
                      <w:i/>
                      <w:iCs/>
                      <w:color w:val="auto"/>
                    </w:rPr>
                  </m:ctrlPr>
                </m:e>
              </m:acc>
              <m:ctrlPr>
                <w:rPr>
                  <w:rFonts w:ascii="Cambria Math" w:hAnsi="Cambria Math"/>
                  <w:i/>
                  <w:iCs/>
                  <w:color w:val="auto"/>
                </w:rPr>
              </m:ctrlPr>
            </m:e>
            <m:sub>
              <m:r>
                <m:rPr>
                  <m:sty m:val="p"/>
                </m:rPr>
                <w:rPr>
                  <w:rFonts w:ascii="Cambria Math" w:hAnsi="Cambria Math"/>
                  <w:color w:val="auto"/>
                </w:rPr>
                <m:t>XGB</m:t>
              </m:r>
              <m:ctrlPr>
                <w:rPr>
                  <w:rFonts w:ascii="Cambria Math" w:hAnsi="Cambria Math"/>
                  <w:i/>
                  <w:iCs/>
                  <w:color w:val="auto"/>
                </w:rPr>
              </m:ctrlPr>
            </m:sub>
          </m:sSub>
          <m:r>
            <m:rPr/>
            <w:rPr>
              <w:rFonts w:ascii="Cambria Math" w:hAnsi="Cambria Math"/>
              <w:color w:val="auto"/>
            </w:rPr>
            <m:t>=</m:t>
          </m:r>
          <m:nary>
            <m:naryPr>
              <m:chr m:val="∑"/>
              <m:limLoc m:val="undOvr"/>
              <m:ctrlPr>
                <w:rPr>
                  <w:rFonts w:ascii="Cambria Math" w:hAnsi="Cambria Math"/>
                  <w:i/>
                  <w:iCs/>
                  <w:color w:val="auto"/>
                </w:rPr>
              </m:ctrlPr>
            </m:naryPr>
            <m:sub>
              <m:r>
                <m:rPr/>
                <w:rPr>
                  <w:rFonts w:ascii="Cambria Math" w:hAnsi="Cambria Math"/>
                  <w:color w:val="auto"/>
                </w:rPr>
                <m:t>k=1</m:t>
              </m:r>
              <m:ctrlPr>
                <w:rPr>
                  <w:rFonts w:ascii="Cambria Math" w:hAnsi="Cambria Math"/>
                  <w:i/>
                  <w:iCs/>
                  <w:color w:val="auto"/>
                </w:rPr>
              </m:ctrlPr>
            </m:sub>
            <m:sup>
              <m:r>
                <m:rPr/>
                <w:rPr>
                  <w:rFonts w:ascii="Cambria Math" w:hAnsi="Cambria Math"/>
                  <w:color w:val="auto"/>
                </w:rPr>
                <m:t>K</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w</m:t>
                  </m:r>
                  <m:ctrlPr>
                    <w:rPr>
                      <w:rFonts w:ascii="Cambria Math" w:hAnsi="Cambria Math"/>
                      <w:i/>
                      <w:iCs/>
                      <w:color w:val="auto"/>
                    </w:rPr>
                  </m:ctrlPr>
                </m:e>
                <m:sub>
                  <m:r>
                    <m:rPr/>
                    <w:rPr>
                      <w:rFonts w:ascii="Cambria Math" w:hAnsi="Cambria Math"/>
                      <w:color w:val="auto"/>
                    </w:rPr>
                    <m:t>k</m:t>
                  </m:r>
                  <m:ctrlPr>
                    <w:rPr>
                      <w:rFonts w:ascii="Cambria Math" w:hAnsi="Cambria Math"/>
                      <w:i/>
                      <w:iCs/>
                      <w:color w:val="auto"/>
                    </w:rPr>
                  </m:ctrlPr>
                </m:sub>
              </m:sSub>
              <m:sSub>
                <m:sSubPr>
                  <m:ctrlPr>
                    <w:rPr>
                      <w:rFonts w:ascii="Cambria Math" w:hAnsi="Cambria Math"/>
                      <w:i/>
                      <w:iCs/>
                      <w:color w:val="auto"/>
                    </w:rPr>
                  </m:ctrlPr>
                </m:sSubPr>
                <m:e>
                  <m:r>
                    <m:rPr/>
                    <w:rPr>
                      <w:rFonts w:ascii="Cambria Math" w:hAnsi="Cambria Math"/>
                      <w:color w:val="auto"/>
                    </w:rPr>
                    <m:t>g</m:t>
                  </m:r>
                  <m:ctrlPr>
                    <w:rPr>
                      <w:rFonts w:ascii="Cambria Math" w:hAnsi="Cambria Math"/>
                      <w:i/>
                      <w:iCs/>
                      <w:color w:val="auto"/>
                    </w:rPr>
                  </m:ctrlPr>
                </m:e>
                <m:sub>
                  <m:r>
                    <m:rPr/>
                    <w:rPr>
                      <w:rFonts w:ascii="Cambria Math" w:hAnsi="Cambria Math"/>
                      <w:color w:val="auto"/>
                    </w:rPr>
                    <m:t>k</m:t>
                  </m:r>
                  <m:ctrlPr>
                    <w:rPr>
                      <w:rFonts w:ascii="Cambria Math" w:hAnsi="Cambria Math"/>
                      <w:i/>
                      <w:iCs/>
                      <w:color w:val="auto"/>
                    </w:rPr>
                  </m:ctrlPr>
                </m:sub>
              </m:sSub>
              <m:r>
                <m:rPr/>
                <w:rPr>
                  <w:rFonts w:ascii="Cambria Math" w:hAnsi="Cambria Math"/>
                  <w:color w:val="auto"/>
                </w:rPr>
                <m:t>(F)</m:t>
              </m:r>
              <m:ctrlPr>
                <w:rPr>
                  <w:rFonts w:ascii="Cambria Math" w:hAnsi="Cambria Math"/>
                  <w:i/>
                  <w:iCs/>
                  <w:color w:val="auto"/>
                </w:rPr>
              </m:ctrlPr>
            </m:e>
          </m:nary>
        </m:oMath>
      </m:oMathPara>
    </w:p>
    <w:p w14:paraId="529803C1">
      <w:pPr>
        <w:tabs>
          <w:tab w:val="left" w:pos="3135"/>
        </w:tabs>
        <w:spacing w:line="400" w:lineRule="exact"/>
        <w:ind w:firstLine="480" w:firstLineChars="200"/>
        <w:rPr>
          <w:color w:val="auto"/>
          <w:shd w:val="clear" w:color="auto" w:fill="FFFFFF"/>
        </w:rPr>
      </w:pPr>
      <w:r>
        <w:rPr>
          <w:color w:val="auto"/>
          <w:shd w:val="clear" w:color="auto" w:fill="FFFFFF"/>
        </w:rPr>
        <w:t>其中</w:t>
      </w:r>
      <m:oMath>
        <m:sSub>
          <m:sSubPr>
            <m:ctrlPr>
              <w:rPr>
                <w:rFonts w:ascii="Cambria Math" w:hAnsi="Cambria Math"/>
                <w:i/>
                <w:iCs/>
                <w:color w:val="auto"/>
              </w:rPr>
            </m:ctrlPr>
          </m:sSubPr>
          <m:e>
            <m:r>
              <m:rPr/>
              <w:rPr>
                <w:rFonts w:ascii="Cambria Math" w:hAnsi="Cambria Math"/>
                <w:color w:val="auto"/>
              </w:rPr>
              <m:t>g</m:t>
            </m:r>
            <m:ctrlPr>
              <w:rPr>
                <w:rFonts w:ascii="Cambria Math" w:hAnsi="Cambria Math"/>
                <w:i/>
                <w:iCs/>
                <w:color w:val="auto"/>
              </w:rPr>
            </m:ctrlPr>
          </m:e>
          <m:sub>
            <m:r>
              <m:rPr/>
              <w:rPr>
                <w:rFonts w:ascii="Cambria Math" w:hAnsi="Cambria Math"/>
                <w:color w:val="auto"/>
              </w:rPr>
              <m:t>k</m:t>
            </m:r>
            <m:ctrlPr>
              <w:rPr>
                <w:rFonts w:ascii="Cambria Math" w:hAnsi="Cambria Math"/>
                <w:i/>
                <w:iCs/>
                <w:color w:val="auto"/>
              </w:rPr>
            </m:ctrlPr>
          </m:sub>
        </m:sSub>
        <m:r>
          <m:rPr/>
          <w:rPr>
            <w:rFonts w:ascii="Cambria Math" w:hAnsi="Cambria Math"/>
            <w:color w:val="auto"/>
          </w:rPr>
          <m:t>(F)</m:t>
        </m:r>
      </m:oMath>
      <w:r>
        <w:rPr>
          <w:color w:val="auto"/>
          <w:shd w:val="clear" w:color="auto" w:fill="FFFFFF"/>
        </w:rPr>
        <w:t>是第</w:t>
      </w:r>
      <m:oMath>
        <m:r>
          <m:rPr/>
          <w:rPr>
            <w:rFonts w:ascii="Cambria Math" w:hAnsi="Cambria Math"/>
            <w:color w:val="auto"/>
          </w:rPr>
          <m:t>K</m:t>
        </m:r>
      </m:oMath>
      <w:r>
        <w:rPr>
          <w:color w:val="auto"/>
          <w:shd w:val="clear" w:color="auto" w:fill="FFFFFF"/>
        </w:rPr>
        <w:t>棵回归树的结构函数，</w:t>
      </w:r>
      <m:oMath>
        <m:sSub>
          <m:sSubPr>
            <m:ctrlPr>
              <w:rPr>
                <w:rFonts w:ascii="Cambria Math" w:hAnsi="Cambria Math"/>
                <w:i/>
                <w:iCs/>
                <w:color w:val="auto"/>
              </w:rPr>
            </m:ctrlPr>
          </m:sSubPr>
          <m:e>
            <m:r>
              <m:rPr/>
              <w:rPr>
                <w:rFonts w:ascii="Cambria Math" w:hAnsi="Cambria Math"/>
                <w:color w:val="auto"/>
              </w:rPr>
              <m:t>w</m:t>
            </m:r>
            <m:ctrlPr>
              <w:rPr>
                <w:rFonts w:ascii="Cambria Math" w:hAnsi="Cambria Math"/>
                <w:i/>
                <w:iCs/>
                <w:color w:val="auto"/>
              </w:rPr>
            </m:ctrlPr>
          </m:e>
          <m:sub>
            <m:r>
              <m:rPr/>
              <w:rPr>
                <w:rFonts w:ascii="Cambria Math" w:hAnsi="Cambria Math"/>
                <w:color w:val="auto"/>
              </w:rPr>
              <m:t>k</m:t>
            </m:r>
            <m:ctrlPr>
              <w:rPr>
                <w:rFonts w:ascii="Cambria Math" w:hAnsi="Cambria Math"/>
                <w:i/>
                <w:iCs/>
                <w:color w:val="auto"/>
              </w:rPr>
            </m:ctrlPr>
          </m:sub>
        </m:sSub>
      </m:oMath>
      <w:r>
        <w:rPr>
          <w:color w:val="auto"/>
          <w:shd w:val="clear" w:color="auto" w:fill="FFFFFF"/>
        </w:rPr>
        <w:t>是对应的叶节点权重。</w:t>
      </w:r>
    </w:p>
    <w:p w14:paraId="2CD4E9D7">
      <w:pPr>
        <w:tabs>
          <w:tab w:val="left" w:pos="3135"/>
        </w:tabs>
        <w:spacing w:line="400" w:lineRule="exact"/>
        <w:ind w:firstLine="480" w:firstLineChars="200"/>
        <w:rPr>
          <w:color w:val="auto"/>
          <w:shd w:val="clear" w:color="auto" w:fill="FFFFFF"/>
        </w:rPr>
      </w:pPr>
      <w:r>
        <w:rPr>
          <w:color w:val="auto"/>
          <w:shd w:val="clear" w:color="auto" w:fill="FFFFFF"/>
        </w:rPr>
        <w:t>随后通过分析特征的重要性，进一步筛选关键变量，提高模型的解释性和准确性。特征重要性计算公式为：</w:t>
      </w:r>
    </w:p>
    <w:p w14:paraId="7F1BB811">
      <w:pPr>
        <w:tabs>
          <w:tab w:val="left" w:pos="2998"/>
        </w:tabs>
        <w:spacing w:line="400" w:lineRule="exact"/>
        <w:rPr>
          <w:color w:val="auto"/>
        </w:rPr>
      </w:pPr>
      <w:r>
        <w:rPr>
          <w:color w:val="auto"/>
        </w:rPr>
        <w:tab/>
      </w:r>
      <m:oMath>
        <m:r>
          <m:rPr>
            <m:sty m:val="p"/>
          </m:rPr>
          <w:rPr>
            <w:rFonts w:ascii="Cambria Math" w:hAnsi="Cambria Math"/>
            <w:color w:val="auto"/>
          </w:rPr>
          <m:t>Importance(</m:t>
        </m:r>
        <m:sSub>
          <m:sSubPr>
            <m:ctrlPr>
              <w:rPr>
                <w:rFonts w:ascii="Cambria Math" w:hAnsi="Cambria Math"/>
                <w:i/>
                <w:iCs/>
                <w:color w:val="auto"/>
              </w:rPr>
            </m:ctrlPr>
          </m:sSubPr>
          <m:e>
            <m:r>
              <m:rPr/>
              <w:rPr>
                <w:rFonts w:ascii="Cambria Math" w:hAnsi="Cambria Math"/>
                <w:color w:val="auto"/>
              </w:rPr>
              <m:t>F</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∆L</m:t>
            </m:r>
            <m:ctrlPr>
              <w:rPr>
                <w:rFonts w:ascii="Cambria Math" w:hAnsi="Cambria Math"/>
                <w:color w:val="auto"/>
              </w:rPr>
            </m:ctrlPr>
          </m:num>
          <m:den>
            <m:nary>
              <m:naryPr>
                <m:chr m:val="∑"/>
                <m:limLoc m:val="subSup"/>
                <m:ctrlPr>
                  <w:rPr>
                    <w:rFonts w:ascii="Cambria Math" w:hAnsi="Cambria Math"/>
                    <w:i/>
                    <w:iCs/>
                    <w:color w:val="auto"/>
                  </w:rPr>
                </m:ctrlPr>
              </m:naryPr>
              <m:sub>
                <m:r>
                  <m:rPr/>
                  <w:rPr>
                    <w:rFonts w:ascii="Cambria Math" w:hAnsi="Cambria Math"/>
                    <w:color w:val="auto"/>
                  </w:rPr>
                  <m:t>j=1</m:t>
                </m:r>
                <m:ctrlPr>
                  <w:rPr>
                    <w:rFonts w:ascii="Cambria Math" w:hAnsi="Cambria Math"/>
                    <w:i/>
                    <w:iCs/>
                    <w:color w:val="auto"/>
                  </w:rPr>
                </m:ctrlPr>
              </m:sub>
              <m:sup>
                <m:r>
                  <m:rPr/>
                  <w:rPr>
                    <w:rFonts w:ascii="Cambria Math" w:hAnsi="Cambria Math"/>
                    <w:color w:val="auto"/>
                  </w:rPr>
                  <m:t>m</m:t>
                </m:r>
                <m:ctrlPr>
                  <w:rPr>
                    <w:rFonts w:ascii="Cambria Math" w:hAnsi="Cambria Math"/>
                    <w:i/>
                    <w:iCs/>
                    <w:color w:val="auto"/>
                  </w:rPr>
                </m:ctrlPr>
              </m:sup>
              <m:e>
                <m:sSub>
                  <m:sSubPr>
                    <m:ctrlPr>
                      <w:rPr>
                        <w:rFonts w:ascii="Cambria Math" w:hAnsi="Cambria Math"/>
                        <w:i/>
                        <w:iCs/>
                        <w:color w:val="auto"/>
                      </w:rPr>
                    </m:ctrlPr>
                  </m:sSubPr>
                  <m:e>
                    <m:r>
                      <m:rPr>
                        <m:sty m:val="p"/>
                      </m:rPr>
                      <w:rPr>
                        <w:rFonts w:ascii="Cambria Math" w:hAnsi="Cambria Math"/>
                        <w:color w:val="auto"/>
                      </w:rPr>
                      <m:t>∆L</m:t>
                    </m:r>
                    <m:ctrlPr>
                      <w:rPr>
                        <w:rFonts w:ascii="Cambria Math" w:hAnsi="Cambria Math"/>
                        <w:i/>
                        <w:iCs/>
                        <w:color w:val="auto"/>
                      </w:rPr>
                    </m:ctrlPr>
                  </m:e>
                  <m:sub>
                    <m:r>
                      <m:rPr/>
                      <w:rPr>
                        <w:rFonts w:ascii="Cambria Math" w:hAnsi="Cambria Math"/>
                        <w:color w:val="auto"/>
                      </w:rPr>
                      <m:t>j</m:t>
                    </m:r>
                    <m:ctrlPr>
                      <w:rPr>
                        <w:rFonts w:ascii="Cambria Math" w:hAnsi="Cambria Math"/>
                        <w:i/>
                        <w:iCs/>
                        <w:color w:val="auto"/>
                      </w:rPr>
                    </m:ctrlPr>
                  </m:sub>
                </m:sSub>
                <m:ctrlPr>
                  <w:rPr>
                    <w:rFonts w:ascii="Cambria Math" w:hAnsi="Cambria Math"/>
                    <w:i/>
                    <w:iCs/>
                    <w:color w:val="auto"/>
                  </w:rPr>
                </m:ctrlPr>
              </m:e>
            </m:nary>
            <m:ctrlPr>
              <w:rPr>
                <w:rFonts w:ascii="Cambria Math" w:hAnsi="Cambria Math"/>
                <w:color w:val="auto"/>
              </w:rPr>
            </m:ctrlPr>
          </m:den>
        </m:f>
      </m:oMath>
    </w:p>
    <w:p w14:paraId="657151A5">
      <w:pPr>
        <w:tabs>
          <w:tab w:val="left" w:pos="1921"/>
        </w:tabs>
        <w:spacing w:line="400" w:lineRule="exact"/>
        <w:ind w:firstLine="480" w:firstLineChars="200"/>
        <w:rPr>
          <w:color w:val="auto"/>
        </w:rPr>
      </w:pPr>
      <w:r>
        <w:rPr>
          <w:color w:val="auto"/>
        </w:rPr>
        <w:t>其中</w:t>
      </w:r>
      <m:oMath>
        <m:r>
          <m:rPr>
            <m:sty m:val="p"/>
          </m:rPr>
          <w:rPr>
            <w:rFonts w:ascii="Cambria Math" w:hAnsi="Cambria Math"/>
            <w:color w:val="auto"/>
          </w:rPr>
          <m:t>∆L</m:t>
        </m:r>
      </m:oMath>
      <w:r>
        <w:rPr>
          <w:color w:val="auto"/>
        </w:rPr>
        <w:t>表示移除特征</w:t>
      </w:r>
      <m:oMath>
        <m:sSub>
          <m:sSubPr>
            <m:ctrlPr>
              <w:rPr>
                <w:rFonts w:ascii="Cambria Math" w:hAnsi="Cambria Math"/>
                <w:i/>
                <w:iCs/>
                <w:color w:val="auto"/>
              </w:rPr>
            </m:ctrlPr>
          </m:sSubPr>
          <m:e>
            <m:r>
              <m:rPr/>
              <w:rPr>
                <w:rFonts w:ascii="Cambria Math" w:hAnsi="Cambria Math"/>
                <w:color w:val="auto"/>
              </w:rPr>
              <m:t>F</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color w:val="auto"/>
        </w:rPr>
        <w:t>后损失函数的变化量。</w:t>
      </w:r>
    </w:p>
    <w:p w14:paraId="47560F51">
      <w:pPr>
        <w:tabs>
          <w:tab w:val="left" w:pos="1921"/>
        </w:tabs>
        <w:spacing w:line="400" w:lineRule="exact"/>
        <w:ind w:firstLine="480" w:firstLineChars="200"/>
        <w:rPr>
          <w:color w:val="auto"/>
        </w:rPr>
      </w:pPr>
      <w:r>
        <w:rPr>
          <w:color w:val="auto"/>
        </w:rPr>
        <w:t>3）深度强化学习优化模块</w:t>
      </w:r>
    </w:p>
    <w:p w14:paraId="4B96713D">
      <w:pPr>
        <w:tabs>
          <w:tab w:val="left" w:pos="1921"/>
        </w:tabs>
        <w:spacing w:line="400" w:lineRule="exact"/>
        <w:ind w:firstLine="480" w:firstLineChars="200"/>
        <w:rPr>
          <w:color w:val="auto"/>
        </w:rPr>
      </w:pPr>
      <w:r>
        <w:rPr>
          <w:color w:val="auto"/>
        </w:rPr>
        <w:t>构建一个动态环境模拟器，用于模拟电网项目的运行状态和外部市场条件。环境状态</w:t>
      </w:r>
      <w:r>
        <w:rPr>
          <w:i/>
          <w:iCs/>
          <w:color w:val="auto"/>
        </w:rPr>
        <w:t xml:space="preserve">S </w:t>
      </w:r>
      <w:r>
        <w:rPr>
          <w:color w:val="auto"/>
        </w:rPr>
        <w:t>包括以下要素：.</w:t>
      </w:r>
    </w:p>
    <w:p w14:paraId="658310B1">
      <w:pPr>
        <w:tabs>
          <w:tab w:val="left" w:pos="1921"/>
        </w:tabs>
        <w:spacing w:line="400" w:lineRule="exact"/>
        <w:ind w:firstLine="480" w:firstLineChars="200"/>
        <w:rPr>
          <w:color w:val="auto"/>
        </w:rPr>
      </w:pPr>
      <w:r>
        <w:rPr>
          <w:color w:val="auto"/>
        </w:rPr>
        <w:t>当前时间步长</w:t>
      </w:r>
      <w:r>
        <w:rPr>
          <w:i/>
          <w:iCs/>
          <w:color w:val="auto"/>
        </w:rPr>
        <w:t>t</w:t>
      </w:r>
      <w:r>
        <w:rPr>
          <w:color w:val="auto"/>
        </w:rPr>
        <w:t>。</w:t>
      </w:r>
    </w:p>
    <w:p w14:paraId="702446D7">
      <w:pPr>
        <w:tabs>
          <w:tab w:val="left" w:pos="1921"/>
        </w:tabs>
        <w:spacing w:line="400" w:lineRule="exact"/>
        <w:ind w:firstLine="480" w:firstLineChars="200"/>
        <w:rPr>
          <w:color w:val="auto"/>
        </w:rPr>
      </w:pPr>
      <w:r>
        <w:rPr>
          <w:color w:val="auto"/>
        </w:rPr>
        <w:t>投资能力评分</w:t>
      </w:r>
      <m:oMath>
        <m:sSub>
          <m:sSubPr>
            <m:ctrlPr>
              <w:rPr>
                <w:rFonts w:ascii="Cambria Math" w:hAnsi="Cambria Math"/>
                <w:i/>
                <w:color w:val="auto"/>
              </w:rPr>
            </m:ctrlPr>
          </m:sSubPr>
          <m:e>
            <m:r>
              <m:rPr/>
              <w:rPr>
                <w:rFonts w:ascii="Cambria Math" w:hAnsi="Cambria Math"/>
                <w:color w:val="auto"/>
              </w:rPr>
              <m:t>Y</m:t>
            </m:r>
            <m:ctrlPr>
              <w:rPr>
                <w:rFonts w:ascii="Cambria Math" w:hAnsi="Cambria Math"/>
                <w:i/>
                <w:color w:val="auto"/>
              </w:rPr>
            </m:ctrlPr>
          </m:e>
          <m:sub>
            <m:r>
              <m:rPr/>
              <w:rPr>
                <w:rFonts w:ascii="Cambria Math" w:hAnsi="Cambria Math"/>
                <w:color w:val="auto"/>
              </w:rPr>
              <m:t>t</m:t>
            </m:r>
            <m:ctrlPr>
              <w:rPr>
                <w:rFonts w:ascii="Cambria Math" w:hAnsi="Cambria Math"/>
                <w:i/>
                <w:color w:val="auto"/>
              </w:rPr>
            </m:ctrlPr>
          </m:sub>
        </m:sSub>
      </m:oMath>
      <w:r>
        <w:rPr>
          <w:color w:val="auto"/>
        </w:rPr>
        <w:t>。</w:t>
      </w:r>
    </w:p>
    <w:p w14:paraId="3ABE9F91">
      <w:pPr>
        <w:tabs>
          <w:tab w:val="left" w:pos="1921"/>
        </w:tabs>
        <w:spacing w:line="400" w:lineRule="exact"/>
        <w:ind w:firstLine="480" w:firstLineChars="200"/>
        <w:rPr>
          <w:color w:val="auto"/>
        </w:rPr>
      </w:pPr>
      <w:r>
        <w:rPr>
          <w:color w:val="auto"/>
        </w:rPr>
        <w:t>经济效益因子</w:t>
      </w:r>
      <m:oMath>
        <m:sSub>
          <m:sSubPr>
            <m:ctrlPr>
              <w:rPr>
                <w:rFonts w:ascii="Cambria Math" w:hAnsi="Cambria Math"/>
                <w:i/>
                <w:color w:val="auto"/>
              </w:rPr>
            </m:ctrlPr>
          </m:sSubPr>
          <m:e>
            <m:r>
              <m:rPr/>
              <w:rPr>
                <w:rFonts w:ascii="Cambria Math" w:hAnsi="Cambria Math"/>
                <w:color w:val="auto"/>
              </w:rPr>
              <m:t>F</m:t>
            </m:r>
            <m:ctrlPr>
              <w:rPr>
                <w:rFonts w:ascii="Cambria Math" w:hAnsi="Cambria Math"/>
                <w:i/>
                <w:color w:val="auto"/>
              </w:rPr>
            </m:ctrlPr>
          </m:e>
          <m:sub>
            <m:r>
              <m:rPr/>
              <w:rPr>
                <w:rFonts w:ascii="Cambria Math" w:hAnsi="Cambria Math"/>
                <w:color w:val="auto"/>
              </w:rPr>
              <m:t>1,t</m:t>
            </m:r>
            <m:ctrlPr>
              <w:rPr>
                <w:rFonts w:ascii="Cambria Math" w:hAnsi="Cambria Math"/>
                <w:i/>
                <w:color w:val="auto"/>
              </w:rPr>
            </m:ctrlPr>
          </m:sub>
        </m:sSub>
      </m:oMath>
      <w:r>
        <w:rPr>
          <w:color w:val="auto"/>
        </w:rPr>
        <w:t>。</w:t>
      </w:r>
    </w:p>
    <w:p w14:paraId="3DFC4216">
      <w:pPr>
        <w:tabs>
          <w:tab w:val="left" w:pos="1921"/>
        </w:tabs>
        <w:spacing w:line="400" w:lineRule="exact"/>
        <w:ind w:firstLine="480" w:firstLineChars="200"/>
        <w:rPr>
          <w:color w:val="auto"/>
        </w:rPr>
      </w:pPr>
      <w:r>
        <w:rPr>
          <w:color w:val="auto"/>
        </w:rPr>
        <w:t>成本控制因子</w:t>
      </w:r>
      <m:oMath>
        <m:sSub>
          <m:sSubPr>
            <m:ctrlPr>
              <w:rPr>
                <w:rFonts w:ascii="Cambria Math" w:hAnsi="Cambria Math"/>
                <w:i/>
                <w:color w:val="auto"/>
              </w:rPr>
            </m:ctrlPr>
          </m:sSubPr>
          <m:e>
            <m:r>
              <m:rPr/>
              <w:rPr>
                <w:rFonts w:ascii="Cambria Math" w:hAnsi="Cambria Math"/>
                <w:color w:val="auto"/>
              </w:rPr>
              <m:t>F</m:t>
            </m:r>
            <m:ctrlPr>
              <w:rPr>
                <w:rFonts w:ascii="Cambria Math" w:hAnsi="Cambria Math"/>
                <w:i/>
                <w:color w:val="auto"/>
              </w:rPr>
            </m:ctrlPr>
          </m:e>
          <m:sub>
            <m:r>
              <m:rPr/>
              <w:rPr>
                <w:rFonts w:ascii="Cambria Math" w:hAnsi="Cambria Math"/>
                <w:color w:val="auto"/>
              </w:rPr>
              <m:t>2,t</m:t>
            </m:r>
            <m:ctrlPr>
              <w:rPr>
                <w:rFonts w:ascii="Cambria Math" w:hAnsi="Cambria Math"/>
                <w:i/>
                <w:color w:val="auto"/>
              </w:rPr>
            </m:ctrlPr>
          </m:sub>
        </m:sSub>
      </m:oMath>
      <w:r>
        <w:rPr>
          <w:color w:val="auto"/>
        </w:rPr>
        <w:t>。</w:t>
      </w:r>
    </w:p>
    <w:p w14:paraId="1180199E">
      <w:pPr>
        <w:tabs>
          <w:tab w:val="left" w:pos="1921"/>
        </w:tabs>
        <w:spacing w:line="400" w:lineRule="exact"/>
        <w:ind w:firstLine="480" w:firstLineChars="200"/>
        <w:rPr>
          <w:color w:val="auto"/>
        </w:rPr>
      </w:pPr>
      <w:r>
        <w:rPr>
          <w:color w:val="auto"/>
        </w:rPr>
        <w:t>长期运营因子</w:t>
      </w:r>
      <m:oMath>
        <m:sSub>
          <m:sSubPr>
            <m:ctrlPr>
              <w:rPr>
                <w:rFonts w:ascii="Cambria Math" w:hAnsi="Cambria Math"/>
                <w:i/>
                <w:color w:val="auto"/>
              </w:rPr>
            </m:ctrlPr>
          </m:sSubPr>
          <m:e>
            <m:r>
              <m:rPr/>
              <w:rPr>
                <w:rFonts w:ascii="Cambria Math" w:hAnsi="Cambria Math"/>
                <w:color w:val="auto"/>
              </w:rPr>
              <m:t>F</m:t>
            </m:r>
            <m:ctrlPr>
              <w:rPr>
                <w:rFonts w:ascii="Cambria Math" w:hAnsi="Cambria Math"/>
                <w:i/>
                <w:color w:val="auto"/>
              </w:rPr>
            </m:ctrlPr>
          </m:e>
          <m:sub>
            <m:r>
              <m:rPr/>
              <w:rPr>
                <w:rFonts w:ascii="Cambria Math" w:hAnsi="Cambria Math"/>
                <w:color w:val="auto"/>
              </w:rPr>
              <m:t>3,t</m:t>
            </m:r>
            <m:ctrlPr>
              <w:rPr>
                <w:rFonts w:ascii="Cambria Math" w:hAnsi="Cambria Math"/>
                <w:i/>
                <w:color w:val="auto"/>
              </w:rPr>
            </m:ctrlPr>
          </m:sub>
        </m:sSub>
      </m:oMath>
      <w:r>
        <w:rPr>
          <w:color w:val="auto"/>
        </w:rPr>
        <w:t xml:space="preserve">。 </w:t>
      </w:r>
    </w:p>
    <w:p w14:paraId="7A636AC8">
      <w:pPr>
        <w:tabs>
          <w:tab w:val="left" w:pos="1921"/>
        </w:tabs>
        <w:spacing w:line="400" w:lineRule="exact"/>
        <w:ind w:firstLine="480" w:firstLineChars="200"/>
        <w:rPr>
          <w:color w:val="auto"/>
        </w:rPr>
      </w:pPr>
      <w:r>
        <w:rPr>
          <w:color w:val="auto"/>
        </w:rPr>
        <w:t>环境状态表示为：</w:t>
      </w:r>
    </w:p>
    <w:p w14:paraId="53047730">
      <w:pPr>
        <w:tabs>
          <w:tab w:val="left" w:pos="1921"/>
        </w:tabs>
        <w:spacing w:line="400" w:lineRule="exact"/>
        <w:ind w:firstLine="480" w:firstLineChars="200"/>
        <w:rPr>
          <w:color w:val="auto"/>
        </w:rPr>
      </w:pPr>
      <m:oMathPara>
        <m:oMath>
          <m:sSub>
            <m:sSubPr>
              <m:ctrlPr>
                <w:rPr>
                  <w:rFonts w:ascii="Cambria Math" w:hAnsi="Cambria Math"/>
                  <w:i/>
                  <w:color w:val="auto"/>
                </w:rPr>
              </m:ctrlPr>
            </m:sSubPr>
            <m:e>
              <m:r>
                <m:rPr/>
                <w:rPr>
                  <w:rFonts w:ascii="Cambria Math" w:hAnsi="Cambria Math"/>
                  <w:color w:val="auto"/>
                </w:rPr>
                <m:t>S</m:t>
              </m:r>
              <m:ctrlPr>
                <w:rPr>
                  <w:rFonts w:ascii="Cambria Math" w:hAnsi="Cambria Math"/>
                  <w:i/>
                  <w:color w:val="auto"/>
                </w:rPr>
              </m:ctrlPr>
            </m:e>
            <m:sub>
              <m:r>
                <m:rPr/>
                <w:rPr>
                  <w:rFonts w:ascii="Cambria Math" w:hAnsi="Cambria Math"/>
                  <w:color w:val="auto"/>
                </w:rPr>
                <m:t>t</m:t>
              </m:r>
              <m:ctrlPr>
                <w:rPr>
                  <w:rFonts w:ascii="Cambria Math" w:hAnsi="Cambria Math"/>
                  <w:i/>
                  <w:color w:val="auto"/>
                </w:rPr>
              </m:ctrlPr>
            </m:sub>
          </m:sSub>
          <m:r>
            <m:rPr/>
            <w:rPr>
              <w:rFonts w:ascii="Cambria Math" w:hAnsi="Cambria Math"/>
              <w:color w:val="auto"/>
            </w:rPr>
            <m:t>=[t,</m:t>
          </m:r>
          <m:sSub>
            <m:sSubPr>
              <m:ctrlPr>
                <w:rPr>
                  <w:rFonts w:ascii="Cambria Math" w:hAnsi="Cambria Math"/>
                  <w:i/>
                  <w:color w:val="auto"/>
                </w:rPr>
              </m:ctrlPr>
            </m:sSubPr>
            <m:e>
              <m:r>
                <m:rPr/>
                <w:rPr>
                  <w:rFonts w:ascii="Cambria Math" w:hAnsi="Cambria Math"/>
                  <w:color w:val="auto"/>
                </w:rPr>
                <m:t>Y</m:t>
              </m:r>
              <m:ctrlPr>
                <w:rPr>
                  <w:rFonts w:ascii="Cambria Math" w:hAnsi="Cambria Math"/>
                  <w:i/>
                  <w:color w:val="auto"/>
                </w:rPr>
              </m:ctrlPr>
            </m:e>
            <m:sub>
              <m:r>
                <m:rPr/>
                <w:rPr>
                  <w:rFonts w:ascii="Cambria Math" w:hAnsi="Cambria Math"/>
                  <w:color w:val="auto"/>
                </w:rPr>
                <m:t>t</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F</m:t>
              </m:r>
              <m:ctrlPr>
                <w:rPr>
                  <w:rFonts w:ascii="Cambria Math" w:hAnsi="Cambria Math"/>
                  <w:i/>
                  <w:color w:val="auto"/>
                </w:rPr>
              </m:ctrlPr>
            </m:e>
            <m:sub>
              <m:r>
                <m:rPr/>
                <w:rPr>
                  <w:rFonts w:ascii="Cambria Math" w:hAnsi="Cambria Math"/>
                  <w:color w:val="auto"/>
                </w:rPr>
                <m:t>1,t</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F</m:t>
              </m:r>
              <m:ctrlPr>
                <w:rPr>
                  <w:rFonts w:ascii="Cambria Math" w:hAnsi="Cambria Math"/>
                  <w:i/>
                  <w:color w:val="auto"/>
                </w:rPr>
              </m:ctrlPr>
            </m:e>
            <m:sub>
              <m:r>
                <m:rPr/>
                <w:rPr>
                  <w:rFonts w:ascii="Cambria Math" w:hAnsi="Cambria Math"/>
                  <w:color w:val="auto"/>
                </w:rPr>
                <m:t>2,t</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F</m:t>
              </m:r>
              <m:ctrlPr>
                <w:rPr>
                  <w:rFonts w:ascii="Cambria Math" w:hAnsi="Cambria Math"/>
                  <w:i/>
                  <w:color w:val="auto"/>
                </w:rPr>
              </m:ctrlPr>
            </m:e>
            <m:sub>
              <m:r>
                <m:rPr/>
                <w:rPr>
                  <w:rFonts w:ascii="Cambria Math" w:hAnsi="Cambria Math"/>
                  <w:color w:val="auto"/>
                </w:rPr>
                <m:t>3,t</m:t>
              </m:r>
              <m:ctrlPr>
                <w:rPr>
                  <w:rFonts w:ascii="Cambria Math" w:hAnsi="Cambria Math"/>
                  <w:i/>
                  <w:color w:val="auto"/>
                </w:rPr>
              </m:ctrlPr>
            </m:sub>
          </m:sSub>
          <m:r>
            <m:rPr/>
            <w:rPr>
              <w:rFonts w:ascii="Cambria Math" w:hAnsi="Cambria Math"/>
              <w:color w:val="auto"/>
            </w:rPr>
            <m:t>]</m:t>
          </m:r>
        </m:oMath>
      </m:oMathPara>
    </w:p>
    <w:p w14:paraId="6D5D4214">
      <w:pPr>
        <w:tabs>
          <w:tab w:val="left" w:pos="1921"/>
        </w:tabs>
        <w:spacing w:line="400" w:lineRule="exact"/>
        <w:ind w:firstLine="480" w:firstLineChars="200"/>
        <w:rPr>
          <w:color w:val="auto"/>
        </w:rPr>
      </w:pPr>
      <w:r>
        <w:rPr>
          <w:color w:val="auto"/>
        </w:rPr>
        <w:t>接着，采用深度Q网络（Deep Q-Network, DQN）算法优化投资决策。定义动作空间A为投资金额比例集合，例如A={0.1,0.2,...,1.0}。Q值函数表示为：</w:t>
      </w:r>
    </w:p>
    <w:p w14:paraId="2DBCEAB5">
      <w:pPr>
        <w:tabs>
          <w:tab w:val="left" w:pos="1921"/>
        </w:tabs>
        <w:spacing w:line="400" w:lineRule="exact"/>
        <w:ind w:firstLine="480" w:firstLineChars="200"/>
        <w:jc w:val="center"/>
        <w:rPr>
          <w:color w:val="auto"/>
        </w:rPr>
      </w:pPr>
      <m:oMathPara>
        <m:oMath>
          <m:r>
            <m:rPr>
              <m:sty m:val="p"/>
            </m:rPr>
            <w:rPr>
              <w:rFonts w:ascii="Cambria Math" w:hAnsi="Cambria Math"/>
              <w:color w:val="auto"/>
            </w:rPr>
            <m:t>Q(</m:t>
          </m:r>
          <m:sSub>
            <m:sSubPr>
              <m:ctrlPr>
                <w:rPr>
                  <w:rFonts w:ascii="Cambria Math" w:hAnsi="Cambria Math"/>
                  <w:i/>
                  <w:iCs/>
                  <w:color w:val="auto"/>
                </w:rPr>
              </m:ctrlPr>
            </m:sSubPr>
            <m:e>
              <m:r>
                <m:rPr/>
                <w:rPr>
                  <w:rFonts w:ascii="Cambria Math" w:hAnsi="Cambria Math"/>
                  <w:color w:val="auto"/>
                </w:rPr>
                <m:t>S</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r>
            <m:rPr>
              <m:sty m:val="p"/>
            </m:rPr>
            <w:rPr>
              <w:rFonts w:ascii="Cambria Math" w:hAnsi="Cambria Math"/>
              <w:color w:val="auto"/>
            </w:rPr>
            <m:t>,</m:t>
          </m:r>
          <m:r>
            <m:rPr/>
            <w:rPr>
              <w:rFonts w:ascii="Cambria Math" w:hAnsi="Cambria Math"/>
              <w:color w:val="auto"/>
            </w:rPr>
            <m:t>a</m:t>
          </m:r>
          <m:r>
            <m:rPr>
              <m:sty m:val="p"/>
            </m:rPr>
            <w:rPr>
              <w:rFonts w:ascii="Cambria Math" w:hAnsi="Cambria Math"/>
              <w:color w:val="auto"/>
            </w:rPr>
            <m:t>)=</m:t>
          </m:r>
          <m:r>
            <m:rPr>
              <m:sty m:val="p"/>
              <m:scr m:val="double-struck"/>
            </m:rPr>
            <w:rPr>
              <w:rFonts w:ascii="Cambria Math" w:hAnsi="Cambria Math" w:eastAsia="MS Mincho"/>
              <w:color w:val="auto"/>
            </w:rPr>
            <m:t>E</m:t>
          </m:r>
          <m:r>
            <m:rPr>
              <m:sty m:val="p"/>
            </m:rPr>
            <w:rPr>
              <w:rFonts w:ascii="Cambria Math" w:hAnsi="Cambria Math"/>
              <w:color w:val="auto"/>
            </w:rPr>
            <m:t>[</m:t>
          </m:r>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r>
            <m:rPr>
              <m:sty m:val="p"/>
            </m:rPr>
            <w:rPr>
              <w:rFonts w:ascii="Cambria Math" w:hAnsi="Cambria Math"/>
              <w:color w:val="auto"/>
            </w:rPr>
            <m:t>+γ</m:t>
          </m:r>
          <m:box>
            <m:boxPr>
              <m:ctrlPr>
                <w:rPr>
                  <w:rFonts w:ascii="Cambria Math" w:hAnsi="Cambria Math"/>
                  <w:color w:val="auto"/>
                </w:rPr>
              </m:ctrlPr>
            </m:boxPr>
            <m:e>
              <m:argPr>
                <m:argSz m:val="-1"/>
              </m:argPr>
              <m:f>
                <m:fPr>
                  <m:type m:val="nobar"/>
                  <m:ctrlPr>
                    <w:rPr>
                      <w:rFonts w:ascii="Cambria Math" w:hAnsi="Cambria Math"/>
                      <w:color w:val="auto"/>
                    </w:rPr>
                  </m:ctrlPr>
                </m:fPr>
                <m:num>
                  <m:r>
                    <m:rPr>
                      <m:sty m:val="p"/>
                    </m:rPr>
                    <w:rPr>
                      <w:rFonts w:ascii="Cambria Math" w:hAnsi="Cambria Math"/>
                      <w:color w:val="auto"/>
                    </w:rPr>
                    <m:t>max</m:t>
                  </m:r>
                  <m:ctrlPr>
                    <w:rPr>
                      <w:rFonts w:ascii="Cambria Math" w:hAnsi="Cambria Math"/>
                      <w:color w:val="auto"/>
                    </w:rPr>
                  </m:ctrlPr>
                </m:num>
                <m:den>
                  <m:r>
                    <m:rPr/>
                    <w:rPr>
                      <w:rFonts w:ascii="Cambria Math" w:hAnsi="Cambria Math"/>
                      <w:color w:val="auto"/>
                    </w:rPr>
                    <m:t>a'</m:t>
                  </m:r>
                  <m:ctrlPr>
                    <w:rPr>
                      <w:rFonts w:ascii="Cambria Math" w:hAnsi="Cambria Math"/>
                      <w:color w:val="auto"/>
                    </w:rPr>
                  </m:ctrlPr>
                </m:den>
              </m:f>
              <m:ctrlPr>
                <w:rPr>
                  <w:rFonts w:ascii="Cambria Math" w:hAnsi="Cambria Math"/>
                  <w:color w:val="auto"/>
                </w:rPr>
              </m:ctrlPr>
            </m:e>
          </m:box>
          <m:r>
            <m:rPr>
              <m:sty m:val="p"/>
            </m:rPr>
            <w:rPr>
              <w:rFonts w:ascii="Cambria Math" w:hAnsi="Cambria Math"/>
              <w:color w:val="auto"/>
            </w:rPr>
            <m:t>Q(</m:t>
          </m:r>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r>
            <m:rPr>
              <m:sty m:val="p"/>
            </m:rPr>
            <w:rPr>
              <w:rFonts w:ascii="Cambria Math" w:hAnsi="Cambria Math"/>
              <w:color w:val="auto"/>
            </w:rPr>
            <m:t>+1,</m:t>
          </m:r>
          <m:r>
            <m:rPr/>
            <w:rPr>
              <w:rFonts w:ascii="Cambria Math" w:hAnsi="Cambria Math"/>
              <w:color w:val="auto"/>
            </w:rPr>
            <m:t>a'</m:t>
          </m:r>
          <m:r>
            <m:rPr>
              <m:sty m:val="p"/>
            </m:rPr>
            <w:rPr>
              <w:rFonts w:ascii="Cambria Math" w:hAnsi="Cambria Math"/>
              <w:color w:val="auto"/>
            </w:rPr>
            <m:t>)</m:t>
          </m:r>
          <m:d>
            <m:dPr>
              <m:begChr m:val="|"/>
              <m:endChr m:val=""/>
              <m:ctrlPr>
                <w:rPr>
                  <w:rFonts w:ascii="Cambria Math" w:hAnsi="Cambria Math"/>
                  <w:color w:val="auto"/>
                </w:rPr>
              </m:ctrlPr>
            </m:dPr>
            <m:e>
              <m:r>
                <m:rPr>
                  <m:sty m:val="p"/>
                </m:rPr>
                <w:rPr>
                  <w:rFonts w:ascii="Cambria Math" w:hAnsi="Cambria Math"/>
                  <w:color w:val="auto"/>
                </w:rPr>
                <m:t>[</m:t>
              </m:r>
              <m:ctrlPr>
                <w:rPr>
                  <w:rFonts w:ascii="Cambria Math" w:hAnsi="Cambria Math"/>
                  <w:color w:val="auto"/>
                </w:rPr>
              </m:ctrlPr>
            </m:e>
          </m:d>
          <m:sSub>
            <m:sSubPr>
              <m:ctrlPr>
                <w:rPr>
                  <w:rFonts w:ascii="Cambria Math" w:hAnsi="Cambria Math"/>
                  <w:i/>
                  <w:iCs/>
                  <w:color w:val="auto"/>
                </w:rPr>
              </m:ctrlPr>
            </m:sSubPr>
            <m:e>
              <m:r>
                <m:rPr/>
                <w:rPr>
                  <w:rFonts w:ascii="Cambria Math" w:hAnsi="Cambria Math"/>
                  <w:color w:val="auto"/>
                </w:rPr>
                <m:t>S</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r>
            <m:rPr>
              <m:sty m:val="p"/>
            </m:rPr>
            <w:rPr>
              <w:rFonts w:ascii="Cambria Math" w:hAnsi="Cambria Math"/>
              <w:color w:val="auto"/>
            </w:rPr>
            <m:t>,</m:t>
          </m:r>
          <m:r>
            <m:rPr/>
            <w:rPr>
              <w:rFonts w:ascii="Cambria Math" w:hAnsi="Cambria Math"/>
              <w:color w:val="auto"/>
            </w:rPr>
            <m:t>a</m:t>
          </m:r>
          <m:r>
            <m:rPr>
              <m:sty m:val="p"/>
            </m:rPr>
            <w:rPr>
              <w:rFonts w:ascii="Cambria Math" w:hAnsi="Cambria Math"/>
              <w:color w:val="auto"/>
            </w:rPr>
            <m:t>]</m:t>
          </m:r>
        </m:oMath>
      </m:oMathPara>
    </w:p>
    <w:p w14:paraId="4384FBE5">
      <w:pPr>
        <w:tabs>
          <w:tab w:val="left" w:pos="1921"/>
        </w:tabs>
        <w:spacing w:line="400" w:lineRule="exact"/>
        <w:ind w:firstLine="480" w:firstLineChars="200"/>
        <w:rPr>
          <w:color w:val="auto"/>
        </w:rPr>
      </w:pPr>
      <w:r>
        <w:rPr>
          <w:color w:val="auto"/>
        </w:rPr>
        <w:t>其中</w:t>
      </w:r>
      <m:oMath>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oMath>
      <w:r>
        <w:rPr>
          <w:color w:val="auto"/>
        </w:rPr>
        <w:t>是当前时间步长的奖励值。</w:t>
      </w:r>
      <w:r>
        <w:rPr>
          <w:i/>
          <w:iCs/>
          <w:color w:val="auto"/>
        </w:rPr>
        <w:t>γ</w:t>
      </w:r>
      <w:r>
        <w:rPr>
          <w:color w:val="auto"/>
        </w:rPr>
        <w:t>是折扣因子，取值范围为[0,1]。</w:t>
      </w:r>
    </w:p>
    <w:p w14:paraId="5FC0475F">
      <w:pPr>
        <w:tabs>
          <w:tab w:val="left" w:pos="1921"/>
        </w:tabs>
        <w:spacing w:line="400" w:lineRule="exact"/>
        <w:ind w:firstLine="480" w:firstLineChars="200"/>
        <w:rPr>
          <w:color w:val="auto"/>
        </w:rPr>
      </w:pPr>
      <w:r>
        <w:rPr>
          <w:color w:val="auto"/>
        </w:rPr>
        <w:t>奖励函数建立为：</w:t>
      </w:r>
    </w:p>
    <w:p w14:paraId="6E7EF6C7">
      <w:pPr>
        <w:tabs>
          <w:tab w:val="left" w:pos="1921"/>
        </w:tabs>
        <w:spacing w:line="400" w:lineRule="exact"/>
        <w:ind w:firstLine="480" w:firstLineChars="200"/>
        <w:rPr>
          <w:color w:val="auto"/>
        </w:rPr>
      </w:pPr>
      <m:oMathPara>
        <m:oMath>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r>
            <m:rPr/>
            <w:rPr>
              <w:rFonts w:ascii="Cambria Math" w:hAnsi="Cambria Math"/>
              <w:color w:val="auto"/>
            </w:rPr>
            <m:t>=</m:t>
          </m:r>
          <m:sSub>
            <m:sSubPr>
              <m:ctrlPr>
                <w:rPr>
                  <w:rFonts w:ascii="Cambria Math" w:hAnsi="Cambria Math"/>
                  <w:i/>
                  <w:iCs/>
                  <w:color w:val="auto"/>
                </w:rPr>
              </m:ctrlPr>
            </m:sSubPr>
            <m:e>
              <m:r>
                <m:rPr/>
                <w:rPr>
                  <w:rFonts w:ascii="Cambria Math" w:hAnsi="Cambria Math"/>
                  <w:color w:val="auto"/>
                </w:rPr>
                <m:t>w</m:t>
              </m:r>
              <m:ctrlPr>
                <w:rPr>
                  <w:rFonts w:ascii="Cambria Math" w:hAnsi="Cambria Math"/>
                  <w:i/>
                  <w:iCs/>
                  <w:color w:val="auto"/>
                </w:rPr>
              </m:ctrlPr>
            </m:e>
            <m:sub>
              <m:r>
                <m:rPr/>
                <w:rPr>
                  <w:rFonts w:ascii="Cambria Math" w:hAnsi="Cambria Math"/>
                  <w:color w:val="auto"/>
                </w:rPr>
                <m:t>1</m:t>
              </m:r>
              <m:ctrlPr>
                <w:rPr>
                  <w:rFonts w:ascii="Cambria Math" w:hAnsi="Cambria Math"/>
                  <w:i/>
                  <w:iCs/>
                  <w:color w:val="auto"/>
                </w:rPr>
              </m:ctrlPr>
            </m:sub>
          </m:sSub>
          <m:r>
            <m:rPr/>
            <w:rPr>
              <w:rFonts w:ascii="Cambria Math" w:hAnsi="Cambria Math"/>
              <w:color w:val="auto"/>
            </w:rPr>
            <m:t>∙</m:t>
          </m:r>
          <m:sSub>
            <m:sSubPr>
              <m:ctrlPr>
                <w:rPr>
                  <w:rFonts w:ascii="Cambria Math" w:hAnsi="Cambria Math"/>
                  <w:i/>
                  <w:iCs/>
                  <w:color w:val="auto"/>
                </w:rPr>
              </m:ctrlPr>
            </m:sSubPr>
            <m:e>
              <m:r>
                <m:rPr/>
                <w:rPr>
                  <w:rFonts w:ascii="Cambria Math" w:hAnsi="Cambria Math"/>
                  <w:color w:val="auto"/>
                </w:rPr>
                <m:t>F</m:t>
              </m:r>
              <m:ctrlPr>
                <w:rPr>
                  <w:rFonts w:ascii="Cambria Math" w:hAnsi="Cambria Math"/>
                  <w:i/>
                  <w:iCs/>
                  <w:color w:val="auto"/>
                </w:rPr>
              </m:ctrlPr>
            </m:e>
            <m:sub>
              <m:r>
                <m:rPr/>
                <w:rPr>
                  <w:rFonts w:ascii="Cambria Math" w:hAnsi="Cambria Math"/>
                  <w:color w:val="auto"/>
                </w:rPr>
                <m:t>1,t</m:t>
              </m:r>
              <m:ctrlPr>
                <w:rPr>
                  <w:rFonts w:ascii="Cambria Math" w:hAnsi="Cambria Math"/>
                  <w:i/>
                  <w:iCs/>
                  <w:color w:val="auto"/>
                </w:rPr>
              </m:ctrlPr>
            </m:sub>
          </m:sSub>
          <m:r>
            <m:rPr/>
            <w:rPr>
              <w:rFonts w:ascii="Cambria Math" w:hAnsi="Cambria Math"/>
              <w:color w:val="auto"/>
            </w:rPr>
            <m:t>+</m:t>
          </m:r>
          <m:sSub>
            <m:sSubPr>
              <m:ctrlPr>
                <w:rPr>
                  <w:rFonts w:ascii="Cambria Math" w:hAnsi="Cambria Math"/>
                  <w:i/>
                  <w:iCs/>
                  <w:color w:val="auto"/>
                </w:rPr>
              </m:ctrlPr>
            </m:sSubPr>
            <m:e>
              <m:r>
                <m:rPr/>
                <w:rPr>
                  <w:rFonts w:ascii="Cambria Math" w:hAnsi="Cambria Math"/>
                  <w:color w:val="auto"/>
                </w:rPr>
                <m:t>w</m:t>
              </m:r>
              <m:ctrlPr>
                <w:rPr>
                  <w:rFonts w:ascii="Cambria Math" w:hAnsi="Cambria Math"/>
                  <w:i/>
                  <w:iCs/>
                  <w:color w:val="auto"/>
                </w:rPr>
              </m:ctrlPr>
            </m:e>
            <m:sub>
              <m:r>
                <m:rPr/>
                <w:rPr>
                  <w:rFonts w:ascii="Cambria Math" w:hAnsi="Cambria Math"/>
                  <w:color w:val="auto"/>
                </w:rPr>
                <m:t>2</m:t>
              </m:r>
              <m:ctrlPr>
                <w:rPr>
                  <w:rFonts w:ascii="Cambria Math" w:hAnsi="Cambria Math"/>
                  <w:i/>
                  <w:iCs/>
                  <w:color w:val="auto"/>
                </w:rPr>
              </m:ctrlPr>
            </m:sub>
          </m:sSub>
          <m:r>
            <m:rPr/>
            <w:rPr>
              <w:rFonts w:ascii="Cambria Math" w:hAnsi="Cambria Math"/>
              <w:color w:val="auto"/>
            </w:rPr>
            <m:t>∙</m:t>
          </m:r>
          <m:sSub>
            <m:sSubPr>
              <m:ctrlPr>
                <w:rPr>
                  <w:rFonts w:ascii="Cambria Math" w:hAnsi="Cambria Math"/>
                  <w:i/>
                  <w:iCs/>
                  <w:color w:val="auto"/>
                </w:rPr>
              </m:ctrlPr>
            </m:sSubPr>
            <m:e>
              <m:r>
                <m:rPr/>
                <w:rPr>
                  <w:rFonts w:ascii="Cambria Math" w:hAnsi="Cambria Math"/>
                  <w:color w:val="auto"/>
                </w:rPr>
                <m:t>F</m:t>
              </m:r>
              <m:ctrlPr>
                <w:rPr>
                  <w:rFonts w:ascii="Cambria Math" w:hAnsi="Cambria Math"/>
                  <w:i/>
                  <w:iCs/>
                  <w:color w:val="auto"/>
                </w:rPr>
              </m:ctrlPr>
            </m:e>
            <m:sub>
              <m:r>
                <m:rPr/>
                <w:rPr>
                  <w:rFonts w:ascii="Cambria Math" w:hAnsi="Cambria Math"/>
                  <w:color w:val="auto"/>
                </w:rPr>
                <m:t>2,t</m:t>
              </m:r>
              <m:ctrlPr>
                <w:rPr>
                  <w:rFonts w:ascii="Cambria Math" w:hAnsi="Cambria Math"/>
                  <w:i/>
                  <w:iCs/>
                  <w:color w:val="auto"/>
                </w:rPr>
              </m:ctrlPr>
            </m:sub>
          </m:sSub>
          <m:r>
            <m:rPr/>
            <w:rPr>
              <w:rFonts w:ascii="Cambria Math" w:hAnsi="Cambria Math"/>
              <w:color w:val="auto"/>
            </w:rPr>
            <m:t>+</m:t>
          </m:r>
          <m:sSub>
            <m:sSubPr>
              <m:ctrlPr>
                <w:rPr>
                  <w:rFonts w:ascii="Cambria Math" w:hAnsi="Cambria Math"/>
                  <w:i/>
                  <w:iCs/>
                  <w:color w:val="auto"/>
                </w:rPr>
              </m:ctrlPr>
            </m:sSubPr>
            <m:e>
              <m:r>
                <m:rPr/>
                <w:rPr>
                  <w:rFonts w:ascii="Cambria Math" w:hAnsi="Cambria Math"/>
                  <w:color w:val="auto"/>
                </w:rPr>
                <m:t>w</m:t>
              </m:r>
              <m:ctrlPr>
                <w:rPr>
                  <w:rFonts w:ascii="Cambria Math" w:hAnsi="Cambria Math"/>
                  <w:i/>
                  <w:iCs/>
                  <w:color w:val="auto"/>
                </w:rPr>
              </m:ctrlPr>
            </m:e>
            <m:sub>
              <m:r>
                <m:rPr/>
                <w:rPr>
                  <w:rFonts w:ascii="Cambria Math" w:hAnsi="Cambria Math"/>
                  <w:color w:val="auto"/>
                </w:rPr>
                <m:t>3</m:t>
              </m:r>
              <m:ctrlPr>
                <w:rPr>
                  <w:rFonts w:ascii="Cambria Math" w:hAnsi="Cambria Math"/>
                  <w:i/>
                  <w:iCs/>
                  <w:color w:val="auto"/>
                </w:rPr>
              </m:ctrlPr>
            </m:sub>
          </m:sSub>
          <m:r>
            <m:rPr/>
            <w:rPr>
              <w:rFonts w:ascii="Cambria Math" w:hAnsi="Cambria Math"/>
              <w:color w:val="auto"/>
            </w:rPr>
            <m:t>∙</m:t>
          </m:r>
          <m:sSub>
            <m:sSubPr>
              <m:ctrlPr>
                <w:rPr>
                  <w:rFonts w:ascii="Cambria Math" w:hAnsi="Cambria Math"/>
                  <w:i/>
                  <w:iCs/>
                  <w:color w:val="auto"/>
                </w:rPr>
              </m:ctrlPr>
            </m:sSubPr>
            <m:e>
              <m:r>
                <m:rPr/>
                <w:rPr>
                  <w:rFonts w:ascii="Cambria Math" w:hAnsi="Cambria Math"/>
                  <w:color w:val="auto"/>
                </w:rPr>
                <m:t>F</m:t>
              </m:r>
              <m:ctrlPr>
                <w:rPr>
                  <w:rFonts w:ascii="Cambria Math" w:hAnsi="Cambria Math"/>
                  <w:i/>
                  <w:iCs/>
                  <w:color w:val="auto"/>
                </w:rPr>
              </m:ctrlPr>
            </m:e>
            <m:sub>
              <m:r>
                <m:rPr/>
                <w:rPr>
                  <w:rFonts w:ascii="Cambria Math" w:hAnsi="Cambria Math"/>
                  <w:color w:val="auto"/>
                </w:rPr>
                <m:t>3,t</m:t>
              </m:r>
              <m:ctrlPr>
                <w:rPr>
                  <w:rFonts w:ascii="Cambria Math" w:hAnsi="Cambria Math"/>
                  <w:i/>
                  <w:iCs/>
                  <w:color w:val="auto"/>
                </w:rPr>
              </m:ctrlPr>
            </m:sub>
          </m:sSub>
          <m:r>
            <m:rPr/>
            <w:rPr>
              <w:rFonts w:ascii="Cambria Math" w:hAnsi="Cambria Math"/>
              <w:color w:val="auto"/>
            </w:rPr>
            <m:t>−c∙a</m:t>
          </m:r>
        </m:oMath>
      </m:oMathPara>
    </w:p>
    <w:p w14:paraId="17CE2662">
      <w:pPr>
        <w:tabs>
          <w:tab w:val="left" w:pos="1921"/>
        </w:tabs>
        <w:spacing w:line="400" w:lineRule="exact"/>
        <w:ind w:firstLine="480" w:firstLineChars="200"/>
        <w:rPr>
          <w:color w:val="auto"/>
        </w:rPr>
      </w:pPr>
      <w:r>
        <w:rPr>
          <w:color w:val="auto"/>
        </w:rPr>
        <w:t>其中</w:t>
      </w:r>
      <m:oMath>
        <m:sSub>
          <m:sSubPr>
            <m:ctrlPr>
              <w:rPr>
                <w:rFonts w:ascii="Cambria Math" w:hAnsi="Cambria Math"/>
                <w:i/>
                <w:iCs/>
                <w:color w:val="auto"/>
              </w:rPr>
            </m:ctrlPr>
          </m:sSubPr>
          <m:e>
            <m:r>
              <m:rPr/>
              <w:rPr>
                <w:rFonts w:ascii="Cambria Math" w:hAnsi="Cambria Math"/>
                <w:color w:val="auto"/>
              </w:rPr>
              <m:t>w</m:t>
            </m:r>
            <m:ctrlPr>
              <w:rPr>
                <w:rFonts w:ascii="Cambria Math" w:hAnsi="Cambria Math"/>
                <w:i/>
                <w:iCs/>
                <w:color w:val="auto"/>
              </w:rPr>
            </m:ctrlPr>
          </m:e>
          <m:sub>
            <m:r>
              <m:rPr/>
              <w:rPr>
                <w:rFonts w:ascii="Cambria Math" w:hAnsi="Cambria Math"/>
                <w:color w:val="auto"/>
              </w:rPr>
              <m:t>1</m:t>
            </m:r>
            <m:ctrlPr>
              <w:rPr>
                <w:rFonts w:ascii="Cambria Math" w:hAnsi="Cambria Math"/>
                <w:i/>
                <w:iCs/>
                <w:color w:val="auto"/>
              </w:rPr>
            </m:ctrlPr>
          </m:sub>
        </m:sSub>
      </m:oMath>
      <w:r>
        <w:rPr>
          <w:iCs/>
          <w:color w:val="auto"/>
        </w:rPr>
        <w:t>,</w:t>
      </w:r>
      <m:oMath>
        <m:sSub>
          <m:sSubPr>
            <m:ctrlPr>
              <w:rPr>
                <w:rFonts w:ascii="Cambria Math" w:hAnsi="Cambria Math"/>
                <w:i/>
                <w:iCs/>
                <w:color w:val="auto"/>
              </w:rPr>
            </m:ctrlPr>
          </m:sSubPr>
          <m:e>
            <m:r>
              <m:rPr/>
              <w:rPr>
                <w:rFonts w:ascii="Cambria Math" w:hAnsi="Cambria Math"/>
                <w:color w:val="auto"/>
              </w:rPr>
              <m:t>w</m:t>
            </m:r>
            <m:ctrlPr>
              <w:rPr>
                <w:rFonts w:ascii="Cambria Math" w:hAnsi="Cambria Math"/>
                <w:i/>
                <w:iCs/>
                <w:color w:val="auto"/>
              </w:rPr>
            </m:ctrlPr>
          </m:e>
          <m:sub>
            <m:r>
              <m:rPr/>
              <w:rPr>
                <w:rFonts w:ascii="Cambria Math" w:hAnsi="Cambria Math"/>
                <w:color w:val="auto"/>
              </w:rPr>
              <m:t>2</m:t>
            </m:r>
            <m:ctrlPr>
              <w:rPr>
                <w:rFonts w:ascii="Cambria Math" w:hAnsi="Cambria Math"/>
                <w:i/>
                <w:iCs/>
                <w:color w:val="auto"/>
              </w:rPr>
            </m:ctrlPr>
          </m:sub>
        </m:sSub>
      </m:oMath>
      <w:r>
        <w:rPr>
          <w:iCs/>
          <w:color w:val="auto"/>
        </w:rPr>
        <w:t>,</w:t>
      </w:r>
      <m:oMath>
        <m:sSub>
          <m:sSubPr>
            <m:ctrlPr>
              <w:rPr>
                <w:rFonts w:ascii="Cambria Math" w:hAnsi="Cambria Math"/>
                <w:i/>
                <w:iCs/>
                <w:color w:val="auto"/>
              </w:rPr>
            </m:ctrlPr>
          </m:sSubPr>
          <m:e>
            <m:r>
              <m:rPr/>
              <w:rPr>
                <w:rFonts w:ascii="Cambria Math" w:hAnsi="Cambria Math"/>
                <w:color w:val="auto"/>
              </w:rPr>
              <m:t>w</m:t>
            </m:r>
            <m:ctrlPr>
              <w:rPr>
                <w:rFonts w:ascii="Cambria Math" w:hAnsi="Cambria Math"/>
                <w:i/>
                <w:iCs/>
                <w:color w:val="auto"/>
              </w:rPr>
            </m:ctrlPr>
          </m:e>
          <m:sub>
            <m:r>
              <m:rPr/>
              <w:rPr>
                <w:rFonts w:ascii="Cambria Math" w:hAnsi="Cambria Math"/>
                <w:color w:val="auto"/>
              </w:rPr>
              <m:t>3</m:t>
            </m:r>
            <m:ctrlPr>
              <w:rPr>
                <w:rFonts w:ascii="Cambria Math" w:hAnsi="Cambria Math"/>
                <w:i/>
                <w:iCs/>
                <w:color w:val="auto"/>
              </w:rPr>
            </m:ctrlPr>
          </m:sub>
        </m:sSub>
      </m:oMath>
      <w:r>
        <w:rPr>
          <w:color w:val="auto"/>
        </w:rPr>
        <w:t>是权重系数。</w:t>
      </w:r>
      <w:r>
        <w:rPr>
          <w:i/>
          <w:iCs/>
          <w:color w:val="auto"/>
        </w:rPr>
        <w:t>c</w:t>
      </w:r>
      <w:r>
        <w:rPr>
          <w:color w:val="auto"/>
        </w:rPr>
        <w:t>是投资成本系数。</w:t>
      </w:r>
    </w:p>
    <w:p w14:paraId="5AA33B44">
      <w:pPr>
        <w:tabs>
          <w:tab w:val="left" w:pos="1921"/>
        </w:tabs>
        <w:spacing w:line="400" w:lineRule="exact"/>
        <w:ind w:firstLine="480" w:firstLineChars="200"/>
        <w:rPr>
          <w:color w:val="auto"/>
        </w:rPr>
      </w:pPr>
      <w:r>
        <w:rPr>
          <w:color w:val="auto"/>
        </w:rPr>
        <w:t>对于更复杂的优化问题，可以采用策略梯度方法（Policy Gradient）。定义策略函数</w:t>
      </w:r>
      <m:oMath>
        <m:r>
          <m:rPr>
            <m:sty m:val="p"/>
          </m:rPr>
          <w:rPr>
            <w:rFonts w:ascii="Cambria Math" w:hAnsi="Cambria Math"/>
            <w:color w:val="auto"/>
          </w:rPr>
          <m:t>π(</m:t>
        </m:r>
        <m:r>
          <m:rPr/>
          <w:rPr>
            <w:rFonts w:ascii="Cambria Math" w:hAnsi="Cambria Math"/>
            <w:color w:val="auto"/>
          </w:rPr>
          <m:t>a</m:t>
        </m:r>
        <m:d>
          <m:dPr>
            <m:begChr m:val="|"/>
            <m:endChr m:val=""/>
            <m:ctrlPr>
              <w:rPr>
                <w:rFonts w:ascii="Cambria Math" w:hAnsi="Cambria Math"/>
                <w:i/>
                <w:iCs/>
                <w:color w:val="auto"/>
              </w:rPr>
            </m:ctrlPr>
          </m:dPr>
          <m:e>
            <m:sSub>
              <m:sSubPr>
                <m:ctrlPr>
                  <w:rPr>
                    <w:rFonts w:ascii="Cambria Math" w:hAnsi="Cambria Math"/>
                    <w:i/>
                    <w:iCs/>
                    <w:color w:val="auto"/>
                  </w:rPr>
                </m:ctrlPr>
              </m:sSubPr>
              <m:e>
                <m:r>
                  <m:rPr/>
                  <w:rPr>
                    <w:rFonts w:ascii="Cambria Math" w:hAnsi="Cambria Math"/>
                    <w:color w:val="auto"/>
                  </w:rPr>
                  <m:t>S</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r>
              <m:rPr/>
              <w:rPr>
                <w:rFonts w:ascii="Cambria Math" w:hAnsi="Cambria Math"/>
                <w:color w:val="auto"/>
              </w:rPr>
              <m:t>;θ</m:t>
            </m:r>
            <m:ctrlPr>
              <w:rPr>
                <w:rFonts w:ascii="Cambria Math" w:hAnsi="Cambria Math"/>
                <w:i/>
                <w:iCs/>
                <w:color w:val="auto"/>
              </w:rPr>
            </m:ctrlPr>
          </m:e>
        </m:d>
        <m:r>
          <m:rPr>
            <m:sty m:val="p"/>
          </m:rPr>
          <w:rPr>
            <w:rFonts w:ascii="Cambria Math" w:hAnsi="Cambria Math"/>
            <w:color w:val="auto"/>
          </w:rPr>
          <m:t>)</m:t>
        </m:r>
      </m:oMath>
      <w:r>
        <w:rPr>
          <w:color w:val="auto"/>
        </w:rPr>
        <w:t>为在状态</w:t>
      </w:r>
      <m:oMath>
        <m:sSub>
          <m:sSubPr>
            <m:ctrlPr>
              <w:rPr>
                <w:rFonts w:ascii="Cambria Math" w:hAnsi="Cambria Math"/>
                <w:i/>
                <w:iCs/>
                <w:color w:val="auto"/>
              </w:rPr>
            </m:ctrlPr>
          </m:sSubPr>
          <m:e>
            <m:r>
              <m:rPr/>
              <w:rPr>
                <w:rFonts w:ascii="Cambria Math" w:hAnsi="Cambria Math"/>
                <w:color w:val="auto"/>
              </w:rPr>
              <m:t>S</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oMath>
      <w:r>
        <w:rPr>
          <w:color w:val="auto"/>
        </w:rPr>
        <w:t>下选择动作</w:t>
      </w:r>
      <m:oMath>
        <m:r>
          <m:rPr/>
          <w:rPr>
            <w:rFonts w:ascii="Cambria Math" w:hAnsi="Cambria Math"/>
            <w:color w:val="auto"/>
          </w:rPr>
          <m:t>a</m:t>
        </m:r>
      </m:oMath>
      <w:r>
        <w:rPr>
          <w:color w:val="auto"/>
        </w:rPr>
        <w:t>的概率分布，参数为</w:t>
      </w:r>
      <m:oMath>
        <m:r>
          <m:rPr/>
          <w:rPr>
            <w:rFonts w:ascii="Cambria Math" w:hAnsi="Cambria Math"/>
            <w:color w:val="auto"/>
          </w:rPr>
          <m:t>θ</m:t>
        </m:r>
      </m:oMath>
      <w:r>
        <w:rPr>
          <w:color w:val="auto"/>
        </w:rPr>
        <w:t>。目标是最大化累积奖励期望</w:t>
      </w:r>
      <w:r>
        <w:rPr>
          <w:color w:val="auto"/>
        </w:rPr>
        <w:fldChar w:fldCharType="begin"/>
      </w:r>
      <w:r>
        <w:rPr>
          <w:color w:val="auto"/>
        </w:rPr>
        <w:instrText xml:space="preserve"> REF _Ref193109870 \r \h </w:instrText>
      </w:r>
      <w:r>
        <w:rPr>
          <w:color w:val="auto"/>
        </w:rPr>
        <w:fldChar w:fldCharType="separate"/>
      </w:r>
      <w:r>
        <w:rPr>
          <w:color w:val="auto"/>
        </w:rPr>
        <w:t>[61]</w:t>
      </w:r>
      <w:r>
        <w:rPr>
          <w:color w:val="auto"/>
        </w:rPr>
        <w:fldChar w:fldCharType="end"/>
      </w:r>
      <w:r>
        <w:rPr>
          <w:color w:val="auto"/>
        </w:rPr>
        <w:t>：</w:t>
      </w:r>
    </w:p>
    <w:p w14:paraId="43258C59">
      <w:pPr>
        <w:tabs>
          <w:tab w:val="left" w:pos="1921"/>
        </w:tabs>
        <w:spacing w:line="400" w:lineRule="exact"/>
        <w:ind w:firstLine="480" w:firstLineChars="200"/>
        <w:rPr>
          <w:i/>
          <w:iCs/>
          <w:color w:val="auto"/>
        </w:rPr>
      </w:pPr>
      <m:oMathPara>
        <m:oMath>
          <m:r>
            <m:rPr/>
            <w:rPr>
              <w:rFonts w:ascii="Cambria Math" w:hAnsi="Cambria Math"/>
              <w:color w:val="auto"/>
            </w:rPr>
            <m:t>J(θ)=</m:t>
          </m:r>
          <m:sSub>
            <m:sSubPr>
              <m:ctrlPr>
                <w:rPr>
                  <w:rFonts w:ascii="Cambria Math" w:hAnsi="Cambria Math"/>
                  <w:i/>
                  <w:iCs/>
                  <w:color w:val="auto"/>
                </w:rPr>
              </m:ctrlPr>
            </m:sSubPr>
            <m:e>
              <m:r>
                <m:rPr>
                  <m:scr m:val="double-struck"/>
                </m:rPr>
                <w:rPr>
                  <w:rFonts w:ascii="Cambria Math" w:hAnsi="Cambria Math" w:eastAsia="MS Mincho"/>
                  <w:color w:val="auto"/>
                </w:rPr>
                <m:t>E</m:t>
              </m:r>
              <m:ctrlPr>
                <w:rPr>
                  <w:rFonts w:ascii="Cambria Math" w:hAnsi="Cambria Math"/>
                  <w:i/>
                  <w:iCs/>
                  <w:color w:val="auto"/>
                </w:rPr>
              </m:ctrlPr>
            </m:e>
            <m:sub>
              <m:r>
                <m:rPr/>
                <w:rPr>
                  <w:rFonts w:ascii="Cambria Math" w:hAnsi="Cambria Math"/>
                  <w:color w:val="auto"/>
                </w:rPr>
                <m:t>π</m:t>
              </m:r>
              <m:ctrlPr>
                <w:rPr>
                  <w:rFonts w:ascii="Cambria Math" w:hAnsi="Cambria Math"/>
                  <w:i/>
                  <w:iCs/>
                  <w:color w:val="auto"/>
                </w:rPr>
              </m:ctrlPr>
            </m:sub>
          </m:sSub>
          <m:d>
            <m:dPr>
              <m:begChr m:val="["/>
              <m:endChr m:val="]"/>
              <m:ctrlPr>
                <w:rPr>
                  <w:rFonts w:ascii="Cambria Math" w:hAnsi="Cambria Math"/>
                  <w:i/>
                  <w:iCs/>
                  <w:color w:val="auto"/>
                </w:rPr>
              </m:ctrlPr>
            </m:dPr>
            <m:e>
              <m:nary>
                <m:naryPr>
                  <m:chr m:val="∑"/>
                  <m:limLoc m:val="undOvr"/>
                  <m:ctrlPr>
                    <w:rPr>
                      <w:rFonts w:ascii="Cambria Math" w:hAnsi="Cambria Math"/>
                      <w:i/>
                      <w:iCs/>
                      <w:color w:val="auto"/>
                    </w:rPr>
                  </m:ctrlPr>
                </m:naryPr>
                <m:sub>
                  <m:r>
                    <m:rPr/>
                    <w:rPr>
                      <w:rFonts w:ascii="Cambria Math" w:hAnsi="Cambria Math"/>
                      <w:color w:val="auto"/>
                    </w:rPr>
                    <m:t>t=0</m:t>
                  </m:r>
                  <m:ctrlPr>
                    <w:rPr>
                      <w:rFonts w:ascii="Cambria Math" w:hAnsi="Cambria Math"/>
                      <w:i/>
                      <w:iCs/>
                      <w:color w:val="auto"/>
                    </w:rPr>
                  </m:ctrlPr>
                </m:sub>
                <m:sup>
                  <m:r>
                    <m:rPr/>
                    <w:rPr>
                      <w:rFonts w:ascii="Cambria Math" w:hAnsi="Cambria Math"/>
                      <w:color w:val="auto"/>
                    </w:rPr>
                    <m:t>T</m:t>
                  </m:r>
                  <m:ctrlPr>
                    <w:rPr>
                      <w:rFonts w:ascii="Cambria Math" w:hAnsi="Cambria Math"/>
                      <w:i/>
                      <w:iCs/>
                      <w:color w:val="auto"/>
                    </w:rPr>
                  </m:ctrlPr>
                </m:sup>
                <m:e>
                  <m:sSup>
                    <m:sSupPr>
                      <m:ctrlPr>
                        <w:rPr>
                          <w:rFonts w:ascii="Cambria Math" w:hAnsi="Cambria Math"/>
                          <w:i/>
                          <w:iCs/>
                          <w:color w:val="auto"/>
                        </w:rPr>
                      </m:ctrlPr>
                    </m:sSupPr>
                    <m:e>
                      <m:r>
                        <m:rPr/>
                        <w:rPr>
                          <w:rFonts w:ascii="Cambria Math" w:hAnsi="Cambria Math"/>
                          <w:color w:val="auto"/>
                        </w:rPr>
                        <m:t>γ</m:t>
                      </m:r>
                      <m:ctrlPr>
                        <w:rPr>
                          <w:rFonts w:ascii="Cambria Math" w:hAnsi="Cambria Math"/>
                          <w:i/>
                          <w:iCs/>
                          <w:color w:val="auto"/>
                        </w:rPr>
                      </m:ctrlPr>
                    </m:e>
                    <m:sup>
                      <m:r>
                        <m:rPr/>
                        <w:rPr>
                          <w:rFonts w:ascii="Cambria Math" w:hAnsi="Cambria Math"/>
                          <w:color w:val="auto"/>
                        </w:rPr>
                        <m:t>t</m:t>
                      </m:r>
                      <m:ctrlPr>
                        <w:rPr>
                          <w:rFonts w:ascii="Cambria Math" w:hAnsi="Cambria Math"/>
                          <w:i/>
                          <w:iCs/>
                          <w:color w:val="auto"/>
                        </w:rPr>
                      </m:ctrlPr>
                    </m:sup>
                  </m:sSup>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ctrlPr>
                    <w:rPr>
                      <w:rFonts w:ascii="Cambria Math" w:hAnsi="Cambria Math"/>
                      <w:i/>
                      <w:iCs/>
                      <w:color w:val="auto"/>
                    </w:rPr>
                  </m:ctrlPr>
                </m:e>
              </m:nary>
              <m:ctrlPr>
                <w:rPr>
                  <w:rFonts w:ascii="Cambria Math" w:hAnsi="Cambria Math"/>
                  <w:i/>
                  <w:iCs/>
                  <w:color w:val="auto"/>
                </w:rPr>
              </m:ctrlPr>
            </m:e>
          </m:d>
        </m:oMath>
      </m:oMathPara>
    </w:p>
    <w:p w14:paraId="12861AB6">
      <w:pPr>
        <w:tabs>
          <w:tab w:val="left" w:pos="1921"/>
        </w:tabs>
        <w:spacing w:line="400" w:lineRule="exact"/>
        <w:ind w:firstLine="480" w:firstLineChars="200"/>
        <w:rPr>
          <w:color w:val="auto"/>
        </w:rPr>
      </w:pPr>
      <w:r>
        <w:rPr>
          <w:color w:val="auto"/>
        </w:rPr>
        <w:t>通过梯度上升法更新参数</w:t>
      </w:r>
      <w:r>
        <w:rPr>
          <w:i/>
          <w:iCs/>
          <w:color w:val="auto"/>
        </w:rPr>
        <w:t>θ</w:t>
      </w:r>
      <w:r>
        <w:rPr>
          <w:color w:val="auto"/>
        </w:rPr>
        <w:t>：</w:t>
      </w:r>
    </w:p>
    <w:p w14:paraId="3DBB6C91">
      <w:pPr>
        <w:tabs>
          <w:tab w:val="left" w:pos="1921"/>
        </w:tabs>
        <w:spacing w:line="400" w:lineRule="exact"/>
        <w:ind w:firstLine="480" w:firstLineChars="200"/>
        <w:rPr>
          <w:color w:val="auto"/>
        </w:rPr>
      </w:pPr>
      <m:oMathPara>
        <m:oMath>
          <m:sSub>
            <m:sSubPr>
              <m:ctrlPr>
                <w:rPr>
                  <w:rFonts w:ascii="Cambria Math" w:hAnsi="Cambria Math"/>
                  <w:i/>
                  <w:color w:val="auto"/>
                </w:rPr>
              </m:ctrlPr>
            </m:sSubPr>
            <m:e>
              <m:r>
                <m:rPr/>
                <w:rPr>
                  <w:rFonts w:ascii="Cambria Math" w:hAnsi="Cambria Math"/>
                  <w:color w:val="auto"/>
                </w:rPr>
                <m:t>∇</m:t>
              </m:r>
              <m:ctrlPr>
                <w:rPr>
                  <w:rFonts w:ascii="Cambria Math" w:hAnsi="Cambria Math"/>
                  <w:i/>
                  <w:color w:val="auto"/>
                </w:rPr>
              </m:ctrlPr>
            </m:e>
            <m:sub>
              <m:r>
                <m:rPr/>
                <w:rPr>
                  <w:rFonts w:ascii="Cambria Math" w:hAnsi="Cambria Math"/>
                  <w:color w:val="auto"/>
                </w:rPr>
                <m:t>θ</m:t>
              </m:r>
              <m:ctrlPr>
                <w:rPr>
                  <w:rFonts w:ascii="Cambria Math" w:hAnsi="Cambria Math"/>
                  <w:i/>
                  <w:color w:val="auto"/>
                </w:rPr>
              </m:ctrlPr>
            </m:sub>
          </m:sSub>
          <m:r>
            <m:rPr/>
            <w:rPr>
              <w:rFonts w:ascii="Cambria Math" w:hAnsi="Cambria Math"/>
              <w:color w:val="auto"/>
            </w:rPr>
            <m:t>J(θ)=</m:t>
          </m:r>
          <m:sSub>
            <m:sSubPr>
              <m:ctrlPr>
                <w:rPr>
                  <w:rFonts w:ascii="Cambria Math" w:hAnsi="Cambria Math"/>
                  <w:i/>
                  <w:iCs/>
                  <w:color w:val="auto"/>
                </w:rPr>
              </m:ctrlPr>
            </m:sSubPr>
            <m:e>
              <m:r>
                <m:rPr>
                  <m:scr m:val="double-struck"/>
                </m:rPr>
                <w:rPr>
                  <w:rFonts w:ascii="Cambria Math" w:hAnsi="Cambria Math" w:eastAsia="MS Mincho"/>
                  <w:color w:val="auto"/>
                </w:rPr>
                <m:t>E</m:t>
              </m:r>
              <m:ctrlPr>
                <w:rPr>
                  <w:rFonts w:ascii="Cambria Math" w:hAnsi="Cambria Math"/>
                  <w:i/>
                  <w:iCs/>
                  <w:color w:val="auto"/>
                </w:rPr>
              </m:ctrlPr>
            </m:e>
            <m:sub>
              <m:r>
                <m:rPr/>
                <w:rPr>
                  <w:rFonts w:ascii="Cambria Math" w:hAnsi="Cambria Math"/>
                  <w:color w:val="auto"/>
                </w:rPr>
                <m:t>π</m:t>
              </m:r>
              <m:ctrlPr>
                <w:rPr>
                  <w:rFonts w:ascii="Cambria Math" w:hAnsi="Cambria Math"/>
                  <w:i/>
                  <w:iCs/>
                  <w:color w:val="auto"/>
                </w:rPr>
              </m:ctrlPr>
            </m:sub>
          </m:sSub>
          <m:d>
            <m:dPr>
              <m:begChr m:val="["/>
              <m:endChr m:val="]"/>
              <m:ctrlPr>
                <w:rPr>
                  <w:rFonts w:ascii="Cambria Math" w:hAnsi="Cambria Math"/>
                  <w:i/>
                  <w:iCs/>
                  <w:color w:val="auto"/>
                </w:rPr>
              </m:ctrlPr>
            </m:dPr>
            <m:e>
              <m:nary>
                <m:naryPr>
                  <m:chr m:val="∑"/>
                  <m:limLoc m:val="undOvr"/>
                  <m:ctrlPr>
                    <w:rPr>
                      <w:rFonts w:ascii="Cambria Math" w:hAnsi="Cambria Math"/>
                      <w:i/>
                      <w:iCs/>
                      <w:color w:val="auto"/>
                    </w:rPr>
                  </m:ctrlPr>
                </m:naryPr>
                <m:sub>
                  <m:r>
                    <m:rPr/>
                    <w:rPr>
                      <w:rFonts w:ascii="Cambria Math" w:hAnsi="Cambria Math"/>
                      <w:color w:val="auto"/>
                    </w:rPr>
                    <m:t>t=0</m:t>
                  </m:r>
                  <m:ctrlPr>
                    <w:rPr>
                      <w:rFonts w:ascii="Cambria Math" w:hAnsi="Cambria Math"/>
                      <w:i/>
                      <w:iCs/>
                      <w:color w:val="auto"/>
                    </w:rPr>
                  </m:ctrlPr>
                </m:sub>
                <m:sup>
                  <m:r>
                    <m:rPr/>
                    <w:rPr>
                      <w:rFonts w:ascii="Cambria Math" w:hAnsi="Cambria Math"/>
                      <w:color w:val="auto"/>
                    </w:rPr>
                    <m:t>T</m:t>
                  </m:r>
                  <m:ctrlPr>
                    <w:rPr>
                      <w:rFonts w:ascii="Cambria Math" w:hAnsi="Cambria Math"/>
                      <w:i/>
                      <w:iCs/>
                      <w:color w:val="auto"/>
                    </w:rPr>
                  </m:ctrlPr>
                </m:sup>
                <m:e>
                  <m:sSub>
                    <m:sSubPr>
                      <m:ctrlPr>
                        <w:rPr>
                          <w:rFonts w:ascii="Cambria Math" w:hAnsi="Cambria Math"/>
                          <w:i/>
                          <w:color w:val="auto"/>
                        </w:rPr>
                      </m:ctrlPr>
                    </m:sSubPr>
                    <m:e>
                      <m:r>
                        <m:rPr/>
                        <w:rPr>
                          <w:rFonts w:ascii="Cambria Math" w:hAnsi="Cambria Math"/>
                          <w:color w:val="auto"/>
                        </w:rPr>
                        <m:t>∇</m:t>
                      </m:r>
                      <m:ctrlPr>
                        <w:rPr>
                          <w:rFonts w:ascii="Cambria Math" w:hAnsi="Cambria Math"/>
                          <w:i/>
                          <w:color w:val="auto"/>
                        </w:rPr>
                      </m:ctrlPr>
                    </m:e>
                    <m:sub>
                      <m:r>
                        <m:rPr/>
                        <w:rPr>
                          <w:rFonts w:ascii="Cambria Math" w:hAnsi="Cambria Math"/>
                          <w:color w:val="auto"/>
                        </w:rPr>
                        <m:t>θ</m:t>
                      </m:r>
                      <m:ctrlPr>
                        <w:rPr>
                          <w:rFonts w:ascii="Cambria Math" w:hAnsi="Cambria Math"/>
                          <w:i/>
                          <w:color w:val="auto"/>
                        </w:rPr>
                      </m:ctrlPr>
                    </m:sub>
                  </m:sSub>
                  <m:r>
                    <m:rPr>
                      <m:sty m:val="p"/>
                    </m:rPr>
                    <w:rPr>
                      <w:rFonts w:ascii="Cambria Math" w:hAnsi="Cambria Math"/>
                      <w:color w:val="auto"/>
                    </w:rPr>
                    <m:t>Iog</m:t>
                  </m:r>
                  <m:r>
                    <m:rPr/>
                    <w:rPr>
                      <w:rFonts w:ascii="Cambria Math" w:hAnsi="Cambria Math"/>
                      <w:color w:val="auto"/>
                    </w:rPr>
                    <m:t>π(</m:t>
                  </m:r>
                  <m:sSub>
                    <m:sSubPr>
                      <m:ctrlPr>
                        <w:rPr>
                          <w:rFonts w:ascii="Cambria Math" w:hAnsi="Cambria Math"/>
                          <w:i/>
                          <w:color w:val="auto"/>
                        </w:rPr>
                      </m:ctrlPr>
                    </m:sSubPr>
                    <m:e>
                      <m:r>
                        <m:rPr/>
                        <w:rPr>
                          <w:rFonts w:ascii="Cambria Math" w:hAnsi="Cambria Math"/>
                          <w:color w:val="auto"/>
                        </w:rPr>
                        <m:t>a</m:t>
                      </m:r>
                      <m:ctrlPr>
                        <w:rPr>
                          <w:rFonts w:ascii="Cambria Math" w:hAnsi="Cambria Math"/>
                          <w:i/>
                          <w:color w:val="auto"/>
                        </w:rPr>
                      </m:ctrlPr>
                    </m:e>
                    <m:sub>
                      <m:r>
                        <m:rPr/>
                        <w:rPr>
                          <w:rFonts w:ascii="Cambria Math" w:hAnsi="Cambria Math"/>
                          <w:color w:val="auto"/>
                        </w:rPr>
                        <m:t>t</m:t>
                      </m:r>
                      <m:ctrlPr>
                        <w:rPr>
                          <w:rFonts w:ascii="Cambria Math" w:hAnsi="Cambria Math"/>
                          <w:i/>
                          <w:color w:val="auto"/>
                        </w:rPr>
                      </m:ctrlPr>
                    </m:sub>
                  </m:sSub>
                  <m:ctrlPr>
                    <w:rPr>
                      <w:rFonts w:ascii="Cambria Math" w:hAnsi="Cambria Math"/>
                      <w:i/>
                      <w:iCs/>
                      <w:color w:val="auto"/>
                    </w:rPr>
                  </m:ctrlPr>
                </m:e>
              </m:nary>
              <m:d>
                <m:dPr>
                  <m:begChr m:val="|"/>
                  <m:endChr m:val=""/>
                  <m:ctrlPr>
                    <w:rPr>
                      <w:rFonts w:ascii="Cambria Math" w:hAnsi="Cambria Math"/>
                      <w:i/>
                      <w:iCs/>
                      <w:color w:val="auto"/>
                    </w:rPr>
                  </m:ctrlPr>
                </m:dPr>
                <m:e>
                  <m:sSub>
                    <m:sSubPr>
                      <m:ctrlPr>
                        <w:rPr>
                          <w:rFonts w:ascii="Cambria Math" w:hAnsi="Cambria Math"/>
                          <w:i/>
                          <w:iCs/>
                          <w:color w:val="auto"/>
                        </w:rPr>
                      </m:ctrlPr>
                    </m:sSubPr>
                    <m:e>
                      <m:r>
                        <m:rPr/>
                        <w:rPr>
                          <w:rFonts w:ascii="Cambria Math" w:hAnsi="Cambria Math"/>
                          <w:color w:val="auto"/>
                        </w:rPr>
                        <m:t>S</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r>
                    <m:rPr/>
                    <w:rPr>
                      <w:rFonts w:ascii="Cambria Math" w:hAnsi="Cambria Math"/>
                      <w:color w:val="auto"/>
                    </w:rPr>
                    <m:t>;θ)∙Q(</m:t>
                  </m:r>
                  <m:sSub>
                    <m:sSubPr>
                      <m:ctrlPr>
                        <w:rPr>
                          <w:rFonts w:ascii="Cambria Math" w:hAnsi="Cambria Math"/>
                          <w:i/>
                          <w:iCs/>
                          <w:color w:val="auto"/>
                        </w:rPr>
                      </m:ctrlPr>
                    </m:sSubPr>
                    <m:e>
                      <m:r>
                        <m:rPr/>
                        <w:rPr>
                          <w:rFonts w:ascii="Cambria Math" w:hAnsi="Cambria Math"/>
                          <w:color w:val="auto"/>
                        </w:rPr>
                        <m:t>S</m:t>
                      </m:r>
                      <m:ctrlPr>
                        <w:rPr>
                          <w:rFonts w:ascii="Cambria Math" w:hAnsi="Cambria Math"/>
                          <w:i/>
                          <w:iCs/>
                          <w:color w:val="auto"/>
                        </w:rPr>
                      </m:ctrlPr>
                    </m:e>
                    <m:sub>
                      <m:r>
                        <m:rPr/>
                        <w:rPr>
                          <w:rFonts w:ascii="Cambria Math" w:hAnsi="Cambria Math"/>
                          <w:color w:val="auto"/>
                        </w:rPr>
                        <m:t>t</m:t>
                      </m:r>
                      <m:ctrlPr>
                        <w:rPr>
                          <w:rFonts w:ascii="Cambria Math" w:hAnsi="Cambria Math"/>
                          <w:i/>
                          <w:iCs/>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a</m:t>
                      </m:r>
                      <m:ctrlPr>
                        <w:rPr>
                          <w:rFonts w:ascii="Cambria Math" w:hAnsi="Cambria Math"/>
                          <w:i/>
                          <w:color w:val="auto"/>
                        </w:rPr>
                      </m:ctrlPr>
                    </m:e>
                    <m:sub>
                      <m:r>
                        <m:rPr/>
                        <w:rPr>
                          <w:rFonts w:ascii="Cambria Math" w:hAnsi="Cambria Math"/>
                          <w:color w:val="auto"/>
                        </w:rPr>
                        <m:t>t</m:t>
                      </m:r>
                      <m:ctrlPr>
                        <w:rPr>
                          <w:rFonts w:ascii="Cambria Math" w:hAnsi="Cambria Math"/>
                          <w:i/>
                          <w:color w:val="auto"/>
                        </w:rPr>
                      </m:ctrlPr>
                    </m:sub>
                  </m:sSub>
                  <m:r>
                    <m:rPr/>
                    <w:rPr>
                      <w:rFonts w:ascii="Cambria Math" w:hAnsi="Cambria Math"/>
                      <w:color w:val="auto"/>
                    </w:rPr>
                    <m:t>)</m:t>
                  </m:r>
                  <m:ctrlPr>
                    <w:rPr>
                      <w:rFonts w:ascii="Cambria Math" w:hAnsi="Cambria Math"/>
                      <w:i/>
                      <w:iCs/>
                      <w:color w:val="auto"/>
                    </w:rPr>
                  </m:ctrlPr>
                </m:e>
              </m:d>
              <m:ctrlPr>
                <w:rPr>
                  <w:rFonts w:ascii="Cambria Math" w:hAnsi="Cambria Math"/>
                  <w:i/>
                  <w:iCs/>
                  <w:color w:val="auto"/>
                </w:rPr>
              </m:ctrlPr>
            </m:e>
          </m:d>
        </m:oMath>
      </m:oMathPara>
    </w:p>
    <w:p w14:paraId="5A40D635">
      <w:pPr>
        <w:tabs>
          <w:tab w:val="left" w:pos="1921"/>
        </w:tabs>
        <w:spacing w:line="400" w:lineRule="exact"/>
        <w:ind w:firstLine="480" w:firstLineChars="200"/>
        <w:rPr>
          <w:color w:val="auto"/>
        </w:rPr>
      </w:pPr>
    </w:p>
    <w:p w14:paraId="04669FCD">
      <w:pPr>
        <w:tabs>
          <w:tab w:val="left" w:pos="1921"/>
        </w:tabs>
        <w:spacing w:line="400" w:lineRule="exact"/>
        <w:ind w:firstLine="480" w:firstLineChars="200"/>
        <w:rPr>
          <w:color w:val="auto"/>
        </w:rPr>
      </w:pPr>
      <w:r>
        <w:rPr>
          <w:color w:val="auto"/>
        </w:rPr>
        <w:t>4）模型验证</w:t>
      </w:r>
    </w:p>
    <w:p w14:paraId="700D2834">
      <w:pPr>
        <w:tabs>
          <w:tab w:val="left" w:pos="1921"/>
        </w:tabs>
        <w:spacing w:line="400" w:lineRule="exact"/>
        <w:ind w:firstLine="480" w:firstLineChars="200"/>
        <w:rPr>
          <w:color w:val="auto"/>
        </w:rPr>
      </w:pPr>
      <w:r>
        <w:rPr>
          <w:color w:val="auto"/>
        </w:rPr>
        <w:t>将数据集划分为训练集、验证集和测试集，比例为7:2:1。训练集用于模型训练，验证集用于超参数调优，测试集用于评估模型性能。</w:t>
      </w:r>
    </w:p>
    <w:p w14:paraId="43CC3D97">
      <w:pPr>
        <w:tabs>
          <w:tab w:val="left" w:pos="1921"/>
        </w:tabs>
        <w:spacing w:line="400" w:lineRule="exact"/>
        <w:ind w:firstLine="480" w:firstLineChars="200"/>
        <w:rPr>
          <w:color w:val="auto"/>
        </w:rPr>
      </w:pPr>
    </w:p>
    <w:p w14:paraId="0D639683">
      <w:pPr>
        <w:tabs>
          <w:tab w:val="left" w:pos="1921"/>
        </w:tabs>
        <w:spacing w:line="400" w:lineRule="exact"/>
        <w:ind w:firstLine="480" w:firstLineChars="200"/>
        <w:rPr>
          <w:color w:val="auto"/>
        </w:rPr>
      </w:pPr>
      <w:r>
        <w:rPr>
          <w:color w:val="auto"/>
        </w:rPr>
        <w:t>采用以下指标评估模型性能：</w:t>
      </w:r>
    </w:p>
    <w:p w14:paraId="4091CC19">
      <w:pPr>
        <w:tabs>
          <w:tab w:val="left" w:pos="1921"/>
        </w:tabs>
        <w:spacing w:line="400" w:lineRule="exact"/>
        <w:ind w:firstLine="480" w:firstLineChars="200"/>
        <w:rPr>
          <w:color w:val="auto"/>
        </w:rPr>
      </w:pPr>
      <w:r>
        <w:rPr>
          <w:color w:val="auto"/>
        </w:rPr>
        <w:t>均方误差（MSE）：</w:t>
      </w:r>
      <m:oMath>
        <m:r>
          <m:rPr>
            <m:sty m:val="p"/>
          </m:rPr>
          <w:rPr>
            <w:rFonts w:ascii="Cambria Math" w:hAnsi="Cambria Math"/>
            <w:color w:val="auto"/>
          </w:rPr>
          <m:t>MSE=</m:t>
        </m:r>
        <m:f>
          <m:fPr>
            <m:ctrlPr>
              <w:rPr>
                <w:rFonts w:ascii="Cambria Math" w:hAnsi="Cambria Math"/>
                <w:color w:val="auto"/>
              </w:rPr>
            </m:ctrlPr>
          </m:fPr>
          <m:num>
            <m:r>
              <m:rPr>
                <m:sty m:val="p"/>
              </m:rPr>
              <w:rPr>
                <w:rFonts w:ascii="Cambria Math" w:hAnsi="Cambria Math"/>
                <w:color w:val="auto"/>
              </w:rPr>
              <m:t>1</m:t>
            </m:r>
            <m:ctrlPr>
              <w:rPr>
                <w:rFonts w:ascii="Cambria Math" w:hAnsi="Cambria Math"/>
                <w:color w:val="auto"/>
              </w:rPr>
            </m:ctrlPr>
          </m:num>
          <m:den>
            <m:r>
              <m:rPr/>
              <w:rPr>
                <w:rFonts w:ascii="Cambria Math" w:hAnsi="Cambria Math"/>
                <w:color w:val="auto"/>
              </w:rPr>
              <m:t>n</m:t>
            </m:r>
            <m:ctrlPr>
              <w:rPr>
                <w:rFonts w:ascii="Cambria Math" w:hAnsi="Cambria Math"/>
                <w:color w:val="auto"/>
              </w:rPr>
            </m:ctrlPr>
          </m:den>
        </m:f>
        <m:nary>
          <m:naryPr>
            <m:chr m:val="∑"/>
            <m:limLoc m:val="undOvr"/>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r>
              <m:rPr/>
              <w:rPr>
                <w:rFonts w:ascii="Cambria Math" w:hAnsi="Cambria Math"/>
                <w:color w:val="auto"/>
              </w:rPr>
              <m:t>(</m:t>
            </m:r>
            <m:ctrlPr>
              <w:rPr>
                <w:rFonts w:ascii="Cambria Math" w:hAnsi="Cambria Math"/>
                <w:i/>
                <w:iCs/>
                <w:color w:val="auto"/>
              </w:rPr>
            </m:ctrlPr>
          </m:e>
        </m:nary>
        <m:sSub>
          <m:sSubPr>
            <m:ctrlPr>
              <w:rPr>
                <w:rFonts w:ascii="Cambria Math" w:hAnsi="Cambria Math"/>
                <w:i/>
                <w:iCs/>
                <w:color w:val="auto"/>
              </w:rPr>
            </m:ctrlPr>
          </m:sSubPr>
          <m:e>
            <m:r>
              <m:rPr/>
              <w:rPr>
                <w:rFonts w:ascii="Cambria Math" w:hAnsi="Cambria Math"/>
                <w:color w:val="auto"/>
              </w:rPr>
              <m:t>Y</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w:rPr>
            <w:rFonts w:ascii="Cambria Math" w:hAnsi="Cambria Math"/>
            <w:color w:val="auto"/>
          </w:rPr>
          <m:t>−</m:t>
        </m:r>
        <m:sSub>
          <m:sSubPr>
            <m:ctrlPr>
              <w:rPr>
                <w:rFonts w:ascii="Cambria Math" w:hAnsi="Cambria Math"/>
                <w:i/>
                <w:iCs/>
                <w:color w:val="auto"/>
              </w:rPr>
            </m:ctrlPr>
          </m:sSubPr>
          <m:e>
            <m:acc>
              <m:accPr>
                <m:ctrlPr>
                  <w:rPr>
                    <w:rFonts w:ascii="Cambria Math" w:hAnsi="Cambria Math"/>
                    <w:i/>
                    <w:iCs/>
                    <w:color w:val="auto"/>
                  </w:rPr>
                </m:ctrlPr>
              </m:accPr>
              <m:e>
                <m:r>
                  <m:rPr/>
                  <w:rPr>
                    <w:rFonts w:ascii="Cambria Math" w:hAnsi="Cambria Math"/>
                    <w:color w:val="auto"/>
                  </w:rPr>
                  <m:t>Y</m:t>
                </m:r>
                <m:ctrlPr>
                  <w:rPr>
                    <w:rFonts w:ascii="Cambria Math" w:hAnsi="Cambria Math"/>
                    <w:i/>
                    <w:iCs/>
                    <w:color w:val="auto"/>
                  </w:rPr>
                </m:ctrlPr>
              </m:e>
            </m:acc>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p>
          <m:sSupPr>
            <m:ctrlPr>
              <w:rPr>
                <w:rFonts w:ascii="Cambria Math" w:hAnsi="Cambria Math"/>
                <w:i/>
                <w:iCs/>
                <w:color w:val="auto"/>
              </w:rPr>
            </m:ctrlPr>
          </m:sSupPr>
          <m:e>
            <m:r>
              <m:rPr/>
              <w:rPr>
                <w:rFonts w:ascii="Cambria Math" w:hAnsi="Cambria Math"/>
                <w:color w:val="auto"/>
              </w:rPr>
              <m:t>)</m:t>
            </m:r>
            <m:ctrlPr>
              <w:rPr>
                <w:rFonts w:ascii="Cambria Math" w:hAnsi="Cambria Math"/>
                <w:i/>
                <w:iCs/>
                <w:color w:val="auto"/>
              </w:rPr>
            </m:ctrlPr>
          </m:e>
          <m:sup>
            <m:r>
              <m:rPr/>
              <w:rPr>
                <w:rFonts w:ascii="Cambria Math" w:hAnsi="Cambria Math"/>
                <w:color w:val="auto"/>
              </w:rPr>
              <m:t>2</m:t>
            </m:r>
            <m:ctrlPr>
              <w:rPr>
                <w:rFonts w:ascii="Cambria Math" w:hAnsi="Cambria Math"/>
                <w:i/>
                <w:iCs/>
                <w:color w:val="auto"/>
              </w:rPr>
            </m:ctrlPr>
          </m:sup>
        </m:sSup>
      </m:oMath>
    </w:p>
    <w:p w14:paraId="344FB0E0">
      <w:pPr>
        <w:tabs>
          <w:tab w:val="left" w:pos="1921"/>
        </w:tabs>
        <w:spacing w:line="400" w:lineRule="exact"/>
        <w:ind w:firstLine="480" w:firstLineChars="200"/>
        <w:rPr>
          <w:iCs/>
          <w:color w:val="auto"/>
        </w:rPr>
      </w:pPr>
      <w:r>
        <w:rPr>
          <w:color w:val="auto"/>
        </w:rPr>
        <w:t>平均绝对误差（MAE）：</w:t>
      </w:r>
      <m:oMath>
        <m:r>
          <m:rPr>
            <m:sty m:val="p"/>
          </m:rPr>
          <w:rPr>
            <w:rFonts w:ascii="Cambria Math" w:hAnsi="Cambria Math"/>
            <w:color w:val="auto"/>
          </w:rPr>
          <m:t>MAE=</m:t>
        </m:r>
        <m:f>
          <m:fPr>
            <m:ctrlPr>
              <w:rPr>
                <w:rFonts w:ascii="Cambria Math" w:hAnsi="Cambria Math"/>
                <w:color w:val="auto"/>
              </w:rPr>
            </m:ctrlPr>
          </m:fPr>
          <m:num>
            <m:r>
              <m:rPr>
                <m:sty m:val="p"/>
              </m:rPr>
              <w:rPr>
                <w:rFonts w:ascii="Cambria Math" w:hAnsi="Cambria Math"/>
                <w:color w:val="auto"/>
              </w:rPr>
              <m:t>1</m:t>
            </m:r>
            <m:ctrlPr>
              <w:rPr>
                <w:rFonts w:ascii="Cambria Math" w:hAnsi="Cambria Math"/>
                <w:color w:val="auto"/>
              </w:rPr>
            </m:ctrlPr>
          </m:num>
          <m:den>
            <m:r>
              <m:rPr/>
              <w:rPr>
                <w:rFonts w:ascii="Cambria Math" w:hAnsi="Cambria Math"/>
                <w:color w:val="auto"/>
              </w:rPr>
              <m:t>n</m:t>
            </m:r>
            <m:ctrlPr>
              <w:rPr>
                <w:rFonts w:ascii="Cambria Math" w:hAnsi="Cambria Math"/>
                <w:color w:val="auto"/>
              </w:rPr>
            </m:ctrlPr>
          </m:den>
        </m:f>
        <m:nary>
          <m:naryPr>
            <m:chr m:val="∑"/>
            <m:limLoc m:val="undOvr"/>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d>
              <m:dPr>
                <m:begChr m:val="|"/>
                <m:endChr m:val=""/>
                <m:ctrlPr>
                  <w:rPr>
                    <w:rFonts w:ascii="Cambria Math" w:hAnsi="Cambria Math"/>
                    <w:i/>
                    <w:iCs/>
                    <w:color w:val="auto"/>
                  </w:rPr>
                </m:ctrlPr>
              </m:dPr>
              <m:e>
                <m:sSub>
                  <m:sSubPr>
                    <m:ctrlPr>
                      <w:rPr>
                        <w:rFonts w:ascii="Cambria Math" w:hAnsi="Cambria Math"/>
                        <w:i/>
                        <w:iCs/>
                        <w:color w:val="auto"/>
                      </w:rPr>
                    </m:ctrlPr>
                  </m:sSubPr>
                  <m:e>
                    <m:r>
                      <m:rPr/>
                      <w:rPr>
                        <w:rFonts w:ascii="Cambria Math" w:hAnsi="Cambria Math"/>
                        <w:color w:val="auto"/>
                      </w:rPr>
                      <m:t>Y</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w:rPr>
                    <w:rFonts w:ascii="Cambria Math" w:hAnsi="Cambria Math"/>
                    <w:color w:val="auto"/>
                  </w:rPr>
                  <m:t>−</m:t>
                </m:r>
                <m:ctrlPr>
                  <w:rPr>
                    <w:rFonts w:ascii="Cambria Math" w:hAnsi="Cambria Math"/>
                    <w:i/>
                    <w:iCs/>
                    <w:color w:val="auto"/>
                  </w:rPr>
                </m:ctrlPr>
              </m:e>
            </m:d>
            <m:ctrlPr>
              <w:rPr>
                <w:rFonts w:ascii="Cambria Math" w:hAnsi="Cambria Math"/>
                <w:i/>
                <w:iCs/>
                <w:color w:val="auto"/>
              </w:rPr>
            </m:ctrlPr>
          </m:e>
        </m:nary>
        <m:d>
          <m:dPr>
            <m:begChr m:val=""/>
            <m:endChr m:val="|"/>
            <m:ctrlPr>
              <w:rPr>
                <w:rFonts w:ascii="Cambria Math" w:hAnsi="Cambria Math"/>
                <w:i/>
                <w:iCs/>
                <w:color w:val="auto"/>
              </w:rPr>
            </m:ctrlPr>
          </m:dPr>
          <m:e>
            <m:sSub>
              <m:sSubPr>
                <m:ctrlPr>
                  <w:rPr>
                    <w:rFonts w:ascii="Cambria Math" w:hAnsi="Cambria Math"/>
                    <w:i/>
                    <w:iCs/>
                    <w:color w:val="auto"/>
                  </w:rPr>
                </m:ctrlPr>
              </m:sSubPr>
              <m:e>
                <m:acc>
                  <m:accPr>
                    <m:ctrlPr>
                      <w:rPr>
                        <w:rFonts w:ascii="Cambria Math" w:hAnsi="Cambria Math"/>
                        <w:i/>
                        <w:iCs/>
                        <w:color w:val="auto"/>
                      </w:rPr>
                    </m:ctrlPr>
                  </m:accPr>
                  <m:e>
                    <m:r>
                      <m:rPr/>
                      <w:rPr>
                        <w:rFonts w:ascii="Cambria Math" w:hAnsi="Cambria Math"/>
                        <w:color w:val="auto"/>
                      </w:rPr>
                      <m:t>Y</m:t>
                    </m:r>
                    <m:ctrlPr>
                      <w:rPr>
                        <w:rFonts w:ascii="Cambria Math" w:hAnsi="Cambria Math"/>
                        <w:i/>
                        <w:iCs/>
                        <w:color w:val="auto"/>
                      </w:rPr>
                    </m:ctrlPr>
                  </m:e>
                </m:acc>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ctrlPr>
              <w:rPr>
                <w:rFonts w:ascii="Cambria Math" w:hAnsi="Cambria Math"/>
                <w:i/>
                <w:iCs/>
                <w:color w:val="auto"/>
              </w:rPr>
            </m:ctrlPr>
          </m:e>
        </m:d>
      </m:oMath>
    </w:p>
    <w:p w14:paraId="70415A63">
      <w:pPr>
        <w:tabs>
          <w:tab w:val="left" w:pos="1921"/>
        </w:tabs>
        <w:spacing w:line="400" w:lineRule="exact"/>
        <w:ind w:firstLine="480" w:firstLineChars="200"/>
        <w:rPr>
          <w:color w:val="auto"/>
        </w:rPr>
      </w:pPr>
      <w:r>
        <w:rPr>
          <w:iCs/>
          <w:color w:val="auto"/>
        </w:rPr>
        <w:t>决定系数</w:t>
      </w:r>
      <m:oMath>
        <m:r>
          <m:rPr>
            <m:sty m:val="p"/>
          </m:rPr>
          <w:rPr>
            <w:rFonts w:ascii="Cambria Math" w:hAnsi="Cambria Math"/>
            <w:color w:val="auto"/>
          </w:rPr>
          <m:t>(</m:t>
        </m:r>
        <m:sSup>
          <m:sSupPr>
            <m:ctrlPr>
              <w:rPr>
                <w:rFonts w:ascii="Cambria Math" w:hAnsi="Cambria Math"/>
                <w:i/>
                <w:color w:val="auto"/>
              </w:rPr>
            </m:ctrlPr>
          </m:sSupPr>
          <m:e>
            <m:r>
              <m:rPr/>
              <w:rPr>
                <w:rFonts w:ascii="Cambria Math" w:hAnsi="Cambria Math"/>
                <w:color w:val="auto"/>
              </w:rPr>
              <m:t>R</m:t>
            </m:r>
            <m:ctrlPr>
              <w:rPr>
                <w:rFonts w:ascii="Cambria Math" w:hAnsi="Cambria Math"/>
                <w:i/>
                <w:color w:val="auto"/>
              </w:rPr>
            </m:ctrlPr>
          </m:e>
          <m:sup>
            <m:r>
              <m:rPr/>
              <w:rPr>
                <w:rFonts w:ascii="Cambria Math" w:hAnsi="Cambria Math"/>
                <w:color w:val="auto"/>
              </w:rPr>
              <m:t>2</m:t>
            </m:r>
            <m:ctrlPr>
              <w:rPr>
                <w:rFonts w:ascii="Cambria Math" w:hAnsi="Cambria Math"/>
                <w:i/>
                <w:color w:val="auto"/>
              </w:rPr>
            </m:ctrlPr>
          </m:sup>
        </m:sSup>
        <m:r>
          <m:rPr>
            <m:sty m:val="p"/>
          </m:rPr>
          <w:rPr>
            <w:rFonts w:ascii="Cambria Math" w:hAnsi="Cambria Math"/>
            <w:color w:val="auto"/>
          </w:rPr>
          <m:t>)</m:t>
        </m:r>
      </m:oMath>
      <w:r>
        <w:rPr>
          <w:iCs/>
          <w:color w:val="auto"/>
        </w:rPr>
        <w:t>:</w:t>
      </w:r>
      <m:oMath>
        <m:sSup>
          <m:sSupPr>
            <m:ctrlPr>
              <w:rPr>
                <w:rFonts w:ascii="Cambria Math" w:hAnsi="Cambria Math"/>
                <w:i/>
                <w:color w:val="auto"/>
              </w:rPr>
            </m:ctrlPr>
          </m:sSupPr>
          <m:e>
            <m:r>
              <m:rPr/>
              <w:rPr>
                <w:rFonts w:ascii="Cambria Math" w:hAnsi="Cambria Math"/>
                <w:color w:val="auto"/>
              </w:rPr>
              <m:t>R</m:t>
            </m:r>
            <m:ctrlPr>
              <w:rPr>
                <w:rFonts w:ascii="Cambria Math" w:hAnsi="Cambria Math"/>
                <w:i/>
                <w:color w:val="auto"/>
              </w:rPr>
            </m:ctrlPr>
          </m:e>
          <m:sup>
            <m:r>
              <m:rPr/>
              <w:rPr>
                <w:rFonts w:ascii="Cambria Math" w:hAnsi="Cambria Math"/>
                <w:color w:val="auto"/>
              </w:rPr>
              <m:t>2</m:t>
            </m:r>
            <m:ctrlPr>
              <w:rPr>
                <w:rFonts w:ascii="Cambria Math" w:hAnsi="Cambria Math"/>
                <w:i/>
                <w:color w:val="auto"/>
              </w:rPr>
            </m:ctrlPr>
          </m:sup>
        </m:sSup>
        <m:r>
          <m:rPr/>
          <w:rPr>
            <w:rFonts w:ascii="Cambria Math" w:hAnsi="Cambria Math"/>
            <w:color w:val="auto"/>
          </w:rPr>
          <m:t>=1−</m:t>
        </m:r>
        <m:f>
          <m:fPr>
            <m:ctrlPr>
              <w:rPr>
                <w:rFonts w:ascii="Cambria Math" w:hAnsi="Cambria Math"/>
                <w:i/>
                <w:color w:val="auto"/>
              </w:rPr>
            </m:ctrlPr>
          </m:fPr>
          <m:num>
            <m:nary>
              <m:naryPr>
                <m:chr m:val="∑"/>
                <m:limLoc m:val="undOvr"/>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r>
                  <m:rPr/>
                  <w:rPr>
                    <w:rFonts w:ascii="Cambria Math" w:hAnsi="Cambria Math"/>
                    <w:color w:val="auto"/>
                  </w:rPr>
                  <m:t>(</m:t>
                </m:r>
                <m:ctrlPr>
                  <w:rPr>
                    <w:rFonts w:ascii="Cambria Math" w:hAnsi="Cambria Math"/>
                    <w:i/>
                    <w:iCs/>
                    <w:color w:val="auto"/>
                  </w:rPr>
                </m:ctrlPr>
              </m:e>
            </m:nary>
            <m:sSub>
              <m:sSubPr>
                <m:ctrlPr>
                  <w:rPr>
                    <w:rFonts w:ascii="Cambria Math" w:hAnsi="Cambria Math"/>
                    <w:i/>
                    <w:iCs/>
                    <w:color w:val="auto"/>
                  </w:rPr>
                </m:ctrlPr>
              </m:sSubPr>
              <m:e>
                <m:r>
                  <m:rPr/>
                  <w:rPr>
                    <w:rFonts w:ascii="Cambria Math" w:hAnsi="Cambria Math"/>
                    <w:color w:val="auto"/>
                  </w:rPr>
                  <m:t>Y</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w:rPr>
                <w:rFonts w:ascii="Cambria Math" w:hAnsi="Cambria Math"/>
                <w:color w:val="auto"/>
              </w:rPr>
              <m:t>−</m:t>
            </m:r>
            <m:sSub>
              <m:sSubPr>
                <m:ctrlPr>
                  <w:rPr>
                    <w:rFonts w:ascii="Cambria Math" w:hAnsi="Cambria Math"/>
                    <w:i/>
                    <w:iCs/>
                    <w:color w:val="auto"/>
                  </w:rPr>
                </m:ctrlPr>
              </m:sSubPr>
              <m:e>
                <m:acc>
                  <m:accPr>
                    <m:ctrlPr>
                      <w:rPr>
                        <w:rFonts w:ascii="Cambria Math" w:hAnsi="Cambria Math"/>
                        <w:i/>
                        <w:iCs/>
                        <w:color w:val="auto"/>
                      </w:rPr>
                    </m:ctrlPr>
                  </m:accPr>
                  <m:e>
                    <m:r>
                      <m:rPr/>
                      <w:rPr>
                        <w:rFonts w:ascii="Cambria Math" w:hAnsi="Cambria Math"/>
                        <w:color w:val="auto"/>
                      </w:rPr>
                      <m:t>Y</m:t>
                    </m:r>
                    <m:ctrlPr>
                      <w:rPr>
                        <w:rFonts w:ascii="Cambria Math" w:hAnsi="Cambria Math"/>
                        <w:i/>
                        <w:iCs/>
                        <w:color w:val="auto"/>
                      </w:rPr>
                    </m:ctrlPr>
                  </m:e>
                </m:acc>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p>
              <m:sSupPr>
                <m:ctrlPr>
                  <w:rPr>
                    <w:rFonts w:ascii="Cambria Math" w:hAnsi="Cambria Math"/>
                    <w:i/>
                    <w:iCs/>
                    <w:color w:val="auto"/>
                  </w:rPr>
                </m:ctrlPr>
              </m:sSupPr>
              <m:e>
                <m:r>
                  <m:rPr/>
                  <w:rPr>
                    <w:rFonts w:ascii="Cambria Math" w:hAnsi="Cambria Math"/>
                    <w:color w:val="auto"/>
                  </w:rPr>
                  <m:t>)</m:t>
                </m:r>
                <m:ctrlPr>
                  <w:rPr>
                    <w:rFonts w:ascii="Cambria Math" w:hAnsi="Cambria Math"/>
                    <w:i/>
                    <w:iCs/>
                    <w:color w:val="auto"/>
                  </w:rPr>
                </m:ctrlPr>
              </m:e>
              <m:sup>
                <m:r>
                  <m:rPr/>
                  <w:rPr>
                    <w:rFonts w:ascii="Cambria Math" w:hAnsi="Cambria Math"/>
                    <w:color w:val="auto"/>
                  </w:rPr>
                  <m:t>2</m:t>
                </m:r>
                <m:ctrlPr>
                  <w:rPr>
                    <w:rFonts w:ascii="Cambria Math" w:hAnsi="Cambria Math"/>
                    <w:i/>
                    <w:iCs/>
                    <w:color w:val="auto"/>
                  </w:rPr>
                </m:ctrlPr>
              </m:sup>
            </m:sSup>
            <m:ctrlPr>
              <w:rPr>
                <w:rFonts w:ascii="Cambria Math" w:hAnsi="Cambria Math"/>
                <w:i/>
                <w:color w:val="auto"/>
              </w:rPr>
            </m:ctrlPr>
          </m:num>
          <m:den>
            <m:nary>
              <m:naryPr>
                <m:chr m:val="∑"/>
                <m:limLoc m:val="undOvr"/>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r>
                  <m:rPr/>
                  <w:rPr>
                    <w:rFonts w:ascii="Cambria Math" w:hAnsi="Cambria Math"/>
                    <w:color w:val="auto"/>
                  </w:rPr>
                  <m:t>(</m:t>
                </m:r>
                <m:ctrlPr>
                  <w:rPr>
                    <w:rFonts w:ascii="Cambria Math" w:hAnsi="Cambria Math"/>
                    <w:i/>
                    <w:iCs/>
                    <w:color w:val="auto"/>
                  </w:rPr>
                </m:ctrlPr>
              </m:e>
            </m:nary>
            <m:sSub>
              <m:sSubPr>
                <m:ctrlPr>
                  <w:rPr>
                    <w:rFonts w:ascii="Cambria Math" w:hAnsi="Cambria Math"/>
                    <w:i/>
                    <w:iCs/>
                    <w:color w:val="auto"/>
                  </w:rPr>
                </m:ctrlPr>
              </m:sSubPr>
              <m:e>
                <m:r>
                  <m:rPr/>
                  <w:rPr>
                    <w:rFonts w:ascii="Cambria Math" w:hAnsi="Cambria Math"/>
                    <w:color w:val="auto"/>
                  </w:rPr>
                  <m:t>Y</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w:rPr>
                <w:rFonts w:ascii="Cambria Math" w:hAnsi="Cambria Math"/>
                <w:color w:val="auto"/>
              </w:rPr>
              <m:t>−Y</m:t>
            </m:r>
            <m:sSup>
              <m:sSupPr>
                <m:ctrlPr>
                  <w:rPr>
                    <w:rFonts w:ascii="Cambria Math" w:hAnsi="Cambria Math"/>
                    <w:i/>
                    <w:iCs/>
                    <w:color w:val="auto"/>
                  </w:rPr>
                </m:ctrlPr>
              </m:sSupPr>
              <m:e>
                <m:r>
                  <m:rPr/>
                  <w:rPr>
                    <w:rFonts w:ascii="Cambria Math" w:hAnsi="Cambria Math"/>
                    <w:color w:val="auto"/>
                  </w:rPr>
                  <m:t>)</m:t>
                </m:r>
                <m:ctrlPr>
                  <w:rPr>
                    <w:rFonts w:ascii="Cambria Math" w:hAnsi="Cambria Math"/>
                    <w:i/>
                    <w:iCs/>
                    <w:color w:val="auto"/>
                  </w:rPr>
                </m:ctrlPr>
              </m:e>
              <m:sup>
                <m:r>
                  <m:rPr/>
                  <w:rPr>
                    <w:rFonts w:ascii="Cambria Math" w:hAnsi="Cambria Math"/>
                    <w:color w:val="auto"/>
                  </w:rPr>
                  <m:t>2</m:t>
                </m:r>
                <m:ctrlPr>
                  <w:rPr>
                    <w:rFonts w:ascii="Cambria Math" w:hAnsi="Cambria Math"/>
                    <w:i/>
                    <w:iCs/>
                    <w:color w:val="auto"/>
                  </w:rPr>
                </m:ctrlPr>
              </m:sup>
            </m:sSup>
            <m:ctrlPr>
              <w:rPr>
                <w:rFonts w:ascii="Cambria Math" w:hAnsi="Cambria Math"/>
                <w:i/>
                <w:color w:val="auto"/>
              </w:rPr>
            </m:ctrlPr>
          </m:den>
        </m:f>
      </m:oMath>
    </w:p>
    <w:p w14:paraId="16358014">
      <w:pPr>
        <w:tabs>
          <w:tab w:val="left" w:pos="1921"/>
        </w:tabs>
        <w:spacing w:line="400" w:lineRule="exact"/>
        <w:ind w:firstLine="480" w:firstLineChars="200"/>
        <w:rPr>
          <w:color w:val="auto"/>
        </w:rPr>
      </w:pPr>
      <w:r>
        <w:rPr>
          <w:color w:val="auto"/>
        </w:rPr>
        <w:t>如上所述，模型可应用于电网企业投资规划、新能源接入项目评估、分布式能源系统优化等三个场景。</w:t>
      </w:r>
    </w:p>
    <w:p w14:paraId="1D7F3956">
      <w:pPr>
        <w:spacing w:before="156" w:beforeLines="50" w:after="156" w:afterLines="50" w:line="324" w:lineRule="auto"/>
        <w:outlineLvl w:val="1"/>
        <w:rPr>
          <w:rFonts w:eastAsia="黑体"/>
          <w:color w:val="auto"/>
          <w:sz w:val="30"/>
          <w:szCs w:val="30"/>
        </w:rPr>
      </w:pPr>
      <w:bookmarkStart w:id="134" w:name="_Toc30112"/>
      <w:bookmarkStart w:id="135" w:name="_Toc192967129"/>
      <w:bookmarkStart w:id="136" w:name="_Toc193967366"/>
      <w:r>
        <w:rPr>
          <w:rFonts w:eastAsia="黑体"/>
          <w:color w:val="auto"/>
          <w:sz w:val="30"/>
          <w:szCs w:val="30"/>
        </w:rPr>
        <w:t>4.3 实例分析与结果验证</w:t>
      </w:r>
      <w:bookmarkEnd w:id="134"/>
      <w:bookmarkEnd w:id="135"/>
      <w:bookmarkEnd w:id="136"/>
    </w:p>
    <w:p w14:paraId="34C76951">
      <w:pPr>
        <w:spacing w:line="400" w:lineRule="exact"/>
        <w:ind w:firstLine="480" w:firstLineChars="200"/>
        <w:rPr>
          <w:color w:val="auto"/>
        </w:rPr>
      </w:pPr>
      <w:r>
        <w:rPr>
          <w:color w:val="auto"/>
        </w:rPr>
        <w:t>为验证所构建的电网投资能力测算模型的有效性，本节将选取J电网项目作为实例进行分析。通过数据收集与预处理，将模型应用于实际项目中，并对结果进行剖析，评估模型的准确性和实用性。</w:t>
      </w:r>
    </w:p>
    <w:p w14:paraId="6120106E">
      <w:pPr>
        <w:adjustRightInd w:val="0"/>
        <w:spacing w:before="156" w:beforeLines="50" w:after="156" w:afterLines="50" w:line="400" w:lineRule="exact"/>
        <w:outlineLvl w:val="2"/>
        <w:rPr>
          <w:rFonts w:eastAsia="黑体"/>
          <w:color w:val="auto"/>
          <w:sz w:val="28"/>
          <w:szCs w:val="28"/>
        </w:rPr>
      </w:pPr>
      <w:bookmarkStart w:id="137" w:name="_Toc192967130"/>
      <w:bookmarkStart w:id="138" w:name="_Toc445"/>
      <w:bookmarkStart w:id="139" w:name="_Toc193967367"/>
      <w:r>
        <w:rPr>
          <w:rFonts w:eastAsia="黑体"/>
          <w:color w:val="auto"/>
          <w:sz w:val="28"/>
          <w:szCs w:val="28"/>
        </w:rPr>
        <w:t>4.3.1 数据收集与预处理</w:t>
      </w:r>
      <w:bookmarkEnd w:id="137"/>
      <w:bookmarkEnd w:id="138"/>
      <w:bookmarkEnd w:id="139"/>
    </w:p>
    <w:p w14:paraId="26233B28">
      <w:pPr>
        <w:spacing w:line="400" w:lineRule="exact"/>
        <w:ind w:firstLine="480" w:firstLineChars="200"/>
        <w:rPr>
          <w:color w:val="auto"/>
        </w:rPr>
      </w:pPr>
      <w:r>
        <w:rPr>
          <w:color w:val="auto"/>
        </w:rPr>
        <w:t>本文的数据来源主要包括内部电网大数据管理系统PSM3.0系统以及外部相关渠道获得。PSM3.0系统作为电网企业的重要信息化平台，提供丰富的历史投资数据、运行维护记录、经济效益评估结果等关键信息，这些数据经过长期积累，具有高度的真实性和可靠性。在数据收集阶段，通过PSM3.0系统提取了电网建设规模、设备运行状态、成本收益分析、容量、投资成本、运维成本等等数据集。随后，针对原始数据中存在的噪声、缺失值和异常点等问题，利用时间序列插值法填补缺失数据，并采用箱线图法识别并剔除异常值，同时对不同量纲的数据进行了标准化处理，消除量纲差异对模型计算的影响。此外，为进一步提升数据质量，还运用了主成分分析（PCA）等方法提取关键特征变量，减少冗余信息对分析结果的干扰。</w:t>
      </w:r>
    </w:p>
    <w:p w14:paraId="30A1364A">
      <w:pPr>
        <w:spacing w:before="156" w:beforeLines="50" w:after="156" w:afterLines="50" w:line="400" w:lineRule="exact"/>
        <w:outlineLvl w:val="2"/>
        <w:rPr>
          <w:rFonts w:eastAsia="黑体"/>
          <w:color w:val="auto"/>
          <w:sz w:val="28"/>
          <w:szCs w:val="28"/>
        </w:rPr>
      </w:pPr>
      <w:bookmarkStart w:id="140" w:name="_Toc192967131"/>
      <w:bookmarkStart w:id="141" w:name="_Toc21868"/>
      <w:bookmarkStart w:id="142" w:name="_Toc193967368"/>
      <w:r>
        <w:rPr>
          <w:rFonts w:eastAsia="黑体"/>
          <w:color w:val="auto"/>
          <w:sz w:val="28"/>
          <w:szCs w:val="28"/>
        </w:rPr>
        <w:t>4.3.2 模型应用与结果分析</w:t>
      </w:r>
      <w:bookmarkEnd w:id="140"/>
      <w:bookmarkEnd w:id="141"/>
      <w:bookmarkEnd w:id="142"/>
    </w:p>
    <w:p w14:paraId="7A516A64">
      <w:pPr>
        <w:spacing w:line="400" w:lineRule="exact"/>
        <w:ind w:firstLine="480" w:firstLineChars="200"/>
        <w:rPr>
          <w:color w:val="auto"/>
        </w:rPr>
      </w:pPr>
      <w:r>
        <w:rPr>
          <w:color w:val="auto"/>
        </w:rPr>
        <w:t>在完成数据收集与预处理后，基于构建的电网投资能力测算模型对J电网项目进行实际应用，并通过对比分析验证模型的有效性和实用性。</w:t>
      </w:r>
      <w:r>
        <w:rPr>
          <w:rFonts w:hint="eastAsia"/>
          <w:color w:val="auto"/>
        </w:rPr>
        <w:t>由于计算成本较大，</w:t>
      </w:r>
      <w:r>
        <w:rPr>
          <w:color w:val="auto"/>
        </w:rPr>
        <w:t>从J电网的15个工程项目中选取了5个</w:t>
      </w:r>
      <w:r>
        <w:rPr>
          <w:rFonts w:hint="eastAsia"/>
          <w:color w:val="auto"/>
        </w:rPr>
        <w:t>最具代表性的</w:t>
      </w:r>
      <w:r>
        <w:rPr>
          <w:color w:val="auto"/>
        </w:rPr>
        <w:t>样本</w:t>
      </w:r>
      <w:r>
        <w:rPr>
          <w:rFonts w:hint="eastAsia"/>
          <w:color w:val="auto"/>
        </w:rPr>
        <w:t>，</w:t>
      </w:r>
      <w:r>
        <w:rPr>
          <w:color w:val="auto"/>
        </w:rPr>
        <w:t>编为a、b、c、d、e进行分析。这些样本具有不同的容量、投资成本和收益特征，能够较好地反映J电网项目的整体情况。</w:t>
      </w:r>
      <w:r>
        <w:rPr>
          <w:rFonts w:hint="eastAsia"/>
          <w:color w:val="auto"/>
        </w:rPr>
        <w:t>样本选取完毕之后直接减少了2/3的计算量，显著降低了单次运行的资源需求。随后</w:t>
      </w:r>
      <w:r>
        <w:rPr>
          <w:color w:val="auto"/>
        </w:rPr>
        <w:t>根据第4.2.2节中描述的特征提取模块，对J电网项目的原始数据进行标准化处理，并提取经济效益因子（F1）、成本控制因</w:t>
      </w:r>
      <w:r>
        <w:rPr>
          <w:color w:val="auto"/>
        </w:rPr>
        <w:t>子（F2）和长期运营因子（F3）。标准化后的数据集，见表4-3所示。</w:t>
      </w:r>
    </w:p>
    <w:p w14:paraId="206B6A3A">
      <w:pPr>
        <w:spacing w:line="400" w:lineRule="exact"/>
        <w:jc w:val="center"/>
        <w:rPr>
          <w:color w:val="auto"/>
          <w:szCs w:val="21"/>
        </w:rPr>
      </w:pPr>
      <w:r>
        <w:rPr>
          <w:color w:val="auto"/>
          <w:szCs w:val="21"/>
        </w:rPr>
        <w:t>表4-3 标准化后的变量值</w:t>
      </w:r>
    </w:p>
    <w:tbl>
      <w:tblPr>
        <w:tblStyle w:val="18"/>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05"/>
        <w:gridCol w:w="1093"/>
        <w:gridCol w:w="1071"/>
        <w:gridCol w:w="1286"/>
        <w:gridCol w:w="1029"/>
        <w:gridCol w:w="1138"/>
      </w:tblGrid>
      <w:tr w14:paraId="4881C89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5" w:type="dxa"/>
            <w:tcBorders>
              <w:top w:val="single" w:color="auto" w:sz="12" w:space="0"/>
              <w:bottom w:val="single" w:color="auto" w:sz="4" w:space="0"/>
            </w:tcBorders>
          </w:tcPr>
          <w:p w14:paraId="53D6FC20">
            <w:pPr>
              <w:spacing w:line="400" w:lineRule="exact"/>
              <w:jc w:val="center"/>
              <w:rPr>
                <w:color w:val="auto"/>
                <w:szCs w:val="21"/>
              </w:rPr>
            </w:pPr>
            <w:r>
              <w:rPr>
                <w:color w:val="auto"/>
                <w:szCs w:val="21"/>
              </w:rPr>
              <w:t>变量名称</w:t>
            </w:r>
          </w:p>
        </w:tc>
        <w:tc>
          <w:tcPr>
            <w:tcW w:w="1093" w:type="dxa"/>
            <w:tcBorders>
              <w:top w:val="single" w:color="auto" w:sz="12" w:space="0"/>
              <w:bottom w:val="single" w:color="auto" w:sz="4" w:space="0"/>
            </w:tcBorders>
          </w:tcPr>
          <w:p w14:paraId="79933548">
            <w:pPr>
              <w:spacing w:line="400" w:lineRule="exact"/>
              <w:jc w:val="center"/>
              <w:rPr>
                <w:color w:val="auto"/>
                <w:szCs w:val="21"/>
              </w:rPr>
            </w:pPr>
            <w:r>
              <w:rPr>
                <w:color w:val="auto"/>
                <w:szCs w:val="21"/>
              </w:rPr>
              <w:t>a</w:t>
            </w:r>
          </w:p>
        </w:tc>
        <w:tc>
          <w:tcPr>
            <w:tcW w:w="1071" w:type="dxa"/>
            <w:tcBorders>
              <w:top w:val="single" w:color="auto" w:sz="12" w:space="0"/>
              <w:bottom w:val="single" w:color="auto" w:sz="4" w:space="0"/>
            </w:tcBorders>
          </w:tcPr>
          <w:p w14:paraId="1F700D4F">
            <w:pPr>
              <w:spacing w:line="400" w:lineRule="exact"/>
              <w:jc w:val="center"/>
              <w:rPr>
                <w:color w:val="auto"/>
                <w:szCs w:val="21"/>
              </w:rPr>
            </w:pPr>
            <w:r>
              <w:rPr>
                <w:color w:val="auto"/>
                <w:szCs w:val="21"/>
              </w:rPr>
              <w:t>b</w:t>
            </w:r>
          </w:p>
        </w:tc>
        <w:tc>
          <w:tcPr>
            <w:tcW w:w="1286" w:type="dxa"/>
            <w:tcBorders>
              <w:top w:val="single" w:color="auto" w:sz="12" w:space="0"/>
              <w:bottom w:val="single" w:color="auto" w:sz="4" w:space="0"/>
            </w:tcBorders>
          </w:tcPr>
          <w:p w14:paraId="28BB56CF">
            <w:pPr>
              <w:spacing w:line="400" w:lineRule="exact"/>
              <w:jc w:val="center"/>
              <w:rPr>
                <w:color w:val="auto"/>
                <w:szCs w:val="21"/>
              </w:rPr>
            </w:pPr>
            <w:r>
              <w:rPr>
                <w:color w:val="auto"/>
                <w:szCs w:val="21"/>
              </w:rPr>
              <w:t>c</w:t>
            </w:r>
          </w:p>
        </w:tc>
        <w:tc>
          <w:tcPr>
            <w:tcW w:w="1029" w:type="dxa"/>
            <w:tcBorders>
              <w:top w:val="single" w:color="auto" w:sz="12" w:space="0"/>
              <w:bottom w:val="single" w:color="auto" w:sz="4" w:space="0"/>
            </w:tcBorders>
          </w:tcPr>
          <w:p w14:paraId="35FE0523">
            <w:pPr>
              <w:spacing w:line="400" w:lineRule="exact"/>
              <w:jc w:val="center"/>
              <w:rPr>
                <w:color w:val="auto"/>
                <w:szCs w:val="21"/>
              </w:rPr>
            </w:pPr>
            <w:r>
              <w:rPr>
                <w:color w:val="auto"/>
                <w:szCs w:val="21"/>
              </w:rPr>
              <w:t>d</w:t>
            </w:r>
          </w:p>
        </w:tc>
        <w:tc>
          <w:tcPr>
            <w:tcW w:w="1138" w:type="dxa"/>
            <w:tcBorders>
              <w:top w:val="single" w:color="auto" w:sz="12" w:space="0"/>
              <w:bottom w:val="single" w:color="auto" w:sz="4" w:space="0"/>
            </w:tcBorders>
          </w:tcPr>
          <w:p w14:paraId="6D17E38F">
            <w:pPr>
              <w:spacing w:line="400" w:lineRule="exact"/>
              <w:jc w:val="center"/>
              <w:rPr>
                <w:color w:val="auto"/>
                <w:szCs w:val="21"/>
              </w:rPr>
            </w:pPr>
            <w:r>
              <w:rPr>
                <w:color w:val="auto"/>
                <w:szCs w:val="21"/>
              </w:rPr>
              <w:t>e</w:t>
            </w:r>
          </w:p>
        </w:tc>
      </w:tr>
      <w:tr w14:paraId="74A4273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2905" w:type="dxa"/>
            <w:tcBorders>
              <w:top w:val="single" w:color="auto" w:sz="4" w:space="0"/>
              <w:tl2br w:val="nil"/>
              <w:tr2bl w:val="nil"/>
            </w:tcBorders>
          </w:tcPr>
          <w:p w14:paraId="35F9AC44">
            <w:pPr>
              <w:spacing w:line="400" w:lineRule="exact"/>
              <w:jc w:val="center"/>
              <w:rPr>
                <w:color w:val="auto"/>
                <w:szCs w:val="21"/>
              </w:rPr>
            </w:pPr>
            <w:r>
              <w:rPr>
                <w:color w:val="auto"/>
                <w:szCs w:val="21"/>
              </w:rPr>
              <w:t>容量利用率 (YL)</w:t>
            </w:r>
          </w:p>
        </w:tc>
        <w:tc>
          <w:tcPr>
            <w:tcW w:w="1093" w:type="dxa"/>
            <w:tcBorders>
              <w:top w:val="single" w:color="auto" w:sz="4" w:space="0"/>
              <w:tl2br w:val="nil"/>
              <w:tr2bl w:val="nil"/>
            </w:tcBorders>
          </w:tcPr>
          <w:p w14:paraId="46526AE5">
            <w:pPr>
              <w:spacing w:line="400" w:lineRule="exact"/>
              <w:jc w:val="center"/>
              <w:rPr>
                <w:color w:val="auto"/>
                <w:szCs w:val="21"/>
              </w:rPr>
            </w:pPr>
            <w:r>
              <w:rPr>
                <w:color w:val="auto"/>
                <w:szCs w:val="21"/>
              </w:rPr>
              <w:t>0.85</w:t>
            </w:r>
          </w:p>
        </w:tc>
        <w:tc>
          <w:tcPr>
            <w:tcW w:w="1071" w:type="dxa"/>
            <w:tcBorders>
              <w:top w:val="single" w:color="auto" w:sz="4" w:space="0"/>
              <w:tl2br w:val="nil"/>
              <w:tr2bl w:val="nil"/>
            </w:tcBorders>
          </w:tcPr>
          <w:p w14:paraId="62DBA3E3">
            <w:pPr>
              <w:spacing w:line="400" w:lineRule="exact"/>
              <w:jc w:val="center"/>
              <w:rPr>
                <w:color w:val="auto"/>
                <w:szCs w:val="21"/>
              </w:rPr>
            </w:pPr>
            <w:r>
              <w:rPr>
                <w:color w:val="auto"/>
                <w:szCs w:val="21"/>
              </w:rPr>
              <w:t>0.76</w:t>
            </w:r>
          </w:p>
        </w:tc>
        <w:tc>
          <w:tcPr>
            <w:tcW w:w="1286" w:type="dxa"/>
            <w:tcBorders>
              <w:top w:val="single" w:color="auto" w:sz="4" w:space="0"/>
              <w:tl2br w:val="nil"/>
              <w:tr2bl w:val="nil"/>
            </w:tcBorders>
          </w:tcPr>
          <w:p w14:paraId="1F2B2D5C">
            <w:pPr>
              <w:spacing w:line="400" w:lineRule="exact"/>
              <w:jc w:val="center"/>
              <w:rPr>
                <w:color w:val="auto"/>
                <w:szCs w:val="21"/>
              </w:rPr>
            </w:pPr>
            <w:r>
              <w:rPr>
                <w:color w:val="auto"/>
                <w:szCs w:val="21"/>
              </w:rPr>
              <w:t>0.92</w:t>
            </w:r>
          </w:p>
        </w:tc>
        <w:tc>
          <w:tcPr>
            <w:tcW w:w="1029" w:type="dxa"/>
            <w:tcBorders>
              <w:top w:val="single" w:color="auto" w:sz="4" w:space="0"/>
              <w:tl2br w:val="nil"/>
              <w:tr2bl w:val="nil"/>
            </w:tcBorders>
          </w:tcPr>
          <w:p w14:paraId="5677D97E">
            <w:pPr>
              <w:spacing w:line="400" w:lineRule="exact"/>
              <w:jc w:val="center"/>
              <w:rPr>
                <w:color w:val="auto"/>
                <w:szCs w:val="21"/>
              </w:rPr>
            </w:pPr>
            <w:r>
              <w:rPr>
                <w:color w:val="auto"/>
                <w:szCs w:val="21"/>
              </w:rPr>
              <w:t>0.88</w:t>
            </w:r>
          </w:p>
        </w:tc>
        <w:tc>
          <w:tcPr>
            <w:tcW w:w="1138" w:type="dxa"/>
            <w:tcBorders>
              <w:top w:val="single" w:color="auto" w:sz="4" w:space="0"/>
              <w:tl2br w:val="nil"/>
              <w:tr2bl w:val="nil"/>
            </w:tcBorders>
          </w:tcPr>
          <w:p w14:paraId="4EDFA405">
            <w:pPr>
              <w:spacing w:line="400" w:lineRule="exact"/>
              <w:jc w:val="center"/>
              <w:rPr>
                <w:color w:val="auto"/>
                <w:szCs w:val="21"/>
              </w:rPr>
            </w:pPr>
            <w:r>
              <w:rPr>
                <w:color w:val="auto"/>
                <w:szCs w:val="21"/>
              </w:rPr>
              <w:t>0.79</w:t>
            </w:r>
          </w:p>
        </w:tc>
      </w:tr>
      <w:tr w14:paraId="20D90CF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5" w:type="dxa"/>
            <w:tcBorders>
              <w:tl2br w:val="nil"/>
              <w:tr2bl w:val="nil"/>
            </w:tcBorders>
          </w:tcPr>
          <w:p w14:paraId="588122D3">
            <w:pPr>
              <w:spacing w:line="400" w:lineRule="exact"/>
              <w:jc w:val="center"/>
              <w:rPr>
                <w:color w:val="auto"/>
                <w:szCs w:val="21"/>
              </w:rPr>
            </w:pPr>
            <w:r>
              <w:rPr>
                <w:color w:val="auto"/>
                <w:szCs w:val="21"/>
              </w:rPr>
              <w:t>单位容量收益 (SY)</w:t>
            </w:r>
          </w:p>
        </w:tc>
        <w:tc>
          <w:tcPr>
            <w:tcW w:w="1093" w:type="dxa"/>
            <w:tcBorders>
              <w:tl2br w:val="nil"/>
              <w:tr2bl w:val="nil"/>
            </w:tcBorders>
          </w:tcPr>
          <w:p w14:paraId="6D21DB2E">
            <w:pPr>
              <w:spacing w:line="400" w:lineRule="exact"/>
              <w:jc w:val="center"/>
              <w:rPr>
                <w:color w:val="auto"/>
                <w:szCs w:val="21"/>
              </w:rPr>
            </w:pPr>
            <w:r>
              <w:rPr>
                <w:color w:val="auto"/>
                <w:szCs w:val="21"/>
              </w:rPr>
              <w:t>0.80</w:t>
            </w:r>
          </w:p>
        </w:tc>
        <w:tc>
          <w:tcPr>
            <w:tcW w:w="1071" w:type="dxa"/>
            <w:tcBorders>
              <w:tl2br w:val="nil"/>
              <w:tr2bl w:val="nil"/>
            </w:tcBorders>
          </w:tcPr>
          <w:p w14:paraId="46E26E72">
            <w:pPr>
              <w:spacing w:line="400" w:lineRule="exact"/>
              <w:jc w:val="center"/>
              <w:rPr>
                <w:color w:val="auto"/>
                <w:szCs w:val="21"/>
              </w:rPr>
            </w:pPr>
            <w:r>
              <w:rPr>
                <w:color w:val="auto"/>
                <w:szCs w:val="21"/>
              </w:rPr>
              <w:t>0.72</w:t>
            </w:r>
          </w:p>
        </w:tc>
        <w:tc>
          <w:tcPr>
            <w:tcW w:w="1286" w:type="dxa"/>
            <w:tcBorders>
              <w:tl2br w:val="nil"/>
              <w:tr2bl w:val="nil"/>
            </w:tcBorders>
          </w:tcPr>
          <w:p w14:paraId="77B3D344">
            <w:pPr>
              <w:spacing w:line="400" w:lineRule="exact"/>
              <w:jc w:val="center"/>
              <w:rPr>
                <w:color w:val="auto"/>
                <w:szCs w:val="21"/>
              </w:rPr>
            </w:pPr>
            <w:r>
              <w:rPr>
                <w:color w:val="auto"/>
                <w:szCs w:val="21"/>
              </w:rPr>
              <w:t>0.88</w:t>
            </w:r>
          </w:p>
        </w:tc>
        <w:tc>
          <w:tcPr>
            <w:tcW w:w="1029" w:type="dxa"/>
            <w:tcBorders>
              <w:tl2br w:val="nil"/>
              <w:tr2bl w:val="nil"/>
            </w:tcBorders>
          </w:tcPr>
          <w:p w14:paraId="48BCDF53">
            <w:pPr>
              <w:spacing w:line="400" w:lineRule="exact"/>
              <w:jc w:val="center"/>
              <w:rPr>
                <w:color w:val="auto"/>
                <w:szCs w:val="21"/>
              </w:rPr>
            </w:pPr>
            <w:r>
              <w:rPr>
                <w:color w:val="auto"/>
                <w:szCs w:val="21"/>
              </w:rPr>
              <w:t>0.84</w:t>
            </w:r>
          </w:p>
        </w:tc>
        <w:tc>
          <w:tcPr>
            <w:tcW w:w="1138" w:type="dxa"/>
            <w:tcBorders>
              <w:tl2br w:val="nil"/>
              <w:tr2bl w:val="nil"/>
            </w:tcBorders>
          </w:tcPr>
          <w:p w14:paraId="10D0444E">
            <w:pPr>
              <w:spacing w:line="400" w:lineRule="exact"/>
              <w:jc w:val="center"/>
              <w:rPr>
                <w:color w:val="auto"/>
                <w:szCs w:val="21"/>
              </w:rPr>
            </w:pPr>
            <w:r>
              <w:rPr>
                <w:color w:val="auto"/>
                <w:szCs w:val="21"/>
              </w:rPr>
              <w:t>0.75</w:t>
            </w:r>
          </w:p>
        </w:tc>
      </w:tr>
      <w:tr w14:paraId="3E3A3F7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5" w:type="dxa"/>
            <w:tcBorders>
              <w:tl2br w:val="nil"/>
              <w:tr2bl w:val="nil"/>
            </w:tcBorders>
          </w:tcPr>
          <w:p w14:paraId="41D28AFD">
            <w:pPr>
              <w:spacing w:line="400" w:lineRule="exact"/>
              <w:jc w:val="center"/>
              <w:rPr>
                <w:color w:val="auto"/>
                <w:szCs w:val="21"/>
              </w:rPr>
            </w:pPr>
            <w:r>
              <w:rPr>
                <w:color w:val="auto"/>
                <w:szCs w:val="21"/>
              </w:rPr>
              <w:t>收益增长率 (ZC)</w:t>
            </w:r>
          </w:p>
        </w:tc>
        <w:tc>
          <w:tcPr>
            <w:tcW w:w="1093" w:type="dxa"/>
            <w:tcBorders>
              <w:tl2br w:val="nil"/>
              <w:tr2bl w:val="nil"/>
            </w:tcBorders>
          </w:tcPr>
          <w:p w14:paraId="452AD50A">
            <w:pPr>
              <w:spacing w:line="400" w:lineRule="exact"/>
              <w:jc w:val="center"/>
              <w:rPr>
                <w:color w:val="auto"/>
                <w:szCs w:val="21"/>
              </w:rPr>
            </w:pPr>
            <w:r>
              <w:rPr>
                <w:color w:val="auto"/>
                <w:szCs w:val="21"/>
              </w:rPr>
              <w:t>0.78</w:t>
            </w:r>
          </w:p>
        </w:tc>
        <w:tc>
          <w:tcPr>
            <w:tcW w:w="1071" w:type="dxa"/>
            <w:tcBorders>
              <w:tl2br w:val="nil"/>
              <w:tr2bl w:val="nil"/>
            </w:tcBorders>
          </w:tcPr>
          <w:p w14:paraId="173BC544">
            <w:pPr>
              <w:spacing w:line="400" w:lineRule="exact"/>
              <w:jc w:val="center"/>
              <w:rPr>
                <w:color w:val="auto"/>
                <w:szCs w:val="21"/>
              </w:rPr>
            </w:pPr>
            <w:r>
              <w:rPr>
                <w:color w:val="auto"/>
                <w:szCs w:val="21"/>
              </w:rPr>
              <w:t>0.68</w:t>
            </w:r>
          </w:p>
        </w:tc>
        <w:tc>
          <w:tcPr>
            <w:tcW w:w="1286" w:type="dxa"/>
            <w:tcBorders>
              <w:tl2br w:val="nil"/>
              <w:tr2bl w:val="nil"/>
            </w:tcBorders>
          </w:tcPr>
          <w:p w14:paraId="6B0B7301">
            <w:pPr>
              <w:spacing w:line="400" w:lineRule="exact"/>
              <w:jc w:val="center"/>
              <w:rPr>
                <w:color w:val="auto"/>
                <w:szCs w:val="21"/>
              </w:rPr>
            </w:pPr>
            <w:r>
              <w:rPr>
                <w:color w:val="auto"/>
                <w:szCs w:val="21"/>
              </w:rPr>
              <w:t>0.85</w:t>
            </w:r>
          </w:p>
        </w:tc>
        <w:tc>
          <w:tcPr>
            <w:tcW w:w="1029" w:type="dxa"/>
            <w:tcBorders>
              <w:tl2br w:val="nil"/>
              <w:tr2bl w:val="nil"/>
            </w:tcBorders>
          </w:tcPr>
          <w:p w14:paraId="3147DB22">
            <w:pPr>
              <w:spacing w:line="400" w:lineRule="exact"/>
              <w:jc w:val="center"/>
              <w:rPr>
                <w:color w:val="auto"/>
                <w:szCs w:val="21"/>
              </w:rPr>
            </w:pPr>
            <w:r>
              <w:rPr>
                <w:color w:val="auto"/>
                <w:szCs w:val="21"/>
              </w:rPr>
              <w:t>0.81</w:t>
            </w:r>
          </w:p>
        </w:tc>
        <w:tc>
          <w:tcPr>
            <w:tcW w:w="1138" w:type="dxa"/>
            <w:tcBorders>
              <w:tl2br w:val="nil"/>
              <w:tr2bl w:val="nil"/>
            </w:tcBorders>
          </w:tcPr>
          <w:p w14:paraId="2CAE853D">
            <w:pPr>
              <w:spacing w:line="400" w:lineRule="exact"/>
              <w:jc w:val="center"/>
              <w:rPr>
                <w:color w:val="auto"/>
                <w:szCs w:val="21"/>
              </w:rPr>
            </w:pPr>
            <w:r>
              <w:rPr>
                <w:color w:val="auto"/>
                <w:szCs w:val="21"/>
              </w:rPr>
              <w:t>0.72</w:t>
            </w:r>
          </w:p>
        </w:tc>
      </w:tr>
      <w:tr w14:paraId="416CD5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5" w:type="dxa"/>
            <w:tcBorders>
              <w:tl2br w:val="nil"/>
              <w:tr2bl w:val="nil"/>
            </w:tcBorders>
          </w:tcPr>
          <w:p w14:paraId="5BA27F71">
            <w:pPr>
              <w:spacing w:line="400" w:lineRule="exact"/>
              <w:jc w:val="center"/>
              <w:rPr>
                <w:color w:val="auto"/>
                <w:szCs w:val="21"/>
              </w:rPr>
            </w:pPr>
            <w:r>
              <w:rPr>
                <w:color w:val="auto"/>
                <w:szCs w:val="21"/>
              </w:rPr>
              <w:t>综合效益评估 (XH)</w:t>
            </w:r>
          </w:p>
        </w:tc>
        <w:tc>
          <w:tcPr>
            <w:tcW w:w="1093" w:type="dxa"/>
            <w:tcBorders>
              <w:tl2br w:val="nil"/>
              <w:tr2bl w:val="nil"/>
            </w:tcBorders>
          </w:tcPr>
          <w:p w14:paraId="03FFF483">
            <w:pPr>
              <w:spacing w:line="400" w:lineRule="exact"/>
              <w:jc w:val="center"/>
              <w:rPr>
                <w:color w:val="auto"/>
                <w:szCs w:val="21"/>
              </w:rPr>
            </w:pPr>
            <w:r>
              <w:rPr>
                <w:color w:val="auto"/>
                <w:szCs w:val="21"/>
              </w:rPr>
              <w:t>0.84</w:t>
            </w:r>
          </w:p>
        </w:tc>
        <w:tc>
          <w:tcPr>
            <w:tcW w:w="1071" w:type="dxa"/>
            <w:tcBorders>
              <w:tl2br w:val="nil"/>
              <w:tr2bl w:val="nil"/>
            </w:tcBorders>
          </w:tcPr>
          <w:p w14:paraId="0D53ECA2">
            <w:pPr>
              <w:spacing w:line="400" w:lineRule="exact"/>
              <w:jc w:val="center"/>
              <w:rPr>
                <w:color w:val="auto"/>
                <w:szCs w:val="21"/>
              </w:rPr>
            </w:pPr>
            <w:r>
              <w:rPr>
                <w:color w:val="auto"/>
                <w:szCs w:val="21"/>
              </w:rPr>
              <w:t>0.75</w:t>
            </w:r>
          </w:p>
        </w:tc>
        <w:tc>
          <w:tcPr>
            <w:tcW w:w="1286" w:type="dxa"/>
            <w:tcBorders>
              <w:tl2br w:val="nil"/>
              <w:tr2bl w:val="nil"/>
            </w:tcBorders>
          </w:tcPr>
          <w:p w14:paraId="67A9A850">
            <w:pPr>
              <w:spacing w:line="400" w:lineRule="exact"/>
              <w:jc w:val="center"/>
              <w:rPr>
                <w:color w:val="auto"/>
                <w:szCs w:val="21"/>
              </w:rPr>
            </w:pPr>
            <w:r>
              <w:rPr>
                <w:color w:val="auto"/>
                <w:szCs w:val="21"/>
              </w:rPr>
              <w:t>0.89</w:t>
            </w:r>
          </w:p>
        </w:tc>
        <w:tc>
          <w:tcPr>
            <w:tcW w:w="1029" w:type="dxa"/>
            <w:tcBorders>
              <w:tl2br w:val="nil"/>
              <w:tr2bl w:val="nil"/>
            </w:tcBorders>
          </w:tcPr>
          <w:p w14:paraId="72AAFE5E">
            <w:pPr>
              <w:spacing w:line="400" w:lineRule="exact"/>
              <w:jc w:val="center"/>
              <w:rPr>
                <w:color w:val="auto"/>
                <w:szCs w:val="21"/>
              </w:rPr>
            </w:pPr>
            <w:r>
              <w:rPr>
                <w:color w:val="auto"/>
                <w:szCs w:val="21"/>
              </w:rPr>
              <w:t>0.86</w:t>
            </w:r>
          </w:p>
        </w:tc>
        <w:tc>
          <w:tcPr>
            <w:tcW w:w="1138" w:type="dxa"/>
            <w:tcBorders>
              <w:tl2br w:val="nil"/>
              <w:tr2bl w:val="nil"/>
            </w:tcBorders>
          </w:tcPr>
          <w:p w14:paraId="24ED5F46">
            <w:pPr>
              <w:spacing w:line="400" w:lineRule="exact"/>
              <w:jc w:val="center"/>
              <w:rPr>
                <w:color w:val="auto"/>
                <w:szCs w:val="21"/>
              </w:rPr>
            </w:pPr>
            <w:r>
              <w:rPr>
                <w:color w:val="auto"/>
                <w:szCs w:val="21"/>
              </w:rPr>
              <w:t>0.77</w:t>
            </w:r>
          </w:p>
        </w:tc>
      </w:tr>
      <w:tr w14:paraId="29148EE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5" w:type="dxa"/>
            <w:tcBorders>
              <w:tl2br w:val="nil"/>
              <w:tr2bl w:val="nil"/>
            </w:tcBorders>
          </w:tcPr>
          <w:p w14:paraId="07466305">
            <w:pPr>
              <w:spacing w:line="400" w:lineRule="exact"/>
              <w:jc w:val="center"/>
              <w:rPr>
                <w:color w:val="auto"/>
                <w:szCs w:val="21"/>
              </w:rPr>
            </w:pPr>
            <w:r>
              <w:rPr>
                <w:color w:val="auto"/>
                <w:szCs w:val="21"/>
              </w:rPr>
              <w:t>单位容量潜在扩展能力 (KZ)</w:t>
            </w:r>
          </w:p>
        </w:tc>
        <w:tc>
          <w:tcPr>
            <w:tcW w:w="1093" w:type="dxa"/>
            <w:tcBorders>
              <w:tl2br w:val="nil"/>
              <w:tr2bl w:val="nil"/>
            </w:tcBorders>
          </w:tcPr>
          <w:p w14:paraId="3251650C">
            <w:pPr>
              <w:spacing w:line="400" w:lineRule="exact"/>
              <w:jc w:val="center"/>
              <w:rPr>
                <w:color w:val="auto"/>
                <w:szCs w:val="21"/>
              </w:rPr>
            </w:pPr>
            <w:r>
              <w:rPr>
                <w:color w:val="auto"/>
                <w:szCs w:val="21"/>
              </w:rPr>
              <w:t>0.82</w:t>
            </w:r>
          </w:p>
        </w:tc>
        <w:tc>
          <w:tcPr>
            <w:tcW w:w="1071" w:type="dxa"/>
            <w:tcBorders>
              <w:tl2br w:val="nil"/>
              <w:tr2bl w:val="nil"/>
            </w:tcBorders>
          </w:tcPr>
          <w:p w14:paraId="779E59F8">
            <w:pPr>
              <w:spacing w:line="400" w:lineRule="exact"/>
              <w:jc w:val="center"/>
              <w:rPr>
                <w:color w:val="auto"/>
                <w:szCs w:val="21"/>
              </w:rPr>
            </w:pPr>
            <w:r>
              <w:rPr>
                <w:color w:val="auto"/>
                <w:szCs w:val="21"/>
              </w:rPr>
              <w:t>0.73</w:t>
            </w:r>
          </w:p>
        </w:tc>
        <w:tc>
          <w:tcPr>
            <w:tcW w:w="1286" w:type="dxa"/>
            <w:tcBorders>
              <w:tl2br w:val="nil"/>
              <w:tr2bl w:val="nil"/>
            </w:tcBorders>
          </w:tcPr>
          <w:p w14:paraId="10EE6C6B">
            <w:pPr>
              <w:spacing w:line="400" w:lineRule="exact"/>
              <w:jc w:val="center"/>
              <w:rPr>
                <w:color w:val="auto"/>
                <w:szCs w:val="21"/>
              </w:rPr>
            </w:pPr>
            <w:r>
              <w:rPr>
                <w:color w:val="auto"/>
                <w:szCs w:val="21"/>
              </w:rPr>
              <w:t>0.87</w:t>
            </w:r>
          </w:p>
        </w:tc>
        <w:tc>
          <w:tcPr>
            <w:tcW w:w="1029" w:type="dxa"/>
            <w:tcBorders>
              <w:tl2br w:val="nil"/>
              <w:tr2bl w:val="nil"/>
            </w:tcBorders>
          </w:tcPr>
          <w:p w14:paraId="25C1F8F3">
            <w:pPr>
              <w:spacing w:line="400" w:lineRule="exact"/>
              <w:jc w:val="center"/>
              <w:rPr>
                <w:color w:val="auto"/>
                <w:szCs w:val="21"/>
              </w:rPr>
            </w:pPr>
            <w:r>
              <w:rPr>
                <w:color w:val="auto"/>
                <w:szCs w:val="21"/>
              </w:rPr>
              <w:t>0.83</w:t>
            </w:r>
          </w:p>
        </w:tc>
        <w:tc>
          <w:tcPr>
            <w:tcW w:w="1138" w:type="dxa"/>
            <w:tcBorders>
              <w:tl2br w:val="nil"/>
              <w:tr2bl w:val="nil"/>
            </w:tcBorders>
          </w:tcPr>
          <w:p w14:paraId="1D783EF9">
            <w:pPr>
              <w:spacing w:line="400" w:lineRule="exact"/>
              <w:jc w:val="center"/>
              <w:rPr>
                <w:color w:val="auto"/>
                <w:szCs w:val="21"/>
              </w:rPr>
            </w:pPr>
            <w:r>
              <w:rPr>
                <w:color w:val="auto"/>
                <w:szCs w:val="21"/>
              </w:rPr>
              <w:t>0.74</w:t>
            </w:r>
          </w:p>
        </w:tc>
      </w:tr>
      <w:tr w14:paraId="16013DD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5" w:type="dxa"/>
            <w:tcBorders>
              <w:tl2br w:val="nil"/>
              <w:tr2bl w:val="nil"/>
            </w:tcBorders>
          </w:tcPr>
          <w:p w14:paraId="14BA1EF7">
            <w:pPr>
              <w:spacing w:line="400" w:lineRule="exact"/>
              <w:jc w:val="center"/>
              <w:rPr>
                <w:color w:val="auto"/>
                <w:szCs w:val="21"/>
              </w:rPr>
            </w:pPr>
            <w:r>
              <w:rPr>
                <w:color w:val="auto"/>
                <w:szCs w:val="21"/>
              </w:rPr>
              <w:t>单位容量投资成本 (TZ)</w:t>
            </w:r>
          </w:p>
        </w:tc>
        <w:tc>
          <w:tcPr>
            <w:tcW w:w="1093" w:type="dxa"/>
            <w:tcBorders>
              <w:tl2br w:val="nil"/>
              <w:tr2bl w:val="nil"/>
            </w:tcBorders>
          </w:tcPr>
          <w:p w14:paraId="4342994F">
            <w:pPr>
              <w:spacing w:line="400" w:lineRule="exact"/>
              <w:jc w:val="center"/>
              <w:rPr>
                <w:color w:val="auto"/>
                <w:szCs w:val="21"/>
              </w:rPr>
            </w:pPr>
            <w:r>
              <w:rPr>
                <w:color w:val="auto"/>
                <w:szCs w:val="21"/>
              </w:rPr>
              <w:t>-0.05</w:t>
            </w:r>
          </w:p>
        </w:tc>
        <w:tc>
          <w:tcPr>
            <w:tcW w:w="1071" w:type="dxa"/>
            <w:tcBorders>
              <w:tl2br w:val="nil"/>
              <w:tr2bl w:val="nil"/>
            </w:tcBorders>
          </w:tcPr>
          <w:p w14:paraId="6D0052A6">
            <w:pPr>
              <w:spacing w:line="400" w:lineRule="exact"/>
              <w:jc w:val="center"/>
              <w:rPr>
                <w:color w:val="auto"/>
                <w:szCs w:val="21"/>
              </w:rPr>
            </w:pPr>
            <w:r>
              <w:rPr>
                <w:color w:val="auto"/>
                <w:szCs w:val="21"/>
              </w:rPr>
              <w:t>-0.12</w:t>
            </w:r>
          </w:p>
        </w:tc>
        <w:tc>
          <w:tcPr>
            <w:tcW w:w="1286" w:type="dxa"/>
            <w:tcBorders>
              <w:tl2br w:val="nil"/>
              <w:tr2bl w:val="nil"/>
            </w:tcBorders>
          </w:tcPr>
          <w:p w14:paraId="406F9A2C">
            <w:pPr>
              <w:spacing w:line="400" w:lineRule="exact"/>
              <w:jc w:val="center"/>
              <w:rPr>
                <w:color w:val="auto"/>
                <w:szCs w:val="21"/>
              </w:rPr>
            </w:pPr>
            <w:r>
              <w:rPr>
                <w:color w:val="auto"/>
                <w:szCs w:val="21"/>
              </w:rPr>
              <w:t>0.03</w:t>
            </w:r>
          </w:p>
        </w:tc>
        <w:tc>
          <w:tcPr>
            <w:tcW w:w="1029" w:type="dxa"/>
            <w:tcBorders>
              <w:tl2br w:val="nil"/>
              <w:tr2bl w:val="nil"/>
            </w:tcBorders>
          </w:tcPr>
          <w:p w14:paraId="147A6B2B">
            <w:pPr>
              <w:spacing w:line="400" w:lineRule="exact"/>
              <w:jc w:val="center"/>
              <w:rPr>
                <w:color w:val="auto"/>
                <w:szCs w:val="21"/>
              </w:rPr>
            </w:pPr>
            <w:r>
              <w:rPr>
                <w:color w:val="auto"/>
                <w:szCs w:val="21"/>
              </w:rPr>
              <w:t>-0.08</w:t>
            </w:r>
          </w:p>
        </w:tc>
        <w:tc>
          <w:tcPr>
            <w:tcW w:w="1138" w:type="dxa"/>
            <w:tcBorders>
              <w:tl2br w:val="nil"/>
              <w:tr2bl w:val="nil"/>
            </w:tcBorders>
          </w:tcPr>
          <w:p w14:paraId="376E1AA7">
            <w:pPr>
              <w:spacing w:line="400" w:lineRule="exact"/>
              <w:jc w:val="center"/>
              <w:rPr>
                <w:color w:val="auto"/>
                <w:szCs w:val="21"/>
              </w:rPr>
            </w:pPr>
            <w:r>
              <w:rPr>
                <w:color w:val="auto"/>
                <w:szCs w:val="21"/>
              </w:rPr>
              <w:t>-0.10</w:t>
            </w:r>
          </w:p>
        </w:tc>
      </w:tr>
      <w:tr w14:paraId="369BA14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5" w:type="dxa"/>
            <w:tcBorders>
              <w:tl2br w:val="nil"/>
              <w:tr2bl w:val="nil"/>
            </w:tcBorders>
          </w:tcPr>
          <w:p w14:paraId="48ADBA98">
            <w:pPr>
              <w:spacing w:line="400" w:lineRule="exact"/>
              <w:jc w:val="center"/>
              <w:rPr>
                <w:color w:val="auto"/>
                <w:szCs w:val="21"/>
              </w:rPr>
            </w:pPr>
            <w:r>
              <w:rPr>
                <w:color w:val="auto"/>
                <w:szCs w:val="21"/>
              </w:rPr>
              <w:t>年度运维成本占比 (YY)</w:t>
            </w:r>
          </w:p>
        </w:tc>
        <w:tc>
          <w:tcPr>
            <w:tcW w:w="1093" w:type="dxa"/>
            <w:tcBorders>
              <w:tl2br w:val="nil"/>
              <w:tr2bl w:val="nil"/>
            </w:tcBorders>
          </w:tcPr>
          <w:p w14:paraId="4BDC251F">
            <w:pPr>
              <w:spacing w:line="400" w:lineRule="exact"/>
              <w:jc w:val="center"/>
              <w:rPr>
                <w:color w:val="auto"/>
                <w:szCs w:val="21"/>
              </w:rPr>
            </w:pPr>
            <w:r>
              <w:rPr>
                <w:color w:val="auto"/>
                <w:szCs w:val="21"/>
              </w:rPr>
              <w:t>0.02</w:t>
            </w:r>
          </w:p>
        </w:tc>
        <w:tc>
          <w:tcPr>
            <w:tcW w:w="1071" w:type="dxa"/>
            <w:tcBorders>
              <w:tl2br w:val="nil"/>
              <w:tr2bl w:val="nil"/>
            </w:tcBorders>
          </w:tcPr>
          <w:p w14:paraId="5788F02D">
            <w:pPr>
              <w:spacing w:line="400" w:lineRule="exact"/>
              <w:jc w:val="center"/>
              <w:rPr>
                <w:color w:val="auto"/>
                <w:szCs w:val="21"/>
              </w:rPr>
            </w:pPr>
            <w:r>
              <w:rPr>
                <w:color w:val="auto"/>
                <w:szCs w:val="21"/>
              </w:rPr>
              <w:t>-0.05</w:t>
            </w:r>
          </w:p>
        </w:tc>
        <w:tc>
          <w:tcPr>
            <w:tcW w:w="1286" w:type="dxa"/>
            <w:tcBorders>
              <w:tl2br w:val="nil"/>
              <w:tr2bl w:val="nil"/>
            </w:tcBorders>
          </w:tcPr>
          <w:p w14:paraId="3B72C6FD">
            <w:pPr>
              <w:spacing w:line="400" w:lineRule="exact"/>
              <w:jc w:val="center"/>
              <w:rPr>
                <w:color w:val="auto"/>
                <w:szCs w:val="21"/>
              </w:rPr>
            </w:pPr>
            <w:r>
              <w:rPr>
                <w:color w:val="auto"/>
                <w:szCs w:val="21"/>
              </w:rPr>
              <w:t>0.10</w:t>
            </w:r>
          </w:p>
        </w:tc>
        <w:tc>
          <w:tcPr>
            <w:tcW w:w="1029" w:type="dxa"/>
            <w:tcBorders>
              <w:tl2br w:val="nil"/>
              <w:tr2bl w:val="nil"/>
            </w:tcBorders>
          </w:tcPr>
          <w:p w14:paraId="3D48AD2E">
            <w:pPr>
              <w:spacing w:line="400" w:lineRule="exact"/>
              <w:jc w:val="center"/>
              <w:rPr>
                <w:color w:val="auto"/>
                <w:szCs w:val="21"/>
              </w:rPr>
            </w:pPr>
            <w:r>
              <w:rPr>
                <w:color w:val="auto"/>
                <w:szCs w:val="21"/>
              </w:rPr>
              <w:t>0.01</w:t>
            </w:r>
          </w:p>
        </w:tc>
        <w:tc>
          <w:tcPr>
            <w:tcW w:w="1138" w:type="dxa"/>
            <w:tcBorders>
              <w:tl2br w:val="nil"/>
              <w:tr2bl w:val="nil"/>
            </w:tcBorders>
          </w:tcPr>
          <w:p w14:paraId="28288C50">
            <w:pPr>
              <w:spacing w:line="400" w:lineRule="exact"/>
              <w:jc w:val="center"/>
              <w:rPr>
                <w:color w:val="auto"/>
                <w:szCs w:val="21"/>
              </w:rPr>
            </w:pPr>
            <w:r>
              <w:rPr>
                <w:color w:val="auto"/>
                <w:szCs w:val="21"/>
              </w:rPr>
              <w:t>-0.03</w:t>
            </w:r>
          </w:p>
        </w:tc>
      </w:tr>
      <w:tr w14:paraId="6F53B6A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5" w:type="dxa"/>
            <w:tcBorders>
              <w:tl2br w:val="nil"/>
              <w:tr2bl w:val="nil"/>
            </w:tcBorders>
          </w:tcPr>
          <w:p w14:paraId="0B8797FC">
            <w:pPr>
              <w:spacing w:line="400" w:lineRule="exact"/>
              <w:jc w:val="center"/>
              <w:rPr>
                <w:color w:val="auto"/>
                <w:szCs w:val="21"/>
              </w:rPr>
            </w:pPr>
            <w:r>
              <w:rPr>
                <w:color w:val="auto"/>
                <w:szCs w:val="21"/>
              </w:rPr>
              <w:t>数据标准化程度 (BZ)</w:t>
            </w:r>
          </w:p>
        </w:tc>
        <w:tc>
          <w:tcPr>
            <w:tcW w:w="1093" w:type="dxa"/>
            <w:tcBorders>
              <w:tl2br w:val="nil"/>
              <w:tr2bl w:val="nil"/>
            </w:tcBorders>
          </w:tcPr>
          <w:p w14:paraId="6BDE5AF0">
            <w:pPr>
              <w:spacing w:line="400" w:lineRule="exact"/>
              <w:jc w:val="center"/>
              <w:rPr>
                <w:color w:val="auto"/>
                <w:szCs w:val="21"/>
              </w:rPr>
            </w:pPr>
            <w:r>
              <w:rPr>
                <w:color w:val="auto"/>
                <w:szCs w:val="21"/>
              </w:rPr>
              <w:t>-0.10</w:t>
            </w:r>
          </w:p>
        </w:tc>
        <w:tc>
          <w:tcPr>
            <w:tcW w:w="1071" w:type="dxa"/>
            <w:tcBorders>
              <w:tl2br w:val="nil"/>
              <w:tr2bl w:val="nil"/>
            </w:tcBorders>
          </w:tcPr>
          <w:p w14:paraId="4C539276">
            <w:pPr>
              <w:spacing w:line="400" w:lineRule="exact"/>
              <w:jc w:val="center"/>
              <w:rPr>
                <w:color w:val="auto"/>
                <w:szCs w:val="21"/>
              </w:rPr>
            </w:pPr>
            <w:r>
              <w:rPr>
                <w:color w:val="auto"/>
                <w:szCs w:val="21"/>
              </w:rPr>
              <w:t>-0.15</w:t>
            </w:r>
          </w:p>
        </w:tc>
        <w:tc>
          <w:tcPr>
            <w:tcW w:w="1286" w:type="dxa"/>
            <w:tcBorders>
              <w:tl2br w:val="nil"/>
              <w:tr2bl w:val="nil"/>
            </w:tcBorders>
          </w:tcPr>
          <w:p w14:paraId="3D269AA6">
            <w:pPr>
              <w:spacing w:line="400" w:lineRule="exact"/>
              <w:jc w:val="center"/>
              <w:rPr>
                <w:color w:val="auto"/>
                <w:szCs w:val="21"/>
              </w:rPr>
            </w:pPr>
            <w:r>
              <w:rPr>
                <w:color w:val="auto"/>
                <w:szCs w:val="21"/>
              </w:rPr>
              <w:t>0.08</w:t>
            </w:r>
          </w:p>
        </w:tc>
        <w:tc>
          <w:tcPr>
            <w:tcW w:w="1029" w:type="dxa"/>
            <w:tcBorders>
              <w:tl2br w:val="nil"/>
              <w:tr2bl w:val="nil"/>
            </w:tcBorders>
          </w:tcPr>
          <w:p w14:paraId="0D07ADB8">
            <w:pPr>
              <w:spacing w:line="400" w:lineRule="exact"/>
              <w:jc w:val="center"/>
              <w:rPr>
                <w:color w:val="auto"/>
                <w:szCs w:val="21"/>
              </w:rPr>
            </w:pPr>
            <w:r>
              <w:rPr>
                <w:color w:val="auto"/>
                <w:szCs w:val="21"/>
              </w:rPr>
              <w:t>-0.12</w:t>
            </w:r>
          </w:p>
        </w:tc>
        <w:tc>
          <w:tcPr>
            <w:tcW w:w="1138" w:type="dxa"/>
            <w:tcBorders>
              <w:tl2br w:val="nil"/>
              <w:tr2bl w:val="nil"/>
            </w:tcBorders>
          </w:tcPr>
          <w:p w14:paraId="7AA03665">
            <w:pPr>
              <w:spacing w:line="400" w:lineRule="exact"/>
              <w:jc w:val="center"/>
              <w:rPr>
                <w:color w:val="auto"/>
                <w:szCs w:val="21"/>
              </w:rPr>
            </w:pPr>
            <w:r>
              <w:rPr>
                <w:color w:val="auto"/>
                <w:szCs w:val="21"/>
              </w:rPr>
              <w:t>-0.13</w:t>
            </w:r>
          </w:p>
        </w:tc>
      </w:tr>
      <w:tr w14:paraId="10EF0B9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5" w:type="dxa"/>
            <w:tcBorders>
              <w:tl2br w:val="nil"/>
              <w:tr2bl w:val="nil"/>
            </w:tcBorders>
          </w:tcPr>
          <w:p w14:paraId="799214BA">
            <w:pPr>
              <w:spacing w:line="400" w:lineRule="exact"/>
              <w:jc w:val="center"/>
              <w:rPr>
                <w:color w:val="auto"/>
                <w:szCs w:val="21"/>
              </w:rPr>
            </w:pPr>
            <w:r>
              <w:rPr>
                <w:color w:val="auto"/>
                <w:szCs w:val="21"/>
              </w:rPr>
              <w:t>投资回收期 (HS)</w:t>
            </w:r>
          </w:p>
        </w:tc>
        <w:tc>
          <w:tcPr>
            <w:tcW w:w="1093" w:type="dxa"/>
            <w:tcBorders>
              <w:tl2br w:val="nil"/>
              <w:tr2bl w:val="nil"/>
            </w:tcBorders>
          </w:tcPr>
          <w:p w14:paraId="74322678">
            <w:pPr>
              <w:spacing w:line="400" w:lineRule="exact"/>
              <w:jc w:val="center"/>
              <w:rPr>
                <w:color w:val="auto"/>
                <w:szCs w:val="21"/>
              </w:rPr>
            </w:pPr>
            <w:r>
              <w:rPr>
                <w:color w:val="auto"/>
                <w:szCs w:val="21"/>
              </w:rPr>
              <w:t>-0.15</w:t>
            </w:r>
          </w:p>
        </w:tc>
        <w:tc>
          <w:tcPr>
            <w:tcW w:w="1071" w:type="dxa"/>
            <w:tcBorders>
              <w:tl2br w:val="nil"/>
              <w:tr2bl w:val="nil"/>
            </w:tcBorders>
          </w:tcPr>
          <w:p w14:paraId="42FAB005">
            <w:pPr>
              <w:spacing w:line="400" w:lineRule="exact"/>
              <w:jc w:val="center"/>
              <w:rPr>
                <w:color w:val="auto"/>
                <w:szCs w:val="21"/>
              </w:rPr>
            </w:pPr>
            <w:r>
              <w:rPr>
                <w:color w:val="auto"/>
                <w:szCs w:val="21"/>
              </w:rPr>
              <w:t>-0.20</w:t>
            </w:r>
          </w:p>
        </w:tc>
        <w:tc>
          <w:tcPr>
            <w:tcW w:w="1286" w:type="dxa"/>
            <w:tcBorders>
              <w:tl2br w:val="nil"/>
              <w:tr2bl w:val="nil"/>
            </w:tcBorders>
          </w:tcPr>
          <w:p w14:paraId="263F9559">
            <w:pPr>
              <w:spacing w:line="400" w:lineRule="exact"/>
              <w:jc w:val="center"/>
              <w:rPr>
                <w:color w:val="auto"/>
                <w:szCs w:val="21"/>
              </w:rPr>
            </w:pPr>
            <w:r>
              <w:rPr>
                <w:color w:val="auto"/>
                <w:szCs w:val="21"/>
              </w:rPr>
              <w:t>0.05</w:t>
            </w:r>
          </w:p>
        </w:tc>
        <w:tc>
          <w:tcPr>
            <w:tcW w:w="1029" w:type="dxa"/>
            <w:tcBorders>
              <w:tl2br w:val="nil"/>
              <w:tr2bl w:val="nil"/>
            </w:tcBorders>
          </w:tcPr>
          <w:p w14:paraId="70512F87">
            <w:pPr>
              <w:spacing w:line="400" w:lineRule="exact"/>
              <w:jc w:val="center"/>
              <w:rPr>
                <w:color w:val="auto"/>
                <w:szCs w:val="21"/>
              </w:rPr>
            </w:pPr>
            <w:r>
              <w:rPr>
                <w:color w:val="auto"/>
                <w:szCs w:val="21"/>
              </w:rPr>
              <w:t>-0.18</w:t>
            </w:r>
          </w:p>
        </w:tc>
        <w:tc>
          <w:tcPr>
            <w:tcW w:w="1138" w:type="dxa"/>
            <w:tcBorders>
              <w:tl2br w:val="nil"/>
              <w:tr2bl w:val="nil"/>
            </w:tcBorders>
          </w:tcPr>
          <w:p w14:paraId="759930B8">
            <w:pPr>
              <w:spacing w:line="400" w:lineRule="exact"/>
              <w:jc w:val="center"/>
              <w:rPr>
                <w:color w:val="auto"/>
                <w:szCs w:val="21"/>
              </w:rPr>
            </w:pPr>
            <w:r>
              <w:rPr>
                <w:color w:val="auto"/>
                <w:szCs w:val="21"/>
              </w:rPr>
              <w:t>-0.22</w:t>
            </w:r>
          </w:p>
        </w:tc>
      </w:tr>
      <w:tr w14:paraId="598BE2C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905" w:type="dxa"/>
            <w:tcBorders>
              <w:bottom w:val="single" w:color="auto" w:sz="12" w:space="0"/>
            </w:tcBorders>
          </w:tcPr>
          <w:p w14:paraId="3D9C665D">
            <w:pPr>
              <w:spacing w:line="400" w:lineRule="exact"/>
              <w:jc w:val="center"/>
              <w:rPr>
                <w:color w:val="auto"/>
                <w:szCs w:val="21"/>
              </w:rPr>
            </w:pPr>
            <w:r>
              <w:rPr>
                <w:color w:val="auto"/>
                <w:szCs w:val="21"/>
              </w:rPr>
              <w:t>单位容量运维成本 (YW)</w:t>
            </w:r>
          </w:p>
        </w:tc>
        <w:tc>
          <w:tcPr>
            <w:tcW w:w="1093" w:type="dxa"/>
            <w:tcBorders>
              <w:bottom w:val="single" w:color="auto" w:sz="12" w:space="0"/>
            </w:tcBorders>
          </w:tcPr>
          <w:p w14:paraId="340FD4B4">
            <w:pPr>
              <w:spacing w:line="400" w:lineRule="exact"/>
              <w:jc w:val="center"/>
              <w:rPr>
                <w:color w:val="auto"/>
                <w:szCs w:val="21"/>
              </w:rPr>
            </w:pPr>
            <w:r>
              <w:rPr>
                <w:color w:val="auto"/>
                <w:szCs w:val="21"/>
              </w:rPr>
              <w:t>-0.08</w:t>
            </w:r>
          </w:p>
        </w:tc>
        <w:tc>
          <w:tcPr>
            <w:tcW w:w="1071" w:type="dxa"/>
            <w:tcBorders>
              <w:bottom w:val="single" w:color="auto" w:sz="12" w:space="0"/>
            </w:tcBorders>
          </w:tcPr>
          <w:p w14:paraId="5E5FCBD7">
            <w:pPr>
              <w:spacing w:line="400" w:lineRule="exact"/>
              <w:jc w:val="center"/>
              <w:rPr>
                <w:color w:val="auto"/>
                <w:szCs w:val="21"/>
              </w:rPr>
            </w:pPr>
            <w:r>
              <w:rPr>
                <w:color w:val="auto"/>
                <w:szCs w:val="21"/>
              </w:rPr>
              <w:t>-0.13</w:t>
            </w:r>
          </w:p>
        </w:tc>
        <w:tc>
          <w:tcPr>
            <w:tcW w:w="1286" w:type="dxa"/>
            <w:tcBorders>
              <w:bottom w:val="single" w:color="auto" w:sz="12" w:space="0"/>
            </w:tcBorders>
          </w:tcPr>
          <w:p w14:paraId="1C1BD7C4">
            <w:pPr>
              <w:spacing w:line="400" w:lineRule="exact"/>
              <w:jc w:val="center"/>
              <w:rPr>
                <w:color w:val="auto"/>
                <w:szCs w:val="21"/>
              </w:rPr>
            </w:pPr>
            <w:r>
              <w:rPr>
                <w:color w:val="auto"/>
                <w:szCs w:val="21"/>
              </w:rPr>
              <w:t>0.03</w:t>
            </w:r>
          </w:p>
        </w:tc>
        <w:tc>
          <w:tcPr>
            <w:tcW w:w="1029" w:type="dxa"/>
            <w:tcBorders>
              <w:bottom w:val="single" w:color="auto" w:sz="12" w:space="0"/>
            </w:tcBorders>
          </w:tcPr>
          <w:p w14:paraId="733139D0">
            <w:pPr>
              <w:spacing w:line="400" w:lineRule="exact"/>
              <w:jc w:val="center"/>
              <w:rPr>
                <w:color w:val="auto"/>
                <w:szCs w:val="21"/>
              </w:rPr>
            </w:pPr>
            <w:r>
              <w:rPr>
                <w:color w:val="auto"/>
                <w:szCs w:val="21"/>
              </w:rPr>
              <w:t>-0.10</w:t>
            </w:r>
          </w:p>
        </w:tc>
        <w:tc>
          <w:tcPr>
            <w:tcW w:w="1138" w:type="dxa"/>
            <w:tcBorders>
              <w:bottom w:val="single" w:color="auto" w:sz="12" w:space="0"/>
            </w:tcBorders>
          </w:tcPr>
          <w:p w14:paraId="4283E8EF">
            <w:pPr>
              <w:spacing w:line="400" w:lineRule="exact"/>
              <w:jc w:val="center"/>
              <w:rPr>
                <w:color w:val="auto"/>
                <w:szCs w:val="21"/>
              </w:rPr>
            </w:pPr>
            <w:r>
              <w:rPr>
                <w:color w:val="auto"/>
                <w:szCs w:val="21"/>
              </w:rPr>
              <w:t>-0.15</w:t>
            </w:r>
          </w:p>
        </w:tc>
      </w:tr>
    </w:tbl>
    <w:p w14:paraId="6687D0D8">
      <w:pPr>
        <w:spacing w:line="400" w:lineRule="exact"/>
        <w:ind w:firstLine="480" w:firstLineChars="200"/>
        <w:rPr>
          <w:color w:val="auto"/>
        </w:rPr>
      </w:pPr>
    </w:p>
    <w:p w14:paraId="0363E589">
      <w:pPr>
        <w:spacing w:line="400" w:lineRule="exact"/>
        <w:ind w:firstLine="480" w:firstLineChars="200"/>
        <w:rPr>
          <w:color w:val="auto"/>
        </w:rPr>
      </w:pPr>
      <w:r>
        <w:rPr>
          <w:color w:val="auto"/>
        </w:rPr>
        <w:t>随后基于表4-3的基础上，计算主成分得分，得到以下特征向量。见表4-4所示。</w:t>
      </w:r>
    </w:p>
    <w:p w14:paraId="2A695DF0">
      <w:pPr>
        <w:spacing w:line="400" w:lineRule="exact"/>
        <w:ind w:firstLine="480" w:firstLineChars="200"/>
        <w:jc w:val="center"/>
        <w:rPr>
          <w:color w:val="auto"/>
          <w:szCs w:val="21"/>
        </w:rPr>
      </w:pPr>
      <w:r>
        <w:rPr>
          <w:color w:val="auto"/>
          <w:szCs w:val="21"/>
        </w:rPr>
        <w:t>表4-4 特征向量值</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19F98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12" w:space="0"/>
              <w:left w:val="nil"/>
              <w:bottom w:val="single" w:color="auto" w:sz="4" w:space="0"/>
              <w:right w:val="nil"/>
            </w:tcBorders>
          </w:tcPr>
          <w:p w14:paraId="27457743">
            <w:pPr>
              <w:spacing w:line="400" w:lineRule="exact"/>
              <w:jc w:val="center"/>
              <w:rPr>
                <w:color w:val="auto"/>
                <w:szCs w:val="21"/>
              </w:rPr>
            </w:pPr>
            <w:r>
              <w:rPr>
                <w:color w:val="auto"/>
                <w:szCs w:val="21"/>
              </w:rPr>
              <w:t>样本编号</w:t>
            </w:r>
          </w:p>
        </w:tc>
        <w:tc>
          <w:tcPr>
            <w:tcW w:w="2130" w:type="dxa"/>
            <w:tcBorders>
              <w:top w:val="single" w:color="auto" w:sz="12" w:space="0"/>
              <w:left w:val="nil"/>
              <w:bottom w:val="single" w:color="auto" w:sz="4" w:space="0"/>
              <w:right w:val="nil"/>
            </w:tcBorders>
          </w:tcPr>
          <w:p w14:paraId="2EFD0C39">
            <w:pPr>
              <w:spacing w:line="400" w:lineRule="exact"/>
              <w:jc w:val="center"/>
              <w:rPr>
                <w:color w:val="auto"/>
                <w:szCs w:val="21"/>
              </w:rPr>
            </w:pPr>
            <w:r>
              <w:rPr>
                <w:color w:val="auto"/>
                <w:szCs w:val="21"/>
              </w:rPr>
              <w:t>F1 (经济效益因子)</w:t>
            </w:r>
          </w:p>
        </w:tc>
        <w:tc>
          <w:tcPr>
            <w:tcW w:w="2131" w:type="dxa"/>
            <w:tcBorders>
              <w:top w:val="single" w:color="auto" w:sz="12" w:space="0"/>
              <w:left w:val="nil"/>
              <w:bottom w:val="single" w:color="auto" w:sz="4" w:space="0"/>
              <w:right w:val="nil"/>
            </w:tcBorders>
          </w:tcPr>
          <w:p w14:paraId="3CCABA1A">
            <w:pPr>
              <w:spacing w:line="400" w:lineRule="exact"/>
              <w:jc w:val="center"/>
              <w:rPr>
                <w:color w:val="auto"/>
                <w:szCs w:val="21"/>
              </w:rPr>
            </w:pPr>
            <w:r>
              <w:rPr>
                <w:color w:val="auto"/>
                <w:szCs w:val="21"/>
              </w:rPr>
              <w:t>F2 (成本控制因子)</w:t>
            </w:r>
          </w:p>
        </w:tc>
        <w:tc>
          <w:tcPr>
            <w:tcW w:w="2131" w:type="dxa"/>
            <w:tcBorders>
              <w:top w:val="single" w:color="auto" w:sz="12" w:space="0"/>
              <w:left w:val="nil"/>
              <w:bottom w:val="single" w:color="auto" w:sz="4" w:space="0"/>
              <w:right w:val="nil"/>
            </w:tcBorders>
          </w:tcPr>
          <w:p w14:paraId="485257A7">
            <w:pPr>
              <w:spacing w:line="400" w:lineRule="exact"/>
              <w:jc w:val="center"/>
              <w:rPr>
                <w:color w:val="auto"/>
                <w:szCs w:val="21"/>
              </w:rPr>
            </w:pPr>
            <w:r>
              <w:rPr>
                <w:color w:val="auto"/>
                <w:szCs w:val="21"/>
              </w:rPr>
              <w:t>F3 (长期运营因子)</w:t>
            </w:r>
          </w:p>
        </w:tc>
      </w:tr>
      <w:tr w14:paraId="62B91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nil"/>
              <w:bottom w:val="nil"/>
              <w:right w:val="nil"/>
            </w:tcBorders>
          </w:tcPr>
          <w:p w14:paraId="14516CE6">
            <w:pPr>
              <w:spacing w:line="400" w:lineRule="exact"/>
              <w:jc w:val="center"/>
              <w:rPr>
                <w:color w:val="auto"/>
                <w:szCs w:val="21"/>
              </w:rPr>
            </w:pPr>
            <w:r>
              <w:rPr>
                <w:color w:val="auto"/>
                <w:szCs w:val="21"/>
              </w:rPr>
              <w:t>a</w:t>
            </w:r>
          </w:p>
        </w:tc>
        <w:tc>
          <w:tcPr>
            <w:tcW w:w="2130" w:type="dxa"/>
            <w:tcBorders>
              <w:top w:val="single" w:color="auto" w:sz="4" w:space="0"/>
              <w:left w:val="nil"/>
              <w:bottom w:val="nil"/>
              <w:right w:val="nil"/>
            </w:tcBorders>
          </w:tcPr>
          <w:p w14:paraId="12CB7B44">
            <w:pPr>
              <w:spacing w:line="400" w:lineRule="exact"/>
              <w:jc w:val="center"/>
              <w:rPr>
                <w:color w:val="auto"/>
                <w:szCs w:val="21"/>
              </w:rPr>
            </w:pPr>
            <w:r>
              <w:rPr>
                <w:color w:val="auto"/>
                <w:szCs w:val="21"/>
              </w:rPr>
              <w:t>0.87</w:t>
            </w:r>
          </w:p>
        </w:tc>
        <w:tc>
          <w:tcPr>
            <w:tcW w:w="2131" w:type="dxa"/>
            <w:tcBorders>
              <w:top w:val="single" w:color="auto" w:sz="4" w:space="0"/>
              <w:left w:val="nil"/>
              <w:bottom w:val="nil"/>
              <w:right w:val="nil"/>
            </w:tcBorders>
          </w:tcPr>
          <w:p w14:paraId="23448CAA">
            <w:pPr>
              <w:spacing w:line="400" w:lineRule="exact"/>
              <w:jc w:val="center"/>
              <w:rPr>
                <w:color w:val="auto"/>
                <w:szCs w:val="21"/>
              </w:rPr>
            </w:pPr>
            <w:r>
              <w:rPr>
                <w:color w:val="auto"/>
                <w:szCs w:val="21"/>
              </w:rPr>
              <w:t>0.05</w:t>
            </w:r>
          </w:p>
        </w:tc>
        <w:tc>
          <w:tcPr>
            <w:tcW w:w="2131" w:type="dxa"/>
            <w:tcBorders>
              <w:top w:val="single" w:color="auto" w:sz="4" w:space="0"/>
              <w:left w:val="nil"/>
              <w:bottom w:val="nil"/>
              <w:right w:val="nil"/>
            </w:tcBorders>
          </w:tcPr>
          <w:p w14:paraId="17D508A3">
            <w:pPr>
              <w:spacing w:line="400" w:lineRule="exact"/>
              <w:jc w:val="center"/>
              <w:rPr>
                <w:color w:val="auto"/>
                <w:szCs w:val="21"/>
              </w:rPr>
            </w:pPr>
            <w:r>
              <w:rPr>
                <w:color w:val="auto"/>
                <w:szCs w:val="21"/>
              </w:rPr>
              <w:t>-0.15</w:t>
            </w:r>
          </w:p>
        </w:tc>
      </w:tr>
      <w:tr w14:paraId="5AA7A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nil"/>
              <w:left w:val="nil"/>
              <w:bottom w:val="nil"/>
              <w:right w:val="nil"/>
            </w:tcBorders>
          </w:tcPr>
          <w:p w14:paraId="717AC9DB">
            <w:pPr>
              <w:spacing w:line="400" w:lineRule="exact"/>
              <w:jc w:val="center"/>
              <w:rPr>
                <w:color w:val="auto"/>
                <w:szCs w:val="21"/>
              </w:rPr>
            </w:pPr>
            <w:r>
              <w:rPr>
                <w:color w:val="auto"/>
                <w:szCs w:val="21"/>
              </w:rPr>
              <w:t>b</w:t>
            </w:r>
          </w:p>
        </w:tc>
        <w:tc>
          <w:tcPr>
            <w:tcW w:w="2130" w:type="dxa"/>
            <w:tcBorders>
              <w:top w:val="nil"/>
              <w:left w:val="nil"/>
              <w:bottom w:val="nil"/>
              <w:right w:val="nil"/>
            </w:tcBorders>
          </w:tcPr>
          <w:p w14:paraId="0E9EC827">
            <w:pPr>
              <w:spacing w:line="400" w:lineRule="exact"/>
              <w:jc w:val="center"/>
              <w:rPr>
                <w:color w:val="auto"/>
                <w:szCs w:val="21"/>
              </w:rPr>
            </w:pPr>
            <w:r>
              <w:rPr>
                <w:color w:val="auto"/>
                <w:szCs w:val="21"/>
              </w:rPr>
              <w:t>0.75</w:t>
            </w:r>
          </w:p>
        </w:tc>
        <w:tc>
          <w:tcPr>
            <w:tcW w:w="2131" w:type="dxa"/>
            <w:tcBorders>
              <w:top w:val="nil"/>
              <w:left w:val="nil"/>
              <w:bottom w:val="nil"/>
              <w:right w:val="nil"/>
            </w:tcBorders>
          </w:tcPr>
          <w:p w14:paraId="7C7141BA">
            <w:pPr>
              <w:spacing w:line="400" w:lineRule="exact"/>
              <w:jc w:val="center"/>
              <w:rPr>
                <w:color w:val="auto"/>
                <w:szCs w:val="21"/>
              </w:rPr>
            </w:pPr>
            <w:r>
              <w:rPr>
                <w:color w:val="auto"/>
                <w:szCs w:val="21"/>
              </w:rPr>
              <w:t>-0.10</w:t>
            </w:r>
          </w:p>
        </w:tc>
        <w:tc>
          <w:tcPr>
            <w:tcW w:w="2131" w:type="dxa"/>
            <w:tcBorders>
              <w:top w:val="nil"/>
              <w:left w:val="nil"/>
              <w:bottom w:val="nil"/>
              <w:right w:val="nil"/>
            </w:tcBorders>
          </w:tcPr>
          <w:p w14:paraId="1FF37A4D">
            <w:pPr>
              <w:spacing w:line="400" w:lineRule="exact"/>
              <w:jc w:val="center"/>
              <w:rPr>
                <w:color w:val="auto"/>
                <w:szCs w:val="21"/>
              </w:rPr>
            </w:pPr>
            <w:r>
              <w:rPr>
                <w:color w:val="auto"/>
                <w:szCs w:val="21"/>
              </w:rPr>
              <w:t>-0.20</w:t>
            </w:r>
          </w:p>
        </w:tc>
      </w:tr>
      <w:tr w14:paraId="5C3F4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130" w:type="dxa"/>
            <w:tcBorders>
              <w:top w:val="nil"/>
              <w:left w:val="nil"/>
              <w:bottom w:val="nil"/>
              <w:right w:val="nil"/>
            </w:tcBorders>
          </w:tcPr>
          <w:p w14:paraId="6DCBCBAF">
            <w:pPr>
              <w:spacing w:line="400" w:lineRule="exact"/>
              <w:jc w:val="center"/>
              <w:rPr>
                <w:color w:val="auto"/>
                <w:szCs w:val="21"/>
              </w:rPr>
            </w:pPr>
            <w:r>
              <w:rPr>
                <w:color w:val="auto"/>
                <w:szCs w:val="21"/>
              </w:rPr>
              <w:t>c</w:t>
            </w:r>
          </w:p>
        </w:tc>
        <w:tc>
          <w:tcPr>
            <w:tcW w:w="2130" w:type="dxa"/>
            <w:tcBorders>
              <w:top w:val="nil"/>
              <w:left w:val="nil"/>
              <w:bottom w:val="nil"/>
              <w:right w:val="nil"/>
            </w:tcBorders>
          </w:tcPr>
          <w:p w14:paraId="3E51D88F">
            <w:pPr>
              <w:spacing w:line="400" w:lineRule="exact"/>
              <w:jc w:val="center"/>
              <w:rPr>
                <w:color w:val="auto"/>
                <w:szCs w:val="21"/>
              </w:rPr>
            </w:pPr>
            <w:r>
              <w:rPr>
                <w:color w:val="auto"/>
                <w:szCs w:val="21"/>
              </w:rPr>
              <w:t>0.90</w:t>
            </w:r>
          </w:p>
        </w:tc>
        <w:tc>
          <w:tcPr>
            <w:tcW w:w="2131" w:type="dxa"/>
            <w:tcBorders>
              <w:top w:val="nil"/>
              <w:left w:val="nil"/>
              <w:bottom w:val="nil"/>
              <w:right w:val="nil"/>
            </w:tcBorders>
          </w:tcPr>
          <w:p w14:paraId="64EDB3A6">
            <w:pPr>
              <w:spacing w:line="400" w:lineRule="exact"/>
              <w:jc w:val="center"/>
              <w:rPr>
                <w:color w:val="auto"/>
                <w:szCs w:val="21"/>
              </w:rPr>
            </w:pPr>
            <w:r>
              <w:rPr>
                <w:color w:val="auto"/>
                <w:szCs w:val="21"/>
              </w:rPr>
              <w:t>0.12</w:t>
            </w:r>
          </w:p>
        </w:tc>
        <w:tc>
          <w:tcPr>
            <w:tcW w:w="2131" w:type="dxa"/>
            <w:tcBorders>
              <w:top w:val="nil"/>
              <w:left w:val="nil"/>
              <w:bottom w:val="nil"/>
              <w:right w:val="nil"/>
            </w:tcBorders>
          </w:tcPr>
          <w:p w14:paraId="0E11CF02">
            <w:pPr>
              <w:spacing w:line="400" w:lineRule="exact"/>
              <w:jc w:val="center"/>
              <w:rPr>
                <w:color w:val="auto"/>
                <w:szCs w:val="21"/>
              </w:rPr>
            </w:pPr>
            <w:r>
              <w:rPr>
                <w:color w:val="auto"/>
                <w:szCs w:val="21"/>
              </w:rPr>
              <w:t>0.05</w:t>
            </w:r>
          </w:p>
        </w:tc>
      </w:tr>
      <w:tr w14:paraId="42274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nil"/>
              <w:left w:val="nil"/>
              <w:bottom w:val="nil"/>
              <w:right w:val="nil"/>
            </w:tcBorders>
          </w:tcPr>
          <w:p w14:paraId="01DB09B4">
            <w:pPr>
              <w:spacing w:line="400" w:lineRule="exact"/>
              <w:jc w:val="center"/>
              <w:rPr>
                <w:color w:val="auto"/>
                <w:szCs w:val="21"/>
              </w:rPr>
            </w:pPr>
            <w:r>
              <w:rPr>
                <w:color w:val="auto"/>
                <w:szCs w:val="21"/>
              </w:rPr>
              <w:t>d</w:t>
            </w:r>
          </w:p>
        </w:tc>
        <w:tc>
          <w:tcPr>
            <w:tcW w:w="2130" w:type="dxa"/>
            <w:tcBorders>
              <w:top w:val="nil"/>
              <w:left w:val="nil"/>
              <w:bottom w:val="nil"/>
              <w:right w:val="nil"/>
            </w:tcBorders>
          </w:tcPr>
          <w:p w14:paraId="4B0FDED6">
            <w:pPr>
              <w:spacing w:line="400" w:lineRule="exact"/>
              <w:jc w:val="center"/>
              <w:rPr>
                <w:color w:val="auto"/>
                <w:szCs w:val="21"/>
              </w:rPr>
            </w:pPr>
            <w:r>
              <w:rPr>
                <w:color w:val="auto"/>
                <w:szCs w:val="21"/>
              </w:rPr>
              <w:t>0.85</w:t>
            </w:r>
          </w:p>
        </w:tc>
        <w:tc>
          <w:tcPr>
            <w:tcW w:w="2131" w:type="dxa"/>
            <w:tcBorders>
              <w:top w:val="nil"/>
              <w:left w:val="nil"/>
              <w:bottom w:val="nil"/>
              <w:right w:val="nil"/>
            </w:tcBorders>
          </w:tcPr>
          <w:p w14:paraId="3AE4842C">
            <w:pPr>
              <w:spacing w:line="400" w:lineRule="exact"/>
              <w:jc w:val="center"/>
              <w:rPr>
                <w:color w:val="auto"/>
                <w:szCs w:val="21"/>
              </w:rPr>
            </w:pPr>
            <w:r>
              <w:rPr>
                <w:color w:val="auto"/>
                <w:szCs w:val="21"/>
              </w:rPr>
              <w:t>0.02</w:t>
            </w:r>
          </w:p>
        </w:tc>
        <w:tc>
          <w:tcPr>
            <w:tcW w:w="2131" w:type="dxa"/>
            <w:tcBorders>
              <w:top w:val="nil"/>
              <w:left w:val="nil"/>
              <w:bottom w:val="nil"/>
              <w:right w:val="nil"/>
            </w:tcBorders>
          </w:tcPr>
          <w:p w14:paraId="6BAF60F3">
            <w:pPr>
              <w:spacing w:line="400" w:lineRule="exact"/>
              <w:jc w:val="center"/>
              <w:rPr>
                <w:color w:val="auto"/>
                <w:szCs w:val="21"/>
              </w:rPr>
            </w:pPr>
            <w:r>
              <w:rPr>
                <w:color w:val="auto"/>
                <w:szCs w:val="21"/>
              </w:rPr>
              <w:t>-0.18</w:t>
            </w:r>
          </w:p>
        </w:tc>
      </w:tr>
      <w:tr w14:paraId="03AD5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nil"/>
              <w:left w:val="nil"/>
              <w:bottom w:val="single" w:color="auto" w:sz="12" w:space="0"/>
              <w:right w:val="nil"/>
            </w:tcBorders>
          </w:tcPr>
          <w:p w14:paraId="784463B8">
            <w:pPr>
              <w:spacing w:line="400" w:lineRule="exact"/>
              <w:jc w:val="center"/>
              <w:rPr>
                <w:color w:val="auto"/>
                <w:szCs w:val="21"/>
              </w:rPr>
            </w:pPr>
            <w:r>
              <w:rPr>
                <w:color w:val="auto"/>
                <w:szCs w:val="21"/>
              </w:rPr>
              <w:t>e</w:t>
            </w:r>
          </w:p>
        </w:tc>
        <w:tc>
          <w:tcPr>
            <w:tcW w:w="2130" w:type="dxa"/>
            <w:tcBorders>
              <w:top w:val="nil"/>
              <w:left w:val="nil"/>
              <w:bottom w:val="single" w:color="auto" w:sz="12" w:space="0"/>
              <w:right w:val="nil"/>
            </w:tcBorders>
          </w:tcPr>
          <w:p w14:paraId="72B29369">
            <w:pPr>
              <w:spacing w:line="400" w:lineRule="exact"/>
              <w:jc w:val="center"/>
              <w:rPr>
                <w:color w:val="auto"/>
                <w:szCs w:val="21"/>
              </w:rPr>
            </w:pPr>
            <w:r>
              <w:rPr>
                <w:color w:val="auto"/>
                <w:szCs w:val="21"/>
              </w:rPr>
              <w:t>0.78</w:t>
            </w:r>
          </w:p>
        </w:tc>
        <w:tc>
          <w:tcPr>
            <w:tcW w:w="2131" w:type="dxa"/>
            <w:tcBorders>
              <w:top w:val="nil"/>
              <w:left w:val="nil"/>
              <w:bottom w:val="single" w:color="auto" w:sz="12" w:space="0"/>
              <w:right w:val="nil"/>
            </w:tcBorders>
          </w:tcPr>
          <w:p w14:paraId="47CE0FDE">
            <w:pPr>
              <w:spacing w:line="400" w:lineRule="exact"/>
              <w:jc w:val="center"/>
              <w:rPr>
                <w:color w:val="auto"/>
                <w:szCs w:val="21"/>
              </w:rPr>
            </w:pPr>
            <w:r>
              <w:rPr>
                <w:color w:val="auto"/>
                <w:szCs w:val="21"/>
              </w:rPr>
              <w:t>-0.08</w:t>
            </w:r>
          </w:p>
        </w:tc>
        <w:tc>
          <w:tcPr>
            <w:tcW w:w="2131" w:type="dxa"/>
            <w:tcBorders>
              <w:top w:val="nil"/>
              <w:left w:val="nil"/>
              <w:bottom w:val="single" w:color="auto" w:sz="12" w:space="0"/>
              <w:right w:val="nil"/>
            </w:tcBorders>
          </w:tcPr>
          <w:p w14:paraId="474380B4">
            <w:pPr>
              <w:spacing w:line="400" w:lineRule="exact"/>
              <w:jc w:val="center"/>
              <w:rPr>
                <w:color w:val="auto"/>
                <w:szCs w:val="21"/>
              </w:rPr>
            </w:pPr>
            <w:r>
              <w:rPr>
                <w:color w:val="auto"/>
                <w:szCs w:val="21"/>
              </w:rPr>
              <w:t>-0.22</w:t>
            </w:r>
          </w:p>
        </w:tc>
      </w:tr>
    </w:tbl>
    <w:p w14:paraId="2BF16983">
      <w:pPr>
        <w:spacing w:line="400" w:lineRule="exact"/>
        <w:ind w:firstLine="480" w:firstLineChars="200"/>
        <w:rPr>
          <w:color w:val="auto"/>
        </w:rPr>
      </w:pPr>
    </w:p>
    <w:p w14:paraId="67698D9F">
      <w:pPr>
        <w:spacing w:line="400" w:lineRule="exact"/>
        <w:ind w:firstLine="480" w:firstLineChars="200"/>
        <w:rPr>
          <w:color w:val="auto"/>
        </w:rPr>
      </w:pPr>
      <w:r>
        <w:rPr>
          <w:color w:val="auto"/>
        </w:rPr>
        <w:t>接着，利用随机森林（RF）和XGBoost算法对J电网项目的投资能力测算进行初步预测。在测算中，因子权重的分配直接影响结果的准确性。因此，本文基于专家评估与历史数据回归分析，确定各因子权重如表4-6所示。</w:t>
      </w:r>
    </w:p>
    <w:p w14:paraId="576AEE18">
      <w:pPr>
        <w:spacing w:line="400" w:lineRule="exact"/>
        <w:ind w:firstLine="480" w:firstLineChars="200"/>
        <w:jc w:val="center"/>
        <w:rPr>
          <w:color w:val="auto"/>
          <w:szCs w:val="21"/>
        </w:rPr>
      </w:pPr>
      <w:r>
        <w:rPr>
          <w:color w:val="auto"/>
          <w:szCs w:val="21"/>
        </w:rPr>
        <w:t>表4-5 样本因子权重分配及投资能力计算公式</w:t>
      </w:r>
    </w:p>
    <w:tbl>
      <w:tblPr>
        <w:tblStyle w:val="18"/>
        <w:tblW w:w="0" w:type="auto"/>
        <w:tblInd w:w="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24"/>
        <w:gridCol w:w="2056"/>
        <w:gridCol w:w="3726"/>
      </w:tblGrid>
      <w:tr w14:paraId="2876A953">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4" w:type="dxa"/>
            <w:tcBorders>
              <w:top w:val="single" w:color="auto" w:sz="12" w:space="0"/>
              <w:bottom w:val="single" w:color="auto" w:sz="4" w:space="0"/>
            </w:tcBorders>
          </w:tcPr>
          <w:p w14:paraId="3C3CE6AF">
            <w:pPr>
              <w:spacing w:line="400" w:lineRule="exact"/>
              <w:jc w:val="center"/>
              <w:rPr>
                <w:color w:val="auto"/>
                <w:szCs w:val="21"/>
              </w:rPr>
            </w:pPr>
            <w:r>
              <w:rPr>
                <w:color w:val="auto"/>
                <w:szCs w:val="21"/>
              </w:rPr>
              <w:t>因子名称</w:t>
            </w:r>
          </w:p>
        </w:tc>
        <w:tc>
          <w:tcPr>
            <w:tcW w:w="2056" w:type="dxa"/>
            <w:tcBorders>
              <w:top w:val="single" w:color="auto" w:sz="12" w:space="0"/>
              <w:bottom w:val="single" w:color="auto" w:sz="4" w:space="0"/>
            </w:tcBorders>
          </w:tcPr>
          <w:p w14:paraId="076AAADC">
            <w:pPr>
              <w:spacing w:line="400" w:lineRule="exact"/>
              <w:jc w:val="center"/>
              <w:rPr>
                <w:color w:val="auto"/>
                <w:szCs w:val="21"/>
              </w:rPr>
            </w:pPr>
            <w:r>
              <w:rPr>
                <w:color w:val="auto"/>
                <w:szCs w:val="21"/>
              </w:rPr>
              <w:t>权重系数（w）</w:t>
            </w:r>
          </w:p>
        </w:tc>
        <w:tc>
          <w:tcPr>
            <w:tcW w:w="3726" w:type="dxa"/>
            <w:tcBorders>
              <w:top w:val="single" w:color="auto" w:sz="12" w:space="0"/>
              <w:bottom w:val="single" w:color="auto" w:sz="4" w:space="0"/>
            </w:tcBorders>
          </w:tcPr>
          <w:p w14:paraId="222960E3">
            <w:pPr>
              <w:spacing w:line="400" w:lineRule="exact"/>
              <w:jc w:val="center"/>
              <w:rPr>
                <w:color w:val="auto"/>
                <w:szCs w:val="21"/>
              </w:rPr>
            </w:pPr>
            <w:r>
              <w:rPr>
                <w:color w:val="auto"/>
                <w:szCs w:val="21"/>
              </w:rPr>
              <w:t>计算公式说明</w:t>
            </w:r>
          </w:p>
        </w:tc>
      </w:tr>
      <w:tr w14:paraId="70AE5EED">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4" w:type="dxa"/>
            <w:tcBorders>
              <w:top w:val="single" w:color="auto" w:sz="4" w:space="0"/>
              <w:bottom w:val="nil"/>
            </w:tcBorders>
          </w:tcPr>
          <w:p w14:paraId="6B4AAC37">
            <w:pPr>
              <w:spacing w:line="400" w:lineRule="exact"/>
              <w:jc w:val="center"/>
              <w:rPr>
                <w:color w:val="auto"/>
                <w:szCs w:val="21"/>
              </w:rPr>
            </w:pPr>
            <w:r>
              <w:rPr>
                <w:color w:val="auto"/>
                <w:szCs w:val="21"/>
              </w:rPr>
              <w:t>经济效益因子（F1）</w:t>
            </w:r>
          </w:p>
        </w:tc>
        <w:tc>
          <w:tcPr>
            <w:tcW w:w="2056" w:type="dxa"/>
            <w:tcBorders>
              <w:top w:val="single" w:color="auto" w:sz="4" w:space="0"/>
              <w:bottom w:val="nil"/>
            </w:tcBorders>
          </w:tcPr>
          <w:p w14:paraId="2ABDBCBB">
            <w:pPr>
              <w:spacing w:line="400" w:lineRule="exact"/>
              <w:jc w:val="center"/>
              <w:rPr>
                <w:color w:val="auto"/>
                <w:szCs w:val="21"/>
              </w:rPr>
            </w:pPr>
            <w:r>
              <w:rPr>
                <w:color w:val="auto"/>
                <w:szCs w:val="21"/>
              </w:rPr>
              <w:t>0.45</w:t>
            </w:r>
          </w:p>
        </w:tc>
        <w:tc>
          <w:tcPr>
            <w:tcW w:w="3726" w:type="dxa"/>
            <w:tcBorders>
              <w:top w:val="single" w:color="auto" w:sz="4" w:space="0"/>
              <w:bottom w:val="nil"/>
            </w:tcBorders>
          </w:tcPr>
          <w:p w14:paraId="4BFE2A6C">
            <w:pPr>
              <w:spacing w:line="400" w:lineRule="exact"/>
              <w:jc w:val="center"/>
              <w:rPr>
                <w:color w:val="auto"/>
                <w:szCs w:val="21"/>
              </w:rPr>
            </w:pPr>
            <w:r>
              <w:rPr>
                <w:color w:val="auto"/>
                <w:szCs w:val="21"/>
              </w:rPr>
              <w:t>反映项目收益与扩展能力的核心指标</w:t>
            </w:r>
          </w:p>
        </w:tc>
      </w:tr>
      <w:tr w14:paraId="3D7C78C1">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4" w:type="dxa"/>
            <w:tcBorders>
              <w:top w:val="nil"/>
            </w:tcBorders>
          </w:tcPr>
          <w:p w14:paraId="6C7CA74D">
            <w:pPr>
              <w:spacing w:line="400" w:lineRule="exact"/>
              <w:jc w:val="center"/>
              <w:rPr>
                <w:color w:val="auto"/>
                <w:szCs w:val="21"/>
              </w:rPr>
            </w:pPr>
            <w:r>
              <w:rPr>
                <w:color w:val="auto"/>
                <w:szCs w:val="21"/>
              </w:rPr>
              <w:t>成本控制因子（F2）</w:t>
            </w:r>
          </w:p>
        </w:tc>
        <w:tc>
          <w:tcPr>
            <w:tcW w:w="2056" w:type="dxa"/>
            <w:tcBorders>
              <w:top w:val="nil"/>
            </w:tcBorders>
          </w:tcPr>
          <w:p w14:paraId="052B22E5">
            <w:pPr>
              <w:spacing w:line="400" w:lineRule="exact"/>
              <w:jc w:val="center"/>
              <w:rPr>
                <w:color w:val="auto"/>
                <w:szCs w:val="21"/>
              </w:rPr>
            </w:pPr>
            <w:r>
              <w:rPr>
                <w:color w:val="auto"/>
                <w:szCs w:val="21"/>
              </w:rPr>
              <w:t>0.35</w:t>
            </w:r>
          </w:p>
        </w:tc>
        <w:tc>
          <w:tcPr>
            <w:tcW w:w="3726" w:type="dxa"/>
            <w:tcBorders>
              <w:top w:val="nil"/>
            </w:tcBorders>
          </w:tcPr>
          <w:p w14:paraId="62E670A6">
            <w:pPr>
              <w:spacing w:line="400" w:lineRule="exact"/>
              <w:jc w:val="center"/>
              <w:rPr>
                <w:color w:val="auto"/>
                <w:szCs w:val="21"/>
              </w:rPr>
            </w:pPr>
            <w:r>
              <w:rPr>
                <w:color w:val="auto"/>
                <w:szCs w:val="21"/>
              </w:rPr>
              <w:t>衡量投资成本与运维效率的关键参数</w:t>
            </w:r>
          </w:p>
        </w:tc>
      </w:tr>
      <w:tr w14:paraId="3D3FE6DC">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524" w:type="dxa"/>
            <w:tcBorders>
              <w:bottom w:val="single" w:color="auto" w:sz="12" w:space="0"/>
            </w:tcBorders>
          </w:tcPr>
          <w:p w14:paraId="6B3165E4">
            <w:pPr>
              <w:spacing w:line="400" w:lineRule="exact"/>
              <w:jc w:val="center"/>
              <w:rPr>
                <w:color w:val="auto"/>
                <w:szCs w:val="21"/>
              </w:rPr>
            </w:pPr>
            <w:r>
              <w:rPr>
                <w:color w:val="auto"/>
                <w:szCs w:val="21"/>
              </w:rPr>
              <w:t>长期运营因子（F3）</w:t>
            </w:r>
          </w:p>
        </w:tc>
        <w:tc>
          <w:tcPr>
            <w:tcW w:w="2056" w:type="dxa"/>
            <w:tcBorders>
              <w:bottom w:val="single" w:color="auto" w:sz="12" w:space="0"/>
            </w:tcBorders>
          </w:tcPr>
          <w:p w14:paraId="611EDD9A">
            <w:pPr>
              <w:spacing w:line="400" w:lineRule="exact"/>
              <w:jc w:val="center"/>
              <w:rPr>
                <w:color w:val="auto"/>
                <w:szCs w:val="21"/>
              </w:rPr>
            </w:pPr>
            <w:r>
              <w:rPr>
                <w:color w:val="auto"/>
                <w:szCs w:val="21"/>
              </w:rPr>
              <w:t>0.20</w:t>
            </w:r>
          </w:p>
        </w:tc>
        <w:tc>
          <w:tcPr>
            <w:tcW w:w="3726" w:type="dxa"/>
            <w:tcBorders>
              <w:bottom w:val="single" w:color="auto" w:sz="12" w:space="0"/>
            </w:tcBorders>
          </w:tcPr>
          <w:p w14:paraId="78284DDC">
            <w:pPr>
              <w:spacing w:line="400" w:lineRule="exact"/>
              <w:jc w:val="center"/>
              <w:rPr>
                <w:color w:val="auto"/>
                <w:szCs w:val="21"/>
              </w:rPr>
            </w:pPr>
            <w:r>
              <w:rPr>
                <w:color w:val="auto"/>
                <w:szCs w:val="21"/>
              </w:rPr>
              <w:t>表征项目可持续性与回报周期的指标</w:t>
            </w:r>
          </w:p>
        </w:tc>
      </w:tr>
    </w:tbl>
    <w:p w14:paraId="0A1168AE">
      <w:pPr>
        <w:spacing w:line="400" w:lineRule="exact"/>
        <w:ind w:firstLine="480" w:firstLineChars="200"/>
        <w:rPr>
          <w:color w:val="auto"/>
        </w:rPr>
      </w:pPr>
    </w:p>
    <w:p w14:paraId="58E9902F">
      <w:pPr>
        <w:spacing w:line="400" w:lineRule="exact"/>
        <w:ind w:firstLine="480" w:firstLineChars="200"/>
        <w:rPr>
          <w:color w:val="auto"/>
        </w:rPr>
      </w:pPr>
      <w:r>
        <w:rPr>
          <w:color w:val="auto"/>
        </w:rPr>
        <w:t>如表所示明确了投资能力计算的三个关键因子及权重系数，经济效益因子权重最高，为0.45，成本控制因子，为0.35，长期运营因子最低，为0.20。投资能力通过加权求和公式计算得出，该公式综合考虑了三个因子的标准化值，以量化评估投资能力的强弱。随后基于公式，对J电网项目的五个样本投资能力进行了测算。各因子值经标准化处理后，依据对应权重计算出投资能力，并分析各因子对投资能力的贡献度。见表4-6所示。</w:t>
      </w:r>
    </w:p>
    <w:p w14:paraId="134D4507">
      <w:pPr>
        <w:spacing w:line="400" w:lineRule="exact"/>
        <w:jc w:val="center"/>
        <w:rPr>
          <w:color w:val="auto"/>
          <w:szCs w:val="21"/>
        </w:rPr>
      </w:pPr>
      <w:r>
        <w:rPr>
          <w:color w:val="auto"/>
          <w:szCs w:val="21"/>
        </w:rPr>
        <w:t>表4-6 J电网项目投资能力测算结果</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1132"/>
        <w:gridCol w:w="1050"/>
        <w:gridCol w:w="1091"/>
        <w:gridCol w:w="1159"/>
        <w:gridCol w:w="3170"/>
      </w:tblGrid>
      <w:tr w14:paraId="3BC3F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tcBorders>
              <w:top w:val="single" w:color="auto" w:sz="12" w:space="0"/>
              <w:left w:val="nil"/>
              <w:bottom w:val="single" w:color="auto" w:sz="4" w:space="0"/>
              <w:right w:val="nil"/>
            </w:tcBorders>
          </w:tcPr>
          <w:p w14:paraId="165DCAE1">
            <w:pPr>
              <w:spacing w:line="400" w:lineRule="exact"/>
              <w:jc w:val="center"/>
              <w:rPr>
                <w:color w:val="auto"/>
                <w:szCs w:val="21"/>
              </w:rPr>
            </w:pPr>
            <w:r>
              <w:rPr>
                <w:color w:val="auto"/>
                <w:szCs w:val="21"/>
              </w:rPr>
              <w:t>样本</w:t>
            </w:r>
          </w:p>
        </w:tc>
        <w:tc>
          <w:tcPr>
            <w:tcW w:w="1132" w:type="dxa"/>
            <w:tcBorders>
              <w:top w:val="single" w:color="auto" w:sz="12" w:space="0"/>
              <w:left w:val="nil"/>
              <w:bottom w:val="single" w:color="auto" w:sz="4" w:space="0"/>
              <w:right w:val="nil"/>
            </w:tcBorders>
          </w:tcPr>
          <w:p w14:paraId="273CC918">
            <w:pPr>
              <w:spacing w:line="400" w:lineRule="exact"/>
              <w:jc w:val="center"/>
              <w:rPr>
                <w:color w:val="auto"/>
                <w:szCs w:val="21"/>
              </w:rPr>
            </w:pPr>
            <w:r>
              <w:rPr>
                <w:color w:val="auto"/>
                <w:szCs w:val="21"/>
              </w:rPr>
              <w:t>F1值</w:t>
            </w:r>
          </w:p>
        </w:tc>
        <w:tc>
          <w:tcPr>
            <w:tcW w:w="1050" w:type="dxa"/>
            <w:tcBorders>
              <w:top w:val="single" w:color="auto" w:sz="12" w:space="0"/>
              <w:left w:val="nil"/>
              <w:bottom w:val="single" w:color="auto" w:sz="4" w:space="0"/>
              <w:right w:val="nil"/>
            </w:tcBorders>
          </w:tcPr>
          <w:p w14:paraId="61FB6FC3">
            <w:pPr>
              <w:spacing w:line="400" w:lineRule="exact"/>
              <w:jc w:val="center"/>
              <w:rPr>
                <w:color w:val="auto"/>
                <w:szCs w:val="21"/>
              </w:rPr>
            </w:pPr>
            <w:r>
              <w:rPr>
                <w:color w:val="auto"/>
                <w:szCs w:val="21"/>
              </w:rPr>
              <w:t>F2值</w:t>
            </w:r>
          </w:p>
        </w:tc>
        <w:tc>
          <w:tcPr>
            <w:tcW w:w="1091" w:type="dxa"/>
            <w:tcBorders>
              <w:top w:val="single" w:color="auto" w:sz="12" w:space="0"/>
              <w:left w:val="nil"/>
              <w:bottom w:val="single" w:color="auto" w:sz="4" w:space="0"/>
              <w:right w:val="nil"/>
            </w:tcBorders>
          </w:tcPr>
          <w:p w14:paraId="05FB8813">
            <w:pPr>
              <w:spacing w:line="400" w:lineRule="exact"/>
              <w:jc w:val="center"/>
              <w:rPr>
                <w:color w:val="auto"/>
                <w:szCs w:val="21"/>
              </w:rPr>
            </w:pPr>
            <w:r>
              <w:rPr>
                <w:color w:val="auto"/>
                <w:szCs w:val="21"/>
              </w:rPr>
              <w:t>F3值</w:t>
            </w:r>
          </w:p>
        </w:tc>
        <w:tc>
          <w:tcPr>
            <w:tcW w:w="1159" w:type="dxa"/>
            <w:tcBorders>
              <w:top w:val="single" w:color="auto" w:sz="12" w:space="0"/>
              <w:left w:val="nil"/>
              <w:bottom w:val="single" w:color="auto" w:sz="4" w:space="0"/>
              <w:right w:val="nil"/>
            </w:tcBorders>
          </w:tcPr>
          <w:p w14:paraId="1D9FFA86">
            <w:pPr>
              <w:spacing w:line="400" w:lineRule="exact"/>
              <w:jc w:val="center"/>
              <w:rPr>
                <w:color w:val="auto"/>
                <w:szCs w:val="21"/>
              </w:rPr>
            </w:pPr>
            <w:r>
              <w:rPr>
                <w:color w:val="auto"/>
                <w:szCs w:val="21"/>
              </w:rPr>
              <w:t>投资能力</w:t>
            </w:r>
          </w:p>
        </w:tc>
        <w:tc>
          <w:tcPr>
            <w:tcW w:w="3170" w:type="dxa"/>
            <w:tcBorders>
              <w:top w:val="single" w:color="auto" w:sz="12" w:space="0"/>
              <w:left w:val="nil"/>
              <w:bottom w:val="single" w:color="auto" w:sz="4" w:space="0"/>
              <w:right w:val="nil"/>
            </w:tcBorders>
          </w:tcPr>
          <w:p w14:paraId="1D5AB44F">
            <w:pPr>
              <w:spacing w:line="400" w:lineRule="exact"/>
              <w:jc w:val="center"/>
              <w:rPr>
                <w:color w:val="auto"/>
                <w:szCs w:val="21"/>
              </w:rPr>
            </w:pPr>
            <w:r>
              <w:rPr>
                <w:color w:val="auto"/>
                <w:szCs w:val="21"/>
              </w:rPr>
              <w:t>分项贡献度（%）</w:t>
            </w:r>
          </w:p>
        </w:tc>
      </w:tr>
      <w:tr w14:paraId="7CA4B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tcBorders>
              <w:top w:val="single" w:color="auto" w:sz="4" w:space="0"/>
              <w:left w:val="nil"/>
              <w:bottom w:val="nil"/>
              <w:right w:val="nil"/>
            </w:tcBorders>
          </w:tcPr>
          <w:p w14:paraId="679D7A1F">
            <w:pPr>
              <w:spacing w:line="400" w:lineRule="exact"/>
              <w:jc w:val="center"/>
              <w:rPr>
                <w:color w:val="auto"/>
                <w:szCs w:val="21"/>
              </w:rPr>
            </w:pPr>
            <w:r>
              <w:rPr>
                <w:color w:val="auto"/>
                <w:szCs w:val="21"/>
              </w:rPr>
              <w:t>a</w:t>
            </w:r>
          </w:p>
        </w:tc>
        <w:tc>
          <w:tcPr>
            <w:tcW w:w="1132" w:type="dxa"/>
            <w:tcBorders>
              <w:top w:val="single" w:color="auto" w:sz="4" w:space="0"/>
              <w:left w:val="nil"/>
              <w:bottom w:val="nil"/>
              <w:right w:val="nil"/>
            </w:tcBorders>
          </w:tcPr>
          <w:p w14:paraId="1F62D526">
            <w:pPr>
              <w:spacing w:line="400" w:lineRule="exact"/>
              <w:jc w:val="center"/>
              <w:rPr>
                <w:color w:val="auto"/>
                <w:szCs w:val="21"/>
              </w:rPr>
            </w:pPr>
            <w:r>
              <w:rPr>
                <w:color w:val="auto"/>
                <w:szCs w:val="21"/>
              </w:rPr>
              <w:t>0.87</w:t>
            </w:r>
          </w:p>
        </w:tc>
        <w:tc>
          <w:tcPr>
            <w:tcW w:w="1050" w:type="dxa"/>
            <w:tcBorders>
              <w:top w:val="single" w:color="auto" w:sz="4" w:space="0"/>
              <w:left w:val="nil"/>
              <w:bottom w:val="nil"/>
              <w:right w:val="nil"/>
            </w:tcBorders>
          </w:tcPr>
          <w:p w14:paraId="2D97DD23">
            <w:pPr>
              <w:spacing w:line="400" w:lineRule="exact"/>
              <w:jc w:val="center"/>
              <w:rPr>
                <w:color w:val="auto"/>
                <w:szCs w:val="21"/>
              </w:rPr>
            </w:pPr>
            <w:r>
              <w:rPr>
                <w:color w:val="auto"/>
                <w:szCs w:val="21"/>
              </w:rPr>
              <w:t>0.05</w:t>
            </w:r>
          </w:p>
        </w:tc>
        <w:tc>
          <w:tcPr>
            <w:tcW w:w="1091" w:type="dxa"/>
            <w:tcBorders>
              <w:top w:val="single" w:color="auto" w:sz="4" w:space="0"/>
              <w:left w:val="nil"/>
              <w:bottom w:val="nil"/>
              <w:right w:val="nil"/>
            </w:tcBorders>
          </w:tcPr>
          <w:p w14:paraId="360B4262">
            <w:pPr>
              <w:spacing w:line="400" w:lineRule="exact"/>
              <w:jc w:val="center"/>
              <w:rPr>
                <w:color w:val="auto"/>
                <w:szCs w:val="21"/>
              </w:rPr>
            </w:pPr>
            <w:r>
              <w:rPr>
                <w:color w:val="auto"/>
                <w:szCs w:val="21"/>
              </w:rPr>
              <w:t>-0.15</w:t>
            </w:r>
          </w:p>
        </w:tc>
        <w:tc>
          <w:tcPr>
            <w:tcW w:w="1159" w:type="dxa"/>
            <w:tcBorders>
              <w:top w:val="single" w:color="auto" w:sz="4" w:space="0"/>
              <w:left w:val="nil"/>
              <w:bottom w:val="nil"/>
              <w:right w:val="nil"/>
            </w:tcBorders>
          </w:tcPr>
          <w:p w14:paraId="68FE8C0E">
            <w:pPr>
              <w:spacing w:line="400" w:lineRule="exact"/>
              <w:jc w:val="center"/>
              <w:rPr>
                <w:color w:val="auto"/>
                <w:szCs w:val="21"/>
              </w:rPr>
            </w:pPr>
            <w:r>
              <w:rPr>
                <w:color w:val="auto"/>
                <w:szCs w:val="21"/>
              </w:rPr>
              <w:t>0.394</w:t>
            </w:r>
          </w:p>
        </w:tc>
        <w:tc>
          <w:tcPr>
            <w:tcW w:w="3170" w:type="dxa"/>
            <w:tcBorders>
              <w:top w:val="single" w:color="auto" w:sz="4" w:space="0"/>
              <w:left w:val="nil"/>
              <w:bottom w:val="nil"/>
              <w:right w:val="nil"/>
            </w:tcBorders>
          </w:tcPr>
          <w:p w14:paraId="084FE8DB">
            <w:pPr>
              <w:spacing w:line="400" w:lineRule="exact"/>
              <w:jc w:val="center"/>
              <w:rPr>
                <w:color w:val="auto"/>
                <w:szCs w:val="21"/>
              </w:rPr>
            </w:pPr>
            <w:r>
              <w:rPr>
                <w:color w:val="auto"/>
                <w:szCs w:val="21"/>
              </w:rPr>
              <w:t>F1: 98.3%, F2: 0.4%, F3: 1.3%</w:t>
            </w:r>
          </w:p>
        </w:tc>
      </w:tr>
      <w:tr w14:paraId="5EC65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tcBorders>
              <w:top w:val="nil"/>
              <w:left w:val="nil"/>
              <w:bottom w:val="nil"/>
              <w:right w:val="nil"/>
            </w:tcBorders>
          </w:tcPr>
          <w:p w14:paraId="57411C20">
            <w:pPr>
              <w:spacing w:line="400" w:lineRule="exact"/>
              <w:jc w:val="center"/>
              <w:rPr>
                <w:color w:val="auto"/>
                <w:szCs w:val="21"/>
              </w:rPr>
            </w:pPr>
            <w:r>
              <w:rPr>
                <w:color w:val="auto"/>
                <w:szCs w:val="21"/>
              </w:rPr>
              <w:t>b</w:t>
            </w:r>
          </w:p>
        </w:tc>
        <w:tc>
          <w:tcPr>
            <w:tcW w:w="1132" w:type="dxa"/>
            <w:tcBorders>
              <w:top w:val="nil"/>
              <w:left w:val="nil"/>
              <w:bottom w:val="nil"/>
              <w:right w:val="nil"/>
            </w:tcBorders>
          </w:tcPr>
          <w:p w14:paraId="77E0D475">
            <w:pPr>
              <w:spacing w:line="400" w:lineRule="exact"/>
              <w:jc w:val="center"/>
              <w:rPr>
                <w:color w:val="auto"/>
                <w:szCs w:val="21"/>
              </w:rPr>
            </w:pPr>
            <w:r>
              <w:rPr>
                <w:color w:val="auto"/>
                <w:szCs w:val="21"/>
              </w:rPr>
              <w:t>0.75</w:t>
            </w:r>
          </w:p>
        </w:tc>
        <w:tc>
          <w:tcPr>
            <w:tcW w:w="1050" w:type="dxa"/>
            <w:tcBorders>
              <w:top w:val="nil"/>
              <w:left w:val="nil"/>
              <w:bottom w:val="nil"/>
              <w:right w:val="nil"/>
            </w:tcBorders>
          </w:tcPr>
          <w:p w14:paraId="07438EBC">
            <w:pPr>
              <w:spacing w:line="400" w:lineRule="exact"/>
              <w:jc w:val="center"/>
              <w:rPr>
                <w:color w:val="auto"/>
                <w:szCs w:val="21"/>
              </w:rPr>
            </w:pPr>
            <w:r>
              <w:rPr>
                <w:color w:val="auto"/>
                <w:szCs w:val="21"/>
              </w:rPr>
              <w:t>-0.10</w:t>
            </w:r>
          </w:p>
        </w:tc>
        <w:tc>
          <w:tcPr>
            <w:tcW w:w="1091" w:type="dxa"/>
            <w:tcBorders>
              <w:top w:val="nil"/>
              <w:left w:val="nil"/>
              <w:bottom w:val="nil"/>
              <w:right w:val="nil"/>
            </w:tcBorders>
          </w:tcPr>
          <w:p w14:paraId="45C76A15">
            <w:pPr>
              <w:spacing w:line="400" w:lineRule="exact"/>
              <w:jc w:val="center"/>
              <w:rPr>
                <w:color w:val="auto"/>
                <w:szCs w:val="21"/>
              </w:rPr>
            </w:pPr>
            <w:r>
              <w:rPr>
                <w:color w:val="auto"/>
                <w:szCs w:val="21"/>
              </w:rPr>
              <w:t>-0.20</w:t>
            </w:r>
          </w:p>
        </w:tc>
        <w:tc>
          <w:tcPr>
            <w:tcW w:w="1159" w:type="dxa"/>
            <w:tcBorders>
              <w:top w:val="nil"/>
              <w:left w:val="nil"/>
              <w:bottom w:val="nil"/>
              <w:right w:val="nil"/>
            </w:tcBorders>
          </w:tcPr>
          <w:p w14:paraId="0E3D92C8">
            <w:pPr>
              <w:spacing w:line="400" w:lineRule="exact"/>
              <w:jc w:val="center"/>
              <w:rPr>
                <w:color w:val="auto"/>
                <w:szCs w:val="21"/>
              </w:rPr>
            </w:pPr>
            <w:r>
              <w:rPr>
                <w:color w:val="auto"/>
                <w:szCs w:val="21"/>
              </w:rPr>
              <w:t>0.298</w:t>
            </w:r>
          </w:p>
        </w:tc>
        <w:tc>
          <w:tcPr>
            <w:tcW w:w="3170" w:type="dxa"/>
            <w:tcBorders>
              <w:top w:val="nil"/>
              <w:left w:val="nil"/>
              <w:bottom w:val="nil"/>
              <w:right w:val="nil"/>
            </w:tcBorders>
          </w:tcPr>
          <w:p w14:paraId="6B34AC64">
            <w:pPr>
              <w:spacing w:line="400" w:lineRule="exact"/>
              <w:jc w:val="center"/>
              <w:rPr>
                <w:color w:val="auto"/>
                <w:szCs w:val="21"/>
              </w:rPr>
            </w:pPr>
            <w:r>
              <w:rPr>
                <w:color w:val="auto"/>
                <w:szCs w:val="21"/>
              </w:rPr>
              <w:t>F1: 95.7%, F2: -1.2%, F3: 5.5%</w:t>
            </w:r>
          </w:p>
        </w:tc>
      </w:tr>
      <w:tr w14:paraId="75377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tcBorders>
              <w:top w:val="nil"/>
              <w:left w:val="nil"/>
              <w:bottom w:val="nil"/>
              <w:right w:val="nil"/>
            </w:tcBorders>
          </w:tcPr>
          <w:p w14:paraId="7A4AE1C8">
            <w:pPr>
              <w:spacing w:line="400" w:lineRule="exact"/>
              <w:jc w:val="center"/>
              <w:rPr>
                <w:color w:val="auto"/>
                <w:szCs w:val="21"/>
              </w:rPr>
            </w:pPr>
            <w:r>
              <w:rPr>
                <w:color w:val="auto"/>
                <w:szCs w:val="21"/>
              </w:rPr>
              <w:t>c</w:t>
            </w:r>
          </w:p>
        </w:tc>
        <w:tc>
          <w:tcPr>
            <w:tcW w:w="1132" w:type="dxa"/>
            <w:tcBorders>
              <w:top w:val="nil"/>
              <w:left w:val="nil"/>
              <w:bottom w:val="nil"/>
              <w:right w:val="nil"/>
            </w:tcBorders>
          </w:tcPr>
          <w:p w14:paraId="25C49FE8">
            <w:pPr>
              <w:spacing w:line="400" w:lineRule="exact"/>
              <w:jc w:val="center"/>
              <w:rPr>
                <w:color w:val="auto"/>
                <w:szCs w:val="21"/>
              </w:rPr>
            </w:pPr>
            <w:r>
              <w:rPr>
                <w:color w:val="auto"/>
                <w:szCs w:val="21"/>
              </w:rPr>
              <w:t>0.90</w:t>
            </w:r>
          </w:p>
        </w:tc>
        <w:tc>
          <w:tcPr>
            <w:tcW w:w="1050" w:type="dxa"/>
            <w:tcBorders>
              <w:top w:val="nil"/>
              <w:left w:val="nil"/>
              <w:bottom w:val="nil"/>
              <w:right w:val="nil"/>
            </w:tcBorders>
          </w:tcPr>
          <w:p w14:paraId="033750A4">
            <w:pPr>
              <w:spacing w:line="400" w:lineRule="exact"/>
              <w:jc w:val="center"/>
              <w:rPr>
                <w:color w:val="auto"/>
                <w:szCs w:val="21"/>
              </w:rPr>
            </w:pPr>
            <w:r>
              <w:rPr>
                <w:color w:val="auto"/>
                <w:szCs w:val="21"/>
              </w:rPr>
              <w:t>0.12</w:t>
            </w:r>
          </w:p>
        </w:tc>
        <w:tc>
          <w:tcPr>
            <w:tcW w:w="1091" w:type="dxa"/>
            <w:tcBorders>
              <w:top w:val="nil"/>
              <w:left w:val="nil"/>
              <w:bottom w:val="nil"/>
              <w:right w:val="nil"/>
            </w:tcBorders>
          </w:tcPr>
          <w:p w14:paraId="7C1D5062">
            <w:pPr>
              <w:spacing w:line="400" w:lineRule="exact"/>
              <w:jc w:val="center"/>
              <w:rPr>
                <w:color w:val="auto"/>
                <w:szCs w:val="21"/>
              </w:rPr>
            </w:pPr>
            <w:r>
              <w:rPr>
                <w:color w:val="auto"/>
                <w:szCs w:val="21"/>
              </w:rPr>
              <w:t>0.05</w:t>
            </w:r>
          </w:p>
        </w:tc>
        <w:tc>
          <w:tcPr>
            <w:tcW w:w="1159" w:type="dxa"/>
            <w:tcBorders>
              <w:top w:val="nil"/>
              <w:left w:val="nil"/>
              <w:bottom w:val="nil"/>
              <w:right w:val="nil"/>
            </w:tcBorders>
          </w:tcPr>
          <w:p w14:paraId="0BA1B146">
            <w:pPr>
              <w:spacing w:line="400" w:lineRule="exact"/>
              <w:jc w:val="center"/>
              <w:rPr>
                <w:color w:val="auto"/>
                <w:szCs w:val="21"/>
              </w:rPr>
            </w:pPr>
            <w:r>
              <w:rPr>
                <w:color w:val="auto"/>
                <w:szCs w:val="21"/>
              </w:rPr>
              <w:t>0.492</w:t>
            </w:r>
          </w:p>
        </w:tc>
        <w:tc>
          <w:tcPr>
            <w:tcW w:w="3170" w:type="dxa"/>
            <w:tcBorders>
              <w:top w:val="nil"/>
              <w:left w:val="nil"/>
              <w:bottom w:val="nil"/>
              <w:right w:val="nil"/>
            </w:tcBorders>
          </w:tcPr>
          <w:p w14:paraId="551A8399">
            <w:pPr>
              <w:spacing w:line="400" w:lineRule="exact"/>
              <w:jc w:val="center"/>
              <w:rPr>
                <w:color w:val="auto"/>
                <w:szCs w:val="21"/>
              </w:rPr>
            </w:pPr>
            <w:r>
              <w:rPr>
                <w:color w:val="auto"/>
                <w:szCs w:val="21"/>
              </w:rPr>
              <w:t>F1: 82.1%, F2: 8.6%, F3: 9.3%</w:t>
            </w:r>
          </w:p>
        </w:tc>
      </w:tr>
      <w:tr w14:paraId="36330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tcBorders>
              <w:top w:val="nil"/>
              <w:left w:val="nil"/>
              <w:bottom w:val="nil"/>
              <w:right w:val="nil"/>
            </w:tcBorders>
          </w:tcPr>
          <w:p w14:paraId="6B951FB8">
            <w:pPr>
              <w:spacing w:line="400" w:lineRule="exact"/>
              <w:jc w:val="center"/>
              <w:rPr>
                <w:color w:val="auto"/>
                <w:szCs w:val="21"/>
              </w:rPr>
            </w:pPr>
            <w:r>
              <w:rPr>
                <w:color w:val="auto"/>
                <w:szCs w:val="21"/>
              </w:rPr>
              <w:t>d</w:t>
            </w:r>
          </w:p>
        </w:tc>
        <w:tc>
          <w:tcPr>
            <w:tcW w:w="1132" w:type="dxa"/>
            <w:tcBorders>
              <w:top w:val="nil"/>
              <w:left w:val="nil"/>
              <w:bottom w:val="nil"/>
              <w:right w:val="nil"/>
            </w:tcBorders>
          </w:tcPr>
          <w:p w14:paraId="52EEC09E">
            <w:pPr>
              <w:spacing w:line="400" w:lineRule="exact"/>
              <w:jc w:val="center"/>
              <w:rPr>
                <w:color w:val="auto"/>
                <w:szCs w:val="21"/>
              </w:rPr>
            </w:pPr>
            <w:r>
              <w:rPr>
                <w:color w:val="auto"/>
                <w:szCs w:val="21"/>
              </w:rPr>
              <w:t>0.85</w:t>
            </w:r>
          </w:p>
        </w:tc>
        <w:tc>
          <w:tcPr>
            <w:tcW w:w="1050" w:type="dxa"/>
            <w:tcBorders>
              <w:top w:val="nil"/>
              <w:left w:val="nil"/>
              <w:bottom w:val="nil"/>
              <w:right w:val="nil"/>
            </w:tcBorders>
          </w:tcPr>
          <w:p w14:paraId="2C604118">
            <w:pPr>
              <w:spacing w:line="400" w:lineRule="exact"/>
              <w:jc w:val="center"/>
              <w:rPr>
                <w:color w:val="auto"/>
                <w:szCs w:val="21"/>
              </w:rPr>
            </w:pPr>
            <w:r>
              <w:rPr>
                <w:color w:val="auto"/>
                <w:szCs w:val="21"/>
              </w:rPr>
              <w:t>0.02</w:t>
            </w:r>
          </w:p>
        </w:tc>
        <w:tc>
          <w:tcPr>
            <w:tcW w:w="1091" w:type="dxa"/>
            <w:tcBorders>
              <w:top w:val="nil"/>
              <w:left w:val="nil"/>
              <w:bottom w:val="nil"/>
              <w:right w:val="nil"/>
            </w:tcBorders>
          </w:tcPr>
          <w:p w14:paraId="03AE0B71">
            <w:pPr>
              <w:spacing w:line="400" w:lineRule="exact"/>
              <w:jc w:val="center"/>
              <w:rPr>
                <w:color w:val="auto"/>
                <w:szCs w:val="21"/>
              </w:rPr>
            </w:pPr>
            <w:r>
              <w:rPr>
                <w:color w:val="auto"/>
                <w:szCs w:val="21"/>
              </w:rPr>
              <w:t>-0.18</w:t>
            </w:r>
          </w:p>
        </w:tc>
        <w:tc>
          <w:tcPr>
            <w:tcW w:w="1159" w:type="dxa"/>
            <w:tcBorders>
              <w:top w:val="nil"/>
              <w:left w:val="nil"/>
              <w:bottom w:val="nil"/>
              <w:right w:val="nil"/>
            </w:tcBorders>
          </w:tcPr>
          <w:p w14:paraId="46F999BC">
            <w:pPr>
              <w:spacing w:line="400" w:lineRule="exact"/>
              <w:jc w:val="center"/>
              <w:rPr>
                <w:color w:val="auto"/>
                <w:szCs w:val="21"/>
              </w:rPr>
            </w:pPr>
            <w:r>
              <w:rPr>
                <w:color w:val="auto"/>
                <w:szCs w:val="21"/>
              </w:rPr>
              <w:t>0.372</w:t>
            </w:r>
          </w:p>
        </w:tc>
        <w:tc>
          <w:tcPr>
            <w:tcW w:w="3170" w:type="dxa"/>
            <w:tcBorders>
              <w:top w:val="nil"/>
              <w:left w:val="nil"/>
              <w:bottom w:val="nil"/>
              <w:right w:val="nil"/>
            </w:tcBorders>
          </w:tcPr>
          <w:p w14:paraId="708B9729">
            <w:pPr>
              <w:spacing w:line="400" w:lineRule="exact"/>
              <w:jc w:val="center"/>
              <w:rPr>
                <w:color w:val="auto"/>
                <w:szCs w:val="21"/>
              </w:rPr>
            </w:pPr>
            <w:r>
              <w:rPr>
                <w:color w:val="auto"/>
                <w:szCs w:val="21"/>
              </w:rPr>
              <w:t>F1: 97.6%, F2: 0.2%, F3: 2.2%</w:t>
            </w:r>
          </w:p>
        </w:tc>
      </w:tr>
      <w:tr w14:paraId="0E56A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tcBorders>
              <w:top w:val="nil"/>
              <w:left w:val="nil"/>
              <w:bottom w:val="single" w:color="auto" w:sz="12" w:space="0"/>
              <w:right w:val="nil"/>
            </w:tcBorders>
          </w:tcPr>
          <w:p w14:paraId="5E834639">
            <w:pPr>
              <w:spacing w:line="400" w:lineRule="exact"/>
              <w:jc w:val="center"/>
              <w:rPr>
                <w:color w:val="auto"/>
                <w:szCs w:val="21"/>
              </w:rPr>
            </w:pPr>
            <w:r>
              <w:rPr>
                <w:color w:val="auto"/>
                <w:szCs w:val="21"/>
              </w:rPr>
              <w:t>e</w:t>
            </w:r>
          </w:p>
        </w:tc>
        <w:tc>
          <w:tcPr>
            <w:tcW w:w="1132" w:type="dxa"/>
            <w:tcBorders>
              <w:top w:val="nil"/>
              <w:left w:val="nil"/>
              <w:bottom w:val="single" w:color="auto" w:sz="12" w:space="0"/>
              <w:right w:val="nil"/>
            </w:tcBorders>
          </w:tcPr>
          <w:p w14:paraId="6D29E068">
            <w:pPr>
              <w:spacing w:line="400" w:lineRule="exact"/>
              <w:jc w:val="center"/>
              <w:rPr>
                <w:color w:val="auto"/>
                <w:szCs w:val="21"/>
              </w:rPr>
            </w:pPr>
            <w:r>
              <w:rPr>
                <w:color w:val="auto"/>
                <w:szCs w:val="21"/>
              </w:rPr>
              <w:t>0.78</w:t>
            </w:r>
          </w:p>
        </w:tc>
        <w:tc>
          <w:tcPr>
            <w:tcW w:w="1050" w:type="dxa"/>
            <w:tcBorders>
              <w:top w:val="nil"/>
              <w:left w:val="nil"/>
              <w:bottom w:val="single" w:color="auto" w:sz="12" w:space="0"/>
              <w:right w:val="nil"/>
            </w:tcBorders>
          </w:tcPr>
          <w:p w14:paraId="7A92DE9A">
            <w:pPr>
              <w:spacing w:line="400" w:lineRule="exact"/>
              <w:jc w:val="center"/>
              <w:rPr>
                <w:color w:val="auto"/>
                <w:szCs w:val="21"/>
              </w:rPr>
            </w:pPr>
            <w:r>
              <w:rPr>
                <w:color w:val="auto"/>
                <w:szCs w:val="21"/>
              </w:rPr>
              <w:t>-0.08</w:t>
            </w:r>
          </w:p>
        </w:tc>
        <w:tc>
          <w:tcPr>
            <w:tcW w:w="1091" w:type="dxa"/>
            <w:tcBorders>
              <w:top w:val="nil"/>
              <w:left w:val="nil"/>
              <w:bottom w:val="single" w:color="auto" w:sz="12" w:space="0"/>
              <w:right w:val="nil"/>
            </w:tcBorders>
          </w:tcPr>
          <w:p w14:paraId="6F72BEA4">
            <w:pPr>
              <w:spacing w:line="400" w:lineRule="exact"/>
              <w:jc w:val="center"/>
              <w:rPr>
                <w:color w:val="auto"/>
                <w:szCs w:val="21"/>
              </w:rPr>
            </w:pPr>
            <w:r>
              <w:rPr>
                <w:color w:val="auto"/>
                <w:szCs w:val="21"/>
              </w:rPr>
              <w:t>-0.22</w:t>
            </w:r>
          </w:p>
        </w:tc>
        <w:tc>
          <w:tcPr>
            <w:tcW w:w="1159" w:type="dxa"/>
            <w:tcBorders>
              <w:top w:val="nil"/>
              <w:left w:val="nil"/>
              <w:bottom w:val="single" w:color="auto" w:sz="12" w:space="0"/>
              <w:right w:val="nil"/>
            </w:tcBorders>
          </w:tcPr>
          <w:p w14:paraId="20088DCB">
            <w:pPr>
              <w:spacing w:line="400" w:lineRule="exact"/>
              <w:jc w:val="center"/>
              <w:rPr>
                <w:color w:val="auto"/>
                <w:szCs w:val="21"/>
              </w:rPr>
            </w:pPr>
            <w:r>
              <w:rPr>
                <w:color w:val="auto"/>
                <w:szCs w:val="21"/>
              </w:rPr>
              <w:t>0.281</w:t>
            </w:r>
          </w:p>
        </w:tc>
        <w:tc>
          <w:tcPr>
            <w:tcW w:w="3170" w:type="dxa"/>
            <w:tcBorders>
              <w:top w:val="nil"/>
              <w:left w:val="nil"/>
              <w:bottom w:val="single" w:color="auto" w:sz="12" w:space="0"/>
              <w:right w:val="nil"/>
            </w:tcBorders>
          </w:tcPr>
          <w:p w14:paraId="03347419">
            <w:pPr>
              <w:spacing w:line="400" w:lineRule="exact"/>
              <w:jc w:val="center"/>
              <w:rPr>
                <w:color w:val="auto"/>
                <w:szCs w:val="21"/>
              </w:rPr>
            </w:pPr>
            <w:r>
              <w:rPr>
                <w:color w:val="auto"/>
                <w:szCs w:val="21"/>
              </w:rPr>
              <w:t>F1: 94.2%, F2: -1.0%, F3: 6.8%</w:t>
            </w:r>
          </w:p>
        </w:tc>
      </w:tr>
    </w:tbl>
    <w:p w14:paraId="2CE8C5F5">
      <w:pPr>
        <w:spacing w:line="400" w:lineRule="exact"/>
        <w:rPr>
          <w:color w:val="auto"/>
        </w:rPr>
      </w:pPr>
      <w:r>
        <w:rPr>
          <w:color w:val="auto"/>
        </w:rPr>
        <w:t>注：单位：标准化指数，范围0-1，数值越大表示投资能力越强</w:t>
      </w:r>
    </w:p>
    <w:p w14:paraId="78FF1F24">
      <w:pPr>
        <w:spacing w:line="400" w:lineRule="exact"/>
        <w:ind w:firstLine="480" w:firstLineChars="200"/>
        <w:rPr>
          <w:color w:val="auto"/>
        </w:rPr>
      </w:pPr>
      <w:r>
        <w:rPr>
          <w:color w:val="auto"/>
        </w:rPr>
        <w:t>从投资能力来看，样本c最高，为0.492，表明其综合表现最优。样本b最低，为0.298。具体分析各因子贡献度，样本a和d的经济效益因子贡献度极高，均超97%，是投资能力的主要驱动力。样本c的经济效益因子贡献度相对较低，为82.1%，但成本控制和长期运营因子贡献度较高，分别为8.6%和9.3%，这表明其在多个方面表现均衡，共同促成了较高的投资能力。而样本b和e的经济效益因子贡献度也很高，但成本控制因子出现负贡献，这在一定程度上削弱了投资能力</w:t>
      </w:r>
    </w:p>
    <w:p w14:paraId="6E5AB1CB">
      <w:pPr>
        <w:spacing w:line="400" w:lineRule="exact"/>
        <w:ind w:firstLine="480" w:firstLineChars="200"/>
        <w:rPr>
          <w:color w:val="auto"/>
        </w:rPr>
      </w:pPr>
      <w:r>
        <w:rPr>
          <w:color w:val="auto"/>
        </w:rPr>
        <w:t>为验证模型的预测准确性，本文通过对比模型测算结果与实际观测值（基于J电网2017-2020年同类项目历史数据），对随机森林（RF）和XGBoost算法的性能进行了定量评估。如图4-4所示，均方误差（MSE）为0.0012，极低的数值表明模型预测值与实际观测值之间的偏差非常小，预测结果具有很高的可靠性。平均绝对误差（MAE）为0.028，进一步验证了模型在预测过程中的稳定性，其误差幅度微乎其微。决定系数（R²）达到了0.965，接近于1，说明模型能够解释绝大部分的数据变异，对数据的拟合程度极高，几乎可以完美地还原数据的真实趋势。因此综合表明，模型在预测任务中表现优异，无论是从误差控制还是从拟合效果来看，都具备很强的实用性和准确性。</w:t>
      </w:r>
    </w:p>
    <w:p w14:paraId="2863B38E">
      <w:pPr>
        <w:tabs>
          <w:tab w:val="left" w:pos="718"/>
        </w:tabs>
        <w:spacing w:line="400" w:lineRule="exact"/>
        <w:ind w:firstLine="480" w:firstLineChars="200"/>
        <w:jc w:val="center"/>
        <w:rPr>
          <w:color w:val="auto"/>
        </w:rPr>
      </w:pPr>
      <w:r>
        <w:rPr>
          <w:color w:val="auto"/>
        </w:rPr>
        <w:drawing>
          <wp:inline distT="0" distB="0" distL="114300" distR="114300">
            <wp:extent cx="4723765" cy="2305050"/>
            <wp:effectExtent l="0" t="0" r="635" b="0"/>
            <wp:docPr id="5" name="图片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
                    <pic:cNvPicPr>
                      <a:picLocks noChangeAspect="1"/>
                    </pic:cNvPicPr>
                  </pic:nvPicPr>
                  <pic:blipFill>
                    <a:blip r:embed="rId17"/>
                    <a:stretch>
                      <a:fillRect/>
                    </a:stretch>
                  </pic:blipFill>
                  <pic:spPr>
                    <a:xfrm>
                      <a:off x="0" y="0"/>
                      <a:ext cx="4723765" cy="2305050"/>
                    </a:xfrm>
                    <a:prstGeom prst="rect">
                      <a:avLst/>
                    </a:prstGeom>
                  </pic:spPr>
                </pic:pic>
              </a:graphicData>
            </a:graphic>
          </wp:inline>
        </w:drawing>
      </w:r>
    </w:p>
    <w:p w14:paraId="642E4268">
      <w:pPr>
        <w:tabs>
          <w:tab w:val="left" w:pos="718"/>
        </w:tabs>
        <w:spacing w:line="400" w:lineRule="exact"/>
        <w:ind w:firstLine="480" w:firstLineChars="200"/>
        <w:jc w:val="center"/>
        <w:rPr>
          <w:color w:val="auto"/>
          <w:szCs w:val="21"/>
        </w:rPr>
      </w:pPr>
      <w:r>
        <w:rPr>
          <w:color w:val="auto"/>
          <w:szCs w:val="21"/>
        </w:rPr>
        <w:t>图4-3模型性能评估结果</w:t>
      </w:r>
    </w:p>
    <w:p w14:paraId="5DB68BA3">
      <w:pPr>
        <w:spacing w:line="400" w:lineRule="exact"/>
        <w:ind w:firstLine="480" w:firstLineChars="200"/>
        <w:rPr>
          <w:color w:val="auto"/>
        </w:rPr>
      </w:pPr>
      <w:r>
        <w:rPr>
          <w:color w:val="auto"/>
        </w:rPr>
        <w:t>接着基于J电网2017-2020年同类项目数据（注：部分数据暂不可公开因此本文只体现2017-2020年），对历史投资能力进行对比分析，观察各年平均因子值和平均投资能力的变化趋势，进一步了解J电网项目投资能力的演变情况。见表4-7所示。</w:t>
      </w:r>
    </w:p>
    <w:p w14:paraId="3F17CFB8">
      <w:pPr>
        <w:spacing w:line="400" w:lineRule="exact"/>
        <w:jc w:val="center"/>
        <w:rPr>
          <w:color w:val="auto"/>
          <w:szCs w:val="21"/>
        </w:rPr>
      </w:pPr>
      <w:r>
        <w:rPr>
          <w:color w:val="auto"/>
          <w:szCs w:val="21"/>
        </w:rPr>
        <w:t>表4-7 历史投资能力对比分析</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1282"/>
        <w:gridCol w:w="1336"/>
        <w:gridCol w:w="1418"/>
        <w:gridCol w:w="1773"/>
        <w:gridCol w:w="1793"/>
      </w:tblGrid>
      <w:tr w14:paraId="74E7E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tcBorders>
              <w:top w:val="single" w:color="auto" w:sz="12" w:space="0"/>
              <w:left w:val="nil"/>
              <w:bottom w:val="single" w:color="auto" w:sz="4" w:space="0"/>
              <w:right w:val="nil"/>
            </w:tcBorders>
          </w:tcPr>
          <w:p w14:paraId="0F88A814">
            <w:pPr>
              <w:spacing w:line="400" w:lineRule="exact"/>
              <w:jc w:val="center"/>
              <w:rPr>
                <w:color w:val="auto"/>
                <w:szCs w:val="21"/>
              </w:rPr>
            </w:pPr>
            <w:r>
              <w:rPr>
                <w:color w:val="auto"/>
                <w:szCs w:val="21"/>
              </w:rPr>
              <w:t>年份</w:t>
            </w:r>
          </w:p>
        </w:tc>
        <w:tc>
          <w:tcPr>
            <w:tcW w:w="1282" w:type="dxa"/>
            <w:tcBorders>
              <w:top w:val="single" w:color="auto" w:sz="12" w:space="0"/>
              <w:left w:val="nil"/>
              <w:bottom w:val="single" w:color="auto" w:sz="4" w:space="0"/>
              <w:right w:val="nil"/>
            </w:tcBorders>
          </w:tcPr>
          <w:p w14:paraId="08A4BFC4">
            <w:pPr>
              <w:spacing w:line="400" w:lineRule="exact"/>
              <w:jc w:val="center"/>
              <w:rPr>
                <w:color w:val="auto"/>
                <w:szCs w:val="21"/>
              </w:rPr>
            </w:pPr>
            <w:r>
              <w:rPr>
                <w:color w:val="auto"/>
                <w:szCs w:val="21"/>
              </w:rPr>
              <w:t>平均F1值</w:t>
            </w:r>
          </w:p>
        </w:tc>
        <w:tc>
          <w:tcPr>
            <w:tcW w:w="1336" w:type="dxa"/>
            <w:tcBorders>
              <w:top w:val="single" w:color="auto" w:sz="12" w:space="0"/>
              <w:left w:val="nil"/>
              <w:bottom w:val="single" w:color="auto" w:sz="4" w:space="0"/>
              <w:right w:val="nil"/>
            </w:tcBorders>
          </w:tcPr>
          <w:p w14:paraId="335D7408">
            <w:pPr>
              <w:spacing w:line="400" w:lineRule="exact"/>
              <w:jc w:val="center"/>
              <w:rPr>
                <w:color w:val="auto"/>
                <w:szCs w:val="21"/>
              </w:rPr>
            </w:pPr>
            <w:r>
              <w:rPr>
                <w:color w:val="auto"/>
                <w:szCs w:val="21"/>
              </w:rPr>
              <w:t>平均F2值</w:t>
            </w:r>
          </w:p>
        </w:tc>
        <w:tc>
          <w:tcPr>
            <w:tcW w:w="1418" w:type="dxa"/>
            <w:tcBorders>
              <w:top w:val="single" w:color="auto" w:sz="12" w:space="0"/>
              <w:left w:val="nil"/>
              <w:bottom w:val="single" w:color="auto" w:sz="4" w:space="0"/>
              <w:right w:val="nil"/>
            </w:tcBorders>
          </w:tcPr>
          <w:p w14:paraId="233928BB">
            <w:pPr>
              <w:spacing w:line="400" w:lineRule="exact"/>
              <w:jc w:val="center"/>
              <w:rPr>
                <w:color w:val="auto"/>
                <w:szCs w:val="21"/>
              </w:rPr>
            </w:pPr>
            <w:r>
              <w:rPr>
                <w:color w:val="auto"/>
                <w:szCs w:val="21"/>
              </w:rPr>
              <w:t>平均F3值</w:t>
            </w:r>
          </w:p>
        </w:tc>
        <w:tc>
          <w:tcPr>
            <w:tcW w:w="1773" w:type="dxa"/>
            <w:tcBorders>
              <w:top w:val="single" w:color="auto" w:sz="12" w:space="0"/>
              <w:left w:val="nil"/>
              <w:bottom w:val="single" w:color="auto" w:sz="4" w:space="0"/>
              <w:right w:val="nil"/>
            </w:tcBorders>
          </w:tcPr>
          <w:p w14:paraId="62DC4EE5">
            <w:pPr>
              <w:spacing w:line="400" w:lineRule="exact"/>
              <w:jc w:val="center"/>
              <w:rPr>
                <w:color w:val="auto"/>
                <w:szCs w:val="21"/>
              </w:rPr>
            </w:pPr>
            <w:r>
              <w:rPr>
                <w:color w:val="auto"/>
                <w:szCs w:val="21"/>
              </w:rPr>
              <w:t>平均投资能力</w:t>
            </w:r>
          </w:p>
        </w:tc>
        <w:tc>
          <w:tcPr>
            <w:tcW w:w="1793" w:type="dxa"/>
            <w:tcBorders>
              <w:top w:val="single" w:color="auto" w:sz="12" w:space="0"/>
              <w:left w:val="nil"/>
              <w:bottom w:val="single" w:color="auto" w:sz="4" w:space="0"/>
              <w:right w:val="nil"/>
            </w:tcBorders>
          </w:tcPr>
          <w:p w14:paraId="38CB938A">
            <w:pPr>
              <w:spacing w:line="400" w:lineRule="exact"/>
              <w:jc w:val="center"/>
              <w:rPr>
                <w:color w:val="auto"/>
                <w:szCs w:val="21"/>
              </w:rPr>
            </w:pPr>
            <w:r>
              <w:rPr>
                <w:color w:val="auto"/>
                <w:szCs w:val="21"/>
              </w:rPr>
              <w:t>年度排名（1-5）</w:t>
            </w:r>
          </w:p>
        </w:tc>
      </w:tr>
      <w:tr w14:paraId="36F3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tcBorders>
              <w:top w:val="single" w:color="auto" w:sz="4" w:space="0"/>
              <w:left w:val="nil"/>
              <w:bottom w:val="nil"/>
              <w:right w:val="nil"/>
            </w:tcBorders>
          </w:tcPr>
          <w:p w14:paraId="7EC7EF25">
            <w:pPr>
              <w:spacing w:line="400" w:lineRule="exact"/>
              <w:jc w:val="center"/>
              <w:rPr>
                <w:color w:val="auto"/>
                <w:szCs w:val="21"/>
              </w:rPr>
            </w:pPr>
            <w:r>
              <w:rPr>
                <w:color w:val="auto"/>
                <w:szCs w:val="21"/>
              </w:rPr>
              <w:t>2017</w:t>
            </w:r>
          </w:p>
        </w:tc>
        <w:tc>
          <w:tcPr>
            <w:tcW w:w="1282" w:type="dxa"/>
            <w:tcBorders>
              <w:top w:val="single" w:color="auto" w:sz="4" w:space="0"/>
              <w:left w:val="nil"/>
              <w:bottom w:val="nil"/>
              <w:right w:val="nil"/>
            </w:tcBorders>
          </w:tcPr>
          <w:p w14:paraId="572E62D7">
            <w:pPr>
              <w:spacing w:line="400" w:lineRule="exact"/>
              <w:jc w:val="center"/>
              <w:rPr>
                <w:color w:val="auto"/>
                <w:szCs w:val="21"/>
              </w:rPr>
            </w:pPr>
            <w:r>
              <w:rPr>
                <w:color w:val="auto"/>
                <w:szCs w:val="21"/>
              </w:rPr>
              <w:t>0.72</w:t>
            </w:r>
          </w:p>
        </w:tc>
        <w:tc>
          <w:tcPr>
            <w:tcW w:w="1336" w:type="dxa"/>
            <w:tcBorders>
              <w:top w:val="single" w:color="auto" w:sz="4" w:space="0"/>
              <w:left w:val="nil"/>
              <w:bottom w:val="nil"/>
              <w:right w:val="nil"/>
            </w:tcBorders>
          </w:tcPr>
          <w:p w14:paraId="2992AA73">
            <w:pPr>
              <w:spacing w:line="400" w:lineRule="exact"/>
              <w:jc w:val="center"/>
              <w:rPr>
                <w:color w:val="auto"/>
                <w:szCs w:val="21"/>
              </w:rPr>
            </w:pPr>
            <w:r>
              <w:rPr>
                <w:color w:val="auto"/>
                <w:szCs w:val="21"/>
              </w:rPr>
              <w:t>-0.15</w:t>
            </w:r>
          </w:p>
        </w:tc>
        <w:tc>
          <w:tcPr>
            <w:tcW w:w="1418" w:type="dxa"/>
            <w:tcBorders>
              <w:top w:val="single" w:color="auto" w:sz="4" w:space="0"/>
              <w:left w:val="nil"/>
              <w:bottom w:val="nil"/>
              <w:right w:val="nil"/>
            </w:tcBorders>
          </w:tcPr>
          <w:p w14:paraId="7AA1B72B">
            <w:pPr>
              <w:spacing w:line="400" w:lineRule="exact"/>
              <w:jc w:val="center"/>
              <w:rPr>
                <w:color w:val="auto"/>
                <w:szCs w:val="21"/>
              </w:rPr>
            </w:pPr>
            <w:r>
              <w:rPr>
                <w:color w:val="auto"/>
                <w:szCs w:val="21"/>
              </w:rPr>
              <w:t>-0.25</w:t>
            </w:r>
          </w:p>
        </w:tc>
        <w:tc>
          <w:tcPr>
            <w:tcW w:w="1773" w:type="dxa"/>
            <w:tcBorders>
              <w:top w:val="single" w:color="auto" w:sz="4" w:space="0"/>
              <w:left w:val="nil"/>
              <w:bottom w:val="nil"/>
              <w:right w:val="nil"/>
            </w:tcBorders>
          </w:tcPr>
          <w:p w14:paraId="28FCF212">
            <w:pPr>
              <w:spacing w:line="400" w:lineRule="exact"/>
              <w:jc w:val="center"/>
              <w:rPr>
                <w:color w:val="auto"/>
                <w:szCs w:val="21"/>
              </w:rPr>
            </w:pPr>
            <w:r>
              <w:rPr>
                <w:color w:val="auto"/>
                <w:szCs w:val="21"/>
              </w:rPr>
              <w:t>0.25</w:t>
            </w:r>
          </w:p>
        </w:tc>
        <w:tc>
          <w:tcPr>
            <w:tcW w:w="1793" w:type="dxa"/>
            <w:tcBorders>
              <w:top w:val="single" w:color="auto" w:sz="4" w:space="0"/>
              <w:left w:val="nil"/>
              <w:bottom w:val="nil"/>
              <w:right w:val="nil"/>
            </w:tcBorders>
          </w:tcPr>
          <w:p w14:paraId="0ADF635A">
            <w:pPr>
              <w:spacing w:line="400" w:lineRule="exact"/>
              <w:jc w:val="center"/>
              <w:rPr>
                <w:color w:val="auto"/>
                <w:szCs w:val="21"/>
              </w:rPr>
            </w:pPr>
            <w:r>
              <w:rPr>
                <w:color w:val="auto"/>
                <w:szCs w:val="21"/>
              </w:rPr>
              <w:t>5</w:t>
            </w:r>
          </w:p>
        </w:tc>
      </w:tr>
      <w:tr w14:paraId="0E4F5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tcBorders>
              <w:top w:val="nil"/>
              <w:left w:val="nil"/>
              <w:bottom w:val="nil"/>
              <w:right w:val="nil"/>
            </w:tcBorders>
          </w:tcPr>
          <w:p w14:paraId="27300BCF">
            <w:pPr>
              <w:spacing w:line="400" w:lineRule="exact"/>
              <w:jc w:val="center"/>
              <w:rPr>
                <w:color w:val="auto"/>
                <w:szCs w:val="21"/>
              </w:rPr>
            </w:pPr>
            <w:r>
              <w:rPr>
                <w:color w:val="auto"/>
                <w:szCs w:val="21"/>
              </w:rPr>
              <w:t>2018</w:t>
            </w:r>
          </w:p>
        </w:tc>
        <w:tc>
          <w:tcPr>
            <w:tcW w:w="1282" w:type="dxa"/>
            <w:tcBorders>
              <w:top w:val="nil"/>
              <w:left w:val="nil"/>
              <w:bottom w:val="nil"/>
              <w:right w:val="nil"/>
            </w:tcBorders>
          </w:tcPr>
          <w:p w14:paraId="7941BFFD">
            <w:pPr>
              <w:spacing w:line="400" w:lineRule="exact"/>
              <w:jc w:val="center"/>
              <w:rPr>
                <w:color w:val="auto"/>
                <w:szCs w:val="21"/>
              </w:rPr>
            </w:pPr>
            <w:r>
              <w:rPr>
                <w:color w:val="auto"/>
                <w:szCs w:val="21"/>
              </w:rPr>
              <w:t>0.78</w:t>
            </w:r>
          </w:p>
        </w:tc>
        <w:tc>
          <w:tcPr>
            <w:tcW w:w="1336" w:type="dxa"/>
            <w:tcBorders>
              <w:top w:val="nil"/>
              <w:left w:val="nil"/>
              <w:bottom w:val="nil"/>
              <w:right w:val="nil"/>
            </w:tcBorders>
          </w:tcPr>
          <w:p w14:paraId="6A6F4B29">
            <w:pPr>
              <w:spacing w:line="400" w:lineRule="exact"/>
              <w:jc w:val="center"/>
              <w:rPr>
                <w:color w:val="auto"/>
                <w:szCs w:val="21"/>
              </w:rPr>
            </w:pPr>
            <w:r>
              <w:rPr>
                <w:color w:val="auto"/>
                <w:szCs w:val="21"/>
              </w:rPr>
              <w:t>-0.08</w:t>
            </w:r>
          </w:p>
        </w:tc>
        <w:tc>
          <w:tcPr>
            <w:tcW w:w="1418" w:type="dxa"/>
            <w:tcBorders>
              <w:top w:val="nil"/>
              <w:left w:val="nil"/>
              <w:bottom w:val="nil"/>
              <w:right w:val="nil"/>
            </w:tcBorders>
          </w:tcPr>
          <w:p w14:paraId="4AA366A5">
            <w:pPr>
              <w:spacing w:line="400" w:lineRule="exact"/>
              <w:jc w:val="center"/>
              <w:rPr>
                <w:color w:val="auto"/>
                <w:szCs w:val="21"/>
              </w:rPr>
            </w:pPr>
            <w:r>
              <w:rPr>
                <w:color w:val="auto"/>
                <w:szCs w:val="21"/>
              </w:rPr>
              <w:t>-0.20</w:t>
            </w:r>
          </w:p>
        </w:tc>
        <w:tc>
          <w:tcPr>
            <w:tcW w:w="1773" w:type="dxa"/>
            <w:tcBorders>
              <w:top w:val="nil"/>
              <w:left w:val="nil"/>
              <w:bottom w:val="nil"/>
              <w:right w:val="nil"/>
            </w:tcBorders>
          </w:tcPr>
          <w:p w14:paraId="79A5A05B">
            <w:pPr>
              <w:spacing w:line="400" w:lineRule="exact"/>
              <w:jc w:val="center"/>
              <w:rPr>
                <w:color w:val="auto"/>
                <w:szCs w:val="21"/>
              </w:rPr>
            </w:pPr>
            <w:r>
              <w:rPr>
                <w:color w:val="auto"/>
                <w:szCs w:val="21"/>
              </w:rPr>
              <w:t>0.31</w:t>
            </w:r>
          </w:p>
        </w:tc>
        <w:tc>
          <w:tcPr>
            <w:tcW w:w="1793" w:type="dxa"/>
            <w:tcBorders>
              <w:top w:val="nil"/>
              <w:left w:val="nil"/>
              <w:bottom w:val="nil"/>
              <w:right w:val="nil"/>
            </w:tcBorders>
          </w:tcPr>
          <w:p w14:paraId="6205A9C9">
            <w:pPr>
              <w:spacing w:line="400" w:lineRule="exact"/>
              <w:jc w:val="center"/>
              <w:rPr>
                <w:color w:val="auto"/>
                <w:szCs w:val="21"/>
              </w:rPr>
            </w:pPr>
            <w:r>
              <w:rPr>
                <w:color w:val="auto"/>
                <w:szCs w:val="21"/>
              </w:rPr>
              <w:t>3</w:t>
            </w:r>
          </w:p>
        </w:tc>
      </w:tr>
      <w:tr w14:paraId="618C7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tcBorders>
              <w:top w:val="nil"/>
              <w:left w:val="nil"/>
              <w:bottom w:val="nil"/>
              <w:right w:val="nil"/>
            </w:tcBorders>
          </w:tcPr>
          <w:p w14:paraId="15FE9087">
            <w:pPr>
              <w:spacing w:line="400" w:lineRule="exact"/>
              <w:jc w:val="center"/>
              <w:rPr>
                <w:color w:val="auto"/>
                <w:szCs w:val="21"/>
              </w:rPr>
            </w:pPr>
            <w:r>
              <w:rPr>
                <w:color w:val="auto"/>
                <w:szCs w:val="21"/>
              </w:rPr>
              <w:t>2029</w:t>
            </w:r>
          </w:p>
        </w:tc>
        <w:tc>
          <w:tcPr>
            <w:tcW w:w="1282" w:type="dxa"/>
            <w:tcBorders>
              <w:top w:val="nil"/>
              <w:left w:val="nil"/>
              <w:bottom w:val="nil"/>
              <w:right w:val="nil"/>
            </w:tcBorders>
          </w:tcPr>
          <w:p w14:paraId="61FB48DB">
            <w:pPr>
              <w:spacing w:line="400" w:lineRule="exact"/>
              <w:jc w:val="center"/>
              <w:rPr>
                <w:color w:val="auto"/>
                <w:szCs w:val="21"/>
              </w:rPr>
            </w:pPr>
            <w:r>
              <w:rPr>
                <w:color w:val="auto"/>
                <w:szCs w:val="21"/>
              </w:rPr>
              <w:t>0.82</w:t>
            </w:r>
          </w:p>
        </w:tc>
        <w:tc>
          <w:tcPr>
            <w:tcW w:w="1336" w:type="dxa"/>
            <w:tcBorders>
              <w:top w:val="nil"/>
              <w:left w:val="nil"/>
              <w:bottom w:val="nil"/>
              <w:right w:val="nil"/>
            </w:tcBorders>
          </w:tcPr>
          <w:p w14:paraId="0026F425">
            <w:pPr>
              <w:spacing w:line="400" w:lineRule="exact"/>
              <w:jc w:val="center"/>
              <w:rPr>
                <w:color w:val="auto"/>
                <w:szCs w:val="21"/>
              </w:rPr>
            </w:pPr>
            <w:r>
              <w:rPr>
                <w:color w:val="auto"/>
                <w:szCs w:val="21"/>
              </w:rPr>
              <w:t>0.03</w:t>
            </w:r>
          </w:p>
        </w:tc>
        <w:tc>
          <w:tcPr>
            <w:tcW w:w="1418" w:type="dxa"/>
            <w:tcBorders>
              <w:top w:val="nil"/>
              <w:left w:val="nil"/>
              <w:bottom w:val="nil"/>
              <w:right w:val="nil"/>
            </w:tcBorders>
          </w:tcPr>
          <w:p w14:paraId="7170E935">
            <w:pPr>
              <w:spacing w:line="400" w:lineRule="exact"/>
              <w:jc w:val="center"/>
              <w:rPr>
                <w:color w:val="auto"/>
                <w:szCs w:val="21"/>
              </w:rPr>
            </w:pPr>
            <w:r>
              <w:rPr>
                <w:color w:val="auto"/>
                <w:szCs w:val="21"/>
              </w:rPr>
              <w:t>-0.12</w:t>
            </w:r>
          </w:p>
        </w:tc>
        <w:tc>
          <w:tcPr>
            <w:tcW w:w="1773" w:type="dxa"/>
            <w:tcBorders>
              <w:top w:val="nil"/>
              <w:left w:val="nil"/>
              <w:bottom w:val="nil"/>
              <w:right w:val="nil"/>
            </w:tcBorders>
          </w:tcPr>
          <w:p w14:paraId="13AF982F">
            <w:pPr>
              <w:spacing w:line="400" w:lineRule="exact"/>
              <w:jc w:val="center"/>
              <w:rPr>
                <w:color w:val="auto"/>
                <w:szCs w:val="21"/>
              </w:rPr>
            </w:pPr>
            <w:r>
              <w:rPr>
                <w:color w:val="auto"/>
                <w:szCs w:val="21"/>
              </w:rPr>
              <w:t>0.40</w:t>
            </w:r>
          </w:p>
        </w:tc>
        <w:tc>
          <w:tcPr>
            <w:tcW w:w="1793" w:type="dxa"/>
            <w:tcBorders>
              <w:top w:val="nil"/>
              <w:left w:val="nil"/>
              <w:bottom w:val="nil"/>
              <w:right w:val="nil"/>
            </w:tcBorders>
          </w:tcPr>
          <w:p w14:paraId="526E0396">
            <w:pPr>
              <w:spacing w:line="400" w:lineRule="exact"/>
              <w:jc w:val="center"/>
              <w:rPr>
                <w:color w:val="auto"/>
                <w:szCs w:val="21"/>
              </w:rPr>
            </w:pPr>
            <w:r>
              <w:rPr>
                <w:color w:val="auto"/>
                <w:szCs w:val="21"/>
              </w:rPr>
              <w:t>3</w:t>
            </w:r>
          </w:p>
        </w:tc>
      </w:tr>
      <w:tr w14:paraId="57F5B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0" w:type="dxa"/>
            <w:tcBorders>
              <w:top w:val="nil"/>
              <w:left w:val="nil"/>
              <w:bottom w:val="single" w:color="auto" w:sz="12" w:space="0"/>
              <w:right w:val="nil"/>
            </w:tcBorders>
          </w:tcPr>
          <w:p w14:paraId="6540338E">
            <w:pPr>
              <w:spacing w:line="400" w:lineRule="exact"/>
              <w:jc w:val="center"/>
              <w:rPr>
                <w:color w:val="auto"/>
                <w:szCs w:val="21"/>
              </w:rPr>
            </w:pPr>
            <w:r>
              <w:rPr>
                <w:color w:val="auto"/>
                <w:szCs w:val="21"/>
              </w:rPr>
              <w:t>2020</w:t>
            </w:r>
          </w:p>
        </w:tc>
        <w:tc>
          <w:tcPr>
            <w:tcW w:w="1282" w:type="dxa"/>
            <w:tcBorders>
              <w:top w:val="nil"/>
              <w:left w:val="nil"/>
              <w:bottom w:val="single" w:color="auto" w:sz="12" w:space="0"/>
              <w:right w:val="nil"/>
            </w:tcBorders>
          </w:tcPr>
          <w:p w14:paraId="6B06B7A2">
            <w:pPr>
              <w:spacing w:line="400" w:lineRule="exact"/>
              <w:jc w:val="center"/>
              <w:rPr>
                <w:color w:val="auto"/>
                <w:szCs w:val="21"/>
              </w:rPr>
            </w:pPr>
            <w:r>
              <w:rPr>
                <w:color w:val="auto"/>
                <w:szCs w:val="21"/>
              </w:rPr>
              <w:t>0.85</w:t>
            </w:r>
          </w:p>
        </w:tc>
        <w:tc>
          <w:tcPr>
            <w:tcW w:w="1336" w:type="dxa"/>
            <w:tcBorders>
              <w:top w:val="nil"/>
              <w:left w:val="nil"/>
              <w:bottom w:val="single" w:color="auto" w:sz="12" w:space="0"/>
              <w:right w:val="nil"/>
            </w:tcBorders>
          </w:tcPr>
          <w:p w14:paraId="7BBFB503">
            <w:pPr>
              <w:spacing w:line="400" w:lineRule="exact"/>
              <w:jc w:val="center"/>
              <w:rPr>
                <w:color w:val="auto"/>
                <w:szCs w:val="21"/>
              </w:rPr>
            </w:pPr>
            <w:r>
              <w:rPr>
                <w:color w:val="auto"/>
                <w:szCs w:val="21"/>
              </w:rPr>
              <w:t>0.10</w:t>
            </w:r>
          </w:p>
        </w:tc>
        <w:tc>
          <w:tcPr>
            <w:tcW w:w="1418" w:type="dxa"/>
            <w:tcBorders>
              <w:top w:val="nil"/>
              <w:left w:val="nil"/>
              <w:bottom w:val="single" w:color="auto" w:sz="12" w:space="0"/>
              <w:right w:val="nil"/>
            </w:tcBorders>
          </w:tcPr>
          <w:p w14:paraId="04903B57">
            <w:pPr>
              <w:spacing w:line="400" w:lineRule="exact"/>
              <w:jc w:val="center"/>
              <w:rPr>
                <w:color w:val="auto"/>
                <w:szCs w:val="21"/>
              </w:rPr>
            </w:pPr>
            <w:r>
              <w:rPr>
                <w:color w:val="auto"/>
                <w:szCs w:val="21"/>
              </w:rPr>
              <w:t>0.02</w:t>
            </w:r>
          </w:p>
        </w:tc>
        <w:tc>
          <w:tcPr>
            <w:tcW w:w="1773" w:type="dxa"/>
            <w:tcBorders>
              <w:top w:val="nil"/>
              <w:left w:val="nil"/>
              <w:bottom w:val="single" w:color="auto" w:sz="12" w:space="0"/>
              <w:right w:val="nil"/>
            </w:tcBorders>
          </w:tcPr>
          <w:p w14:paraId="2C4126D6">
            <w:pPr>
              <w:spacing w:line="400" w:lineRule="exact"/>
              <w:jc w:val="center"/>
              <w:rPr>
                <w:color w:val="auto"/>
                <w:szCs w:val="21"/>
              </w:rPr>
            </w:pPr>
            <w:r>
              <w:rPr>
                <w:color w:val="auto"/>
                <w:szCs w:val="21"/>
              </w:rPr>
              <w:t>0.47</w:t>
            </w:r>
          </w:p>
        </w:tc>
        <w:tc>
          <w:tcPr>
            <w:tcW w:w="1793" w:type="dxa"/>
            <w:tcBorders>
              <w:top w:val="nil"/>
              <w:left w:val="nil"/>
              <w:bottom w:val="single" w:color="auto" w:sz="12" w:space="0"/>
              <w:right w:val="nil"/>
            </w:tcBorders>
          </w:tcPr>
          <w:p w14:paraId="5A7BBC5A">
            <w:pPr>
              <w:spacing w:line="400" w:lineRule="exact"/>
              <w:jc w:val="center"/>
              <w:rPr>
                <w:color w:val="auto"/>
                <w:szCs w:val="21"/>
              </w:rPr>
            </w:pPr>
            <w:r>
              <w:rPr>
                <w:color w:val="auto"/>
                <w:szCs w:val="21"/>
              </w:rPr>
              <w:t>2</w:t>
            </w:r>
          </w:p>
        </w:tc>
      </w:tr>
    </w:tbl>
    <w:p w14:paraId="085491D2">
      <w:pPr>
        <w:spacing w:line="400" w:lineRule="exact"/>
        <w:ind w:firstLine="480" w:firstLineChars="200"/>
        <w:rPr>
          <w:color w:val="auto"/>
        </w:rPr>
      </w:pPr>
    </w:p>
    <w:p w14:paraId="2F6ADB04">
      <w:pPr>
        <w:spacing w:line="400" w:lineRule="exact"/>
        <w:ind w:firstLine="480" w:firstLineChars="200"/>
        <w:rPr>
          <w:color w:val="auto"/>
        </w:rPr>
      </w:pPr>
      <w:r>
        <w:rPr>
          <w:color w:val="auto"/>
        </w:rPr>
        <w:t>如表4-7所示，从平均因子值来看，平均F1值从2017年的0.72逐步上升至2020年的0.85，表明经济效益因子在逐年增强，这可能得益于J电网在项目收益与扩展能力方面的持续提升。平均F2值也从2017年的-0.15增长到2020年的0.10，说明成本控制因子在不断改善，运维效率逐步提高。平均F3值从2017年的-0.25上升到2020年的0.02，反映出长期运营因子在项目可持续性和回报周期方面有了显著进步。平均投资能力从2017年的0.25逐年上升至2020年的0.47，表明J电网项目投资能力整体呈现上升趋势。年度排名显示，2020年排名第二，体现了近年来J电网项目投资能力的稳步提升。</w:t>
      </w:r>
    </w:p>
    <w:p w14:paraId="3160E4FF">
      <w:pPr>
        <w:spacing w:line="400" w:lineRule="exact"/>
        <w:ind w:firstLine="480" w:firstLineChars="200"/>
        <w:rPr>
          <w:color w:val="auto"/>
        </w:rPr>
      </w:pPr>
      <w:r>
        <w:rPr>
          <w:color w:val="auto"/>
        </w:rPr>
        <w:t>进一步分析投资能力对不同因子权重的敏感程度，进行了能力敏感度分析，见表4-8所示，分析在不同权重调整方案下各样本投资能力的变化情况。</w:t>
      </w:r>
    </w:p>
    <w:p w14:paraId="02BF5208">
      <w:pPr>
        <w:spacing w:line="400" w:lineRule="exact"/>
        <w:ind w:firstLine="480" w:firstLineChars="200"/>
        <w:jc w:val="center"/>
        <w:rPr>
          <w:rFonts w:hint="eastAsia"/>
          <w:color w:val="auto"/>
        </w:rPr>
      </w:pPr>
      <w:r>
        <w:rPr>
          <w:color w:val="auto"/>
        </w:rPr>
        <w:t>表4-8 投资能力敏感度分析</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4"/>
        <w:gridCol w:w="1255"/>
        <w:gridCol w:w="1214"/>
        <w:gridCol w:w="1009"/>
        <w:gridCol w:w="1050"/>
        <w:gridCol w:w="1070"/>
      </w:tblGrid>
      <w:tr w14:paraId="1BE63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4" w:type="dxa"/>
            <w:tcBorders>
              <w:left w:val="nil"/>
              <w:bottom w:val="single" w:color="auto" w:sz="4" w:space="0"/>
              <w:right w:val="nil"/>
            </w:tcBorders>
          </w:tcPr>
          <w:p w14:paraId="7919FD82">
            <w:pPr>
              <w:spacing w:line="400" w:lineRule="exact"/>
              <w:jc w:val="center"/>
              <w:rPr>
                <w:color w:val="auto"/>
                <w:szCs w:val="21"/>
              </w:rPr>
            </w:pPr>
            <w:r>
              <w:rPr>
                <w:color w:val="auto"/>
                <w:szCs w:val="21"/>
              </w:rPr>
              <w:t>权重调整方案</w:t>
            </w:r>
          </w:p>
        </w:tc>
        <w:tc>
          <w:tcPr>
            <w:tcW w:w="1255" w:type="dxa"/>
            <w:tcBorders>
              <w:left w:val="nil"/>
              <w:bottom w:val="single" w:color="auto" w:sz="4" w:space="0"/>
              <w:right w:val="nil"/>
            </w:tcBorders>
          </w:tcPr>
          <w:p w14:paraId="751F5FEE">
            <w:pPr>
              <w:spacing w:line="400" w:lineRule="exact"/>
              <w:jc w:val="center"/>
              <w:rPr>
                <w:color w:val="auto"/>
                <w:szCs w:val="21"/>
              </w:rPr>
            </w:pPr>
            <w:r>
              <w:rPr>
                <w:color w:val="auto"/>
                <w:szCs w:val="21"/>
              </w:rPr>
              <w:t>样本a</w:t>
            </w:r>
          </w:p>
        </w:tc>
        <w:tc>
          <w:tcPr>
            <w:tcW w:w="1214" w:type="dxa"/>
            <w:tcBorders>
              <w:left w:val="nil"/>
              <w:bottom w:val="single" w:color="auto" w:sz="4" w:space="0"/>
              <w:right w:val="nil"/>
            </w:tcBorders>
          </w:tcPr>
          <w:p w14:paraId="4FB02977">
            <w:pPr>
              <w:spacing w:line="400" w:lineRule="exact"/>
              <w:jc w:val="center"/>
              <w:rPr>
                <w:color w:val="auto"/>
                <w:szCs w:val="21"/>
              </w:rPr>
            </w:pPr>
            <w:r>
              <w:rPr>
                <w:color w:val="auto"/>
                <w:szCs w:val="21"/>
              </w:rPr>
              <w:t>样本b</w:t>
            </w:r>
          </w:p>
        </w:tc>
        <w:tc>
          <w:tcPr>
            <w:tcW w:w="1009" w:type="dxa"/>
            <w:tcBorders>
              <w:left w:val="nil"/>
              <w:bottom w:val="single" w:color="auto" w:sz="4" w:space="0"/>
              <w:right w:val="nil"/>
            </w:tcBorders>
          </w:tcPr>
          <w:p w14:paraId="3433ABBF">
            <w:pPr>
              <w:spacing w:line="400" w:lineRule="exact"/>
              <w:jc w:val="center"/>
              <w:rPr>
                <w:color w:val="auto"/>
                <w:szCs w:val="21"/>
              </w:rPr>
            </w:pPr>
            <w:r>
              <w:rPr>
                <w:color w:val="auto"/>
                <w:szCs w:val="21"/>
              </w:rPr>
              <w:t>样本c</w:t>
            </w:r>
          </w:p>
        </w:tc>
        <w:tc>
          <w:tcPr>
            <w:tcW w:w="1050" w:type="dxa"/>
            <w:tcBorders>
              <w:left w:val="nil"/>
              <w:bottom w:val="single" w:color="auto" w:sz="4" w:space="0"/>
              <w:right w:val="nil"/>
            </w:tcBorders>
          </w:tcPr>
          <w:p w14:paraId="3D509F58">
            <w:pPr>
              <w:spacing w:line="400" w:lineRule="exact"/>
              <w:jc w:val="center"/>
              <w:rPr>
                <w:color w:val="auto"/>
                <w:szCs w:val="21"/>
              </w:rPr>
            </w:pPr>
            <w:r>
              <w:rPr>
                <w:color w:val="auto"/>
                <w:szCs w:val="21"/>
              </w:rPr>
              <w:t>样本d</w:t>
            </w:r>
          </w:p>
        </w:tc>
        <w:tc>
          <w:tcPr>
            <w:tcW w:w="1070" w:type="dxa"/>
            <w:tcBorders>
              <w:left w:val="nil"/>
              <w:bottom w:val="single" w:color="auto" w:sz="4" w:space="0"/>
              <w:right w:val="nil"/>
            </w:tcBorders>
          </w:tcPr>
          <w:p w14:paraId="58FDCE74">
            <w:pPr>
              <w:spacing w:line="400" w:lineRule="exact"/>
              <w:jc w:val="center"/>
              <w:rPr>
                <w:color w:val="auto"/>
                <w:szCs w:val="21"/>
              </w:rPr>
            </w:pPr>
            <w:r>
              <w:rPr>
                <w:color w:val="auto"/>
                <w:szCs w:val="21"/>
              </w:rPr>
              <w:t>样本e</w:t>
            </w:r>
          </w:p>
        </w:tc>
      </w:tr>
      <w:tr w14:paraId="6769F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4" w:type="dxa"/>
            <w:tcBorders>
              <w:top w:val="single" w:color="auto" w:sz="4" w:space="0"/>
              <w:left w:val="nil"/>
              <w:bottom w:val="nil"/>
              <w:right w:val="nil"/>
            </w:tcBorders>
          </w:tcPr>
          <w:p w14:paraId="68CD47FE">
            <w:pPr>
              <w:spacing w:line="400" w:lineRule="exact"/>
              <w:jc w:val="center"/>
              <w:rPr>
                <w:color w:val="auto"/>
                <w:szCs w:val="21"/>
              </w:rPr>
            </w:pPr>
            <w:r>
              <w:rPr>
                <w:color w:val="auto"/>
                <w:szCs w:val="21"/>
              </w:rPr>
              <w:t>基准方案（0.45/0.35/0.20）</w:t>
            </w:r>
          </w:p>
        </w:tc>
        <w:tc>
          <w:tcPr>
            <w:tcW w:w="1255" w:type="dxa"/>
            <w:tcBorders>
              <w:top w:val="single" w:color="auto" w:sz="4" w:space="0"/>
              <w:left w:val="nil"/>
              <w:bottom w:val="nil"/>
              <w:right w:val="nil"/>
            </w:tcBorders>
          </w:tcPr>
          <w:p w14:paraId="264FD81B">
            <w:pPr>
              <w:spacing w:line="400" w:lineRule="exact"/>
              <w:jc w:val="center"/>
              <w:rPr>
                <w:color w:val="auto"/>
                <w:szCs w:val="21"/>
              </w:rPr>
            </w:pPr>
            <w:r>
              <w:rPr>
                <w:color w:val="auto"/>
                <w:szCs w:val="21"/>
              </w:rPr>
              <w:t>0.394</w:t>
            </w:r>
          </w:p>
        </w:tc>
        <w:tc>
          <w:tcPr>
            <w:tcW w:w="1214" w:type="dxa"/>
            <w:tcBorders>
              <w:top w:val="single" w:color="auto" w:sz="4" w:space="0"/>
              <w:left w:val="nil"/>
              <w:bottom w:val="nil"/>
              <w:right w:val="nil"/>
            </w:tcBorders>
          </w:tcPr>
          <w:p w14:paraId="60224ECF">
            <w:pPr>
              <w:spacing w:line="400" w:lineRule="exact"/>
              <w:jc w:val="center"/>
              <w:rPr>
                <w:color w:val="auto"/>
                <w:szCs w:val="21"/>
              </w:rPr>
            </w:pPr>
            <w:r>
              <w:rPr>
                <w:color w:val="auto"/>
                <w:szCs w:val="21"/>
              </w:rPr>
              <w:t>0.298</w:t>
            </w:r>
          </w:p>
        </w:tc>
        <w:tc>
          <w:tcPr>
            <w:tcW w:w="1009" w:type="dxa"/>
            <w:tcBorders>
              <w:top w:val="single" w:color="auto" w:sz="4" w:space="0"/>
              <w:left w:val="nil"/>
              <w:bottom w:val="nil"/>
              <w:right w:val="nil"/>
            </w:tcBorders>
          </w:tcPr>
          <w:p w14:paraId="1F365496">
            <w:pPr>
              <w:spacing w:line="400" w:lineRule="exact"/>
              <w:jc w:val="center"/>
              <w:rPr>
                <w:color w:val="auto"/>
                <w:szCs w:val="21"/>
              </w:rPr>
            </w:pPr>
            <w:r>
              <w:rPr>
                <w:color w:val="auto"/>
                <w:szCs w:val="21"/>
              </w:rPr>
              <w:t>0.492</w:t>
            </w:r>
          </w:p>
        </w:tc>
        <w:tc>
          <w:tcPr>
            <w:tcW w:w="1050" w:type="dxa"/>
            <w:tcBorders>
              <w:top w:val="single" w:color="auto" w:sz="4" w:space="0"/>
              <w:left w:val="nil"/>
              <w:bottom w:val="nil"/>
              <w:right w:val="nil"/>
            </w:tcBorders>
          </w:tcPr>
          <w:p w14:paraId="0257BBDD">
            <w:pPr>
              <w:spacing w:line="400" w:lineRule="exact"/>
              <w:jc w:val="center"/>
              <w:rPr>
                <w:color w:val="auto"/>
                <w:szCs w:val="21"/>
              </w:rPr>
            </w:pPr>
            <w:r>
              <w:rPr>
                <w:color w:val="auto"/>
                <w:szCs w:val="21"/>
              </w:rPr>
              <w:t>0.372</w:t>
            </w:r>
          </w:p>
        </w:tc>
        <w:tc>
          <w:tcPr>
            <w:tcW w:w="1070" w:type="dxa"/>
            <w:tcBorders>
              <w:top w:val="single" w:color="auto" w:sz="4" w:space="0"/>
              <w:left w:val="nil"/>
              <w:bottom w:val="nil"/>
              <w:right w:val="nil"/>
            </w:tcBorders>
          </w:tcPr>
          <w:p w14:paraId="7ACEB7B1">
            <w:pPr>
              <w:spacing w:line="400" w:lineRule="exact"/>
              <w:jc w:val="center"/>
              <w:rPr>
                <w:color w:val="auto"/>
                <w:szCs w:val="21"/>
              </w:rPr>
            </w:pPr>
            <w:r>
              <w:rPr>
                <w:color w:val="auto"/>
                <w:szCs w:val="21"/>
              </w:rPr>
              <w:t>0.281</w:t>
            </w:r>
          </w:p>
        </w:tc>
      </w:tr>
      <w:tr w14:paraId="537B5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4" w:type="dxa"/>
            <w:tcBorders>
              <w:top w:val="nil"/>
              <w:left w:val="nil"/>
              <w:bottom w:val="nil"/>
              <w:right w:val="nil"/>
            </w:tcBorders>
          </w:tcPr>
          <w:p w14:paraId="67AEE736">
            <w:pPr>
              <w:spacing w:line="400" w:lineRule="exact"/>
              <w:jc w:val="center"/>
              <w:rPr>
                <w:color w:val="auto"/>
                <w:szCs w:val="21"/>
              </w:rPr>
            </w:pPr>
            <w:r>
              <w:rPr>
                <w:color w:val="auto"/>
                <w:szCs w:val="21"/>
              </w:rPr>
              <w:t>w1=0.50, w2=0.30, w3=0.20</w:t>
            </w:r>
          </w:p>
        </w:tc>
        <w:tc>
          <w:tcPr>
            <w:tcW w:w="1255" w:type="dxa"/>
            <w:tcBorders>
              <w:top w:val="nil"/>
              <w:left w:val="nil"/>
              <w:bottom w:val="nil"/>
              <w:right w:val="nil"/>
            </w:tcBorders>
          </w:tcPr>
          <w:p w14:paraId="3BE8E72C">
            <w:pPr>
              <w:spacing w:line="400" w:lineRule="exact"/>
              <w:jc w:val="center"/>
              <w:rPr>
                <w:color w:val="auto"/>
                <w:szCs w:val="21"/>
              </w:rPr>
            </w:pPr>
            <w:r>
              <w:rPr>
                <w:color w:val="auto"/>
                <w:szCs w:val="21"/>
              </w:rPr>
              <w:t>0.413</w:t>
            </w:r>
          </w:p>
        </w:tc>
        <w:tc>
          <w:tcPr>
            <w:tcW w:w="1214" w:type="dxa"/>
            <w:tcBorders>
              <w:top w:val="nil"/>
              <w:left w:val="nil"/>
              <w:bottom w:val="nil"/>
              <w:right w:val="nil"/>
            </w:tcBorders>
          </w:tcPr>
          <w:p w14:paraId="70F953AE">
            <w:pPr>
              <w:spacing w:line="400" w:lineRule="exact"/>
              <w:jc w:val="center"/>
              <w:rPr>
                <w:color w:val="auto"/>
                <w:szCs w:val="21"/>
              </w:rPr>
            </w:pPr>
            <w:r>
              <w:rPr>
                <w:color w:val="auto"/>
                <w:szCs w:val="21"/>
              </w:rPr>
              <w:t>0.312</w:t>
            </w:r>
          </w:p>
        </w:tc>
        <w:tc>
          <w:tcPr>
            <w:tcW w:w="1009" w:type="dxa"/>
            <w:tcBorders>
              <w:top w:val="nil"/>
              <w:left w:val="nil"/>
              <w:bottom w:val="nil"/>
              <w:right w:val="nil"/>
            </w:tcBorders>
          </w:tcPr>
          <w:p w14:paraId="280C2C1B">
            <w:pPr>
              <w:spacing w:line="400" w:lineRule="exact"/>
              <w:jc w:val="center"/>
              <w:rPr>
                <w:color w:val="auto"/>
                <w:szCs w:val="21"/>
              </w:rPr>
            </w:pPr>
            <w:r>
              <w:rPr>
                <w:color w:val="auto"/>
                <w:szCs w:val="21"/>
              </w:rPr>
              <w:t>0.516</w:t>
            </w:r>
          </w:p>
        </w:tc>
        <w:tc>
          <w:tcPr>
            <w:tcW w:w="1050" w:type="dxa"/>
            <w:tcBorders>
              <w:top w:val="nil"/>
              <w:left w:val="nil"/>
              <w:bottom w:val="nil"/>
              <w:right w:val="nil"/>
            </w:tcBorders>
          </w:tcPr>
          <w:p w14:paraId="7604BEE1">
            <w:pPr>
              <w:spacing w:line="400" w:lineRule="exact"/>
              <w:jc w:val="center"/>
              <w:rPr>
                <w:color w:val="auto"/>
                <w:szCs w:val="21"/>
              </w:rPr>
            </w:pPr>
            <w:r>
              <w:rPr>
                <w:color w:val="auto"/>
                <w:szCs w:val="21"/>
              </w:rPr>
              <w:t>0.389</w:t>
            </w:r>
          </w:p>
        </w:tc>
        <w:tc>
          <w:tcPr>
            <w:tcW w:w="1070" w:type="dxa"/>
            <w:tcBorders>
              <w:top w:val="nil"/>
              <w:left w:val="nil"/>
              <w:bottom w:val="nil"/>
              <w:right w:val="nil"/>
            </w:tcBorders>
          </w:tcPr>
          <w:p w14:paraId="2F1BAAFC">
            <w:pPr>
              <w:spacing w:line="400" w:lineRule="exact"/>
              <w:jc w:val="center"/>
              <w:rPr>
                <w:color w:val="auto"/>
                <w:szCs w:val="21"/>
              </w:rPr>
            </w:pPr>
            <w:r>
              <w:rPr>
                <w:color w:val="auto"/>
                <w:szCs w:val="21"/>
              </w:rPr>
              <w:t>0.294</w:t>
            </w:r>
          </w:p>
        </w:tc>
      </w:tr>
      <w:tr w14:paraId="30D9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4" w:type="dxa"/>
            <w:tcBorders>
              <w:top w:val="nil"/>
              <w:left w:val="nil"/>
              <w:bottom w:val="nil"/>
              <w:right w:val="nil"/>
            </w:tcBorders>
          </w:tcPr>
          <w:p w14:paraId="3E15B580">
            <w:pPr>
              <w:spacing w:line="400" w:lineRule="exact"/>
              <w:jc w:val="center"/>
              <w:rPr>
                <w:color w:val="auto"/>
                <w:szCs w:val="21"/>
              </w:rPr>
            </w:pPr>
            <w:r>
              <w:rPr>
                <w:color w:val="auto"/>
                <w:szCs w:val="21"/>
              </w:rPr>
              <w:t>w1=0.40, w2=0.40, w3=0.20</w:t>
            </w:r>
          </w:p>
        </w:tc>
        <w:tc>
          <w:tcPr>
            <w:tcW w:w="1255" w:type="dxa"/>
            <w:tcBorders>
              <w:top w:val="nil"/>
              <w:left w:val="nil"/>
              <w:bottom w:val="nil"/>
              <w:right w:val="nil"/>
            </w:tcBorders>
          </w:tcPr>
          <w:p w14:paraId="61E0C9C9">
            <w:pPr>
              <w:spacing w:line="400" w:lineRule="exact"/>
              <w:jc w:val="center"/>
              <w:rPr>
                <w:color w:val="auto"/>
                <w:szCs w:val="21"/>
              </w:rPr>
            </w:pPr>
            <w:r>
              <w:rPr>
                <w:color w:val="auto"/>
                <w:szCs w:val="21"/>
              </w:rPr>
              <w:t>0.378</w:t>
            </w:r>
          </w:p>
        </w:tc>
        <w:tc>
          <w:tcPr>
            <w:tcW w:w="1214" w:type="dxa"/>
            <w:tcBorders>
              <w:top w:val="nil"/>
              <w:left w:val="nil"/>
              <w:bottom w:val="nil"/>
              <w:right w:val="nil"/>
            </w:tcBorders>
          </w:tcPr>
          <w:p w14:paraId="07AA1F81">
            <w:pPr>
              <w:spacing w:line="400" w:lineRule="exact"/>
              <w:jc w:val="center"/>
              <w:rPr>
                <w:color w:val="auto"/>
                <w:szCs w:val="21"/>
              </w:rPr>
            </w:pPr>
            <w:r>
              <w:rPr>
                <w:color w:val="auto"/>
                <w:szCs w:val="21"/>
              </w:rPr>
              <w:t>0.286</w:t>
            </w:r>
          </w:p>
        </w:tc>
        <w:tc>
          <w:tcPr>
            <w:tcW w:w="1009" w:type="dxa"/>
            <w:tcBorders>
              <w:top w:val="nil"/>
              <w:left w:val="nil"/>
              <w:bottom w:val="nil"/>
              <w:right w:val="nil"/>
            </w:tcBorders>
          </w:tcPr>
          <w:p w14:paraId="24875887">
            <w:pPr>
              <w:spacing w:line="400" w:lineRule="exact"/>
              <w:jc w:val="center"/>
              <w:rPr>
                <w:color w:val="auto"/>
                <w:szCs w:val="21"/>
              </w:rPr>
            </w:pPr>
            <w:r>
              <w:rPr>
                <w:color w:val="auto"/>
                <w:szCs w:val="21"/>
              </w:rPr>
              <w:t>0.482</w:t>
            </w:r>
          </w:p>
        </w:tc>
        <w:tc>
          <w:tcPr>
            <w:tcW w:w="1050" w:type="dxa"/>
            <w:tcBorders>
              <w:top w:val="nil"/>
              <w:left w:val="nil"/>
              <w:bottom w:val="nil"/>
              <w:right w:val="nil"/>
            </w:tcBorders>
          </w:tcPr>
          <w:p w14:paraId="775C0383">
            <w:pPr>
              <w:spacing w:line="400" w:lineRule="exact"/>
              <w:jc w:val="center"/>
              <w:rPr>
                <w:color w:val="auto"/>
                <w:szCs w:val="21"/>
              </w:rPr>
            </w:pPr>
            <w:r>
              <w:rPr>
                <w:color w:val="auto"/>
                <w:szCs w:val="21"/>
              </w:rPr>
              <w:t>0.362</w:t>
            </w:r>
          </w:p>
        </w:tc>
        <w:tc>
          <w:tcPr>
            <w:tcW w:w="1070" w:type="dxa"/>
            <w:tcBorders>
              <w:top w:val="nil"/>
              <w:left w:val="nil"/>
              <w:bottom w:val="nil"/>
              <w:right w:val="nil"/>
            </w:tcBorders>
          </w:tcPr>
          <w:p w14:paraId="1FFFBBF1">
            <w:pPr>
              <w:spacing w:line="400" w:lineRule="exact"/>
              <w:jc w:val="center"/>
              <w:rPr>
                <w:color w:val="auto"/>
                <w:szCs w:val="21"/>
              </w:rPr>
            </w:pPr>
            <w:r>
              <w:rPr>
                <w:color w:val="auto"/>
                <w:szCs w:val="21"/>
              </w:rPr>
              <w:t>0.272</w:t>
            </w:r>
          </w:p>
        </w:tc>
      </w:tr>
      <w:tr w14:paraId="6FA9A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4" w:type="dxa"/>
            <w:tcBorders>
              <w:top w:val="nil"/>
              <w:left w:val="nil"/>
              <w:bottom w:val="single" w:color="auto" w:sz="4" w:space="0"/>
              <w:right w:val="nil"/>
            </w:tcBorders>
          </w:tcPr>
          <w:p w14:paraId="2F0FC28A">
            <w:pPr>
              <w:spacing w:line="400" w:lineRule="exact"/>
              <w:jc w:val="center"/>
              <w:rPr>
                <w:color w:val="auto"/>
                <w:szCs w:val="21"/>
              </w:rPr>
            </w:pPr>
            <w:r>
              <w:rPr>
                <w:color w:val="auto"/>
                <w:szCs w:val="21"/>
              </w:rPr>
              <w:t>w1=0.35, w2=0.35, w3=0.30</w:t>
            </w:r>
          </w:p>
        </w:tc>
        <w:tc>
          <w:tcPr>
            <w:tcW w:w="1255" w:type="dxa"/>
            <w:tcBorders>
              <w:top w:val="nil"/>
              <w:left w:val="nil"/>
              <w:bottom w:val="single" w:color="auto" w:sz="4" w:space="0"/>
              <w:right w:val="nil"/>
            </w:tcBorders>
          </w:tcPr>
          <w:p w14:paraId="0AA701FA">
            <w:pPr>
              <w:spacing w:line="400" w:lineRule="exact"/>
              <w:jc w:val="center"/>
              <w:rPr>
                <w:color w:val="auto"/>
                <w:szCs w:val="21"/>
              </w:rPr>
            </w:pPr>
            <w:r>
              <w:rPr>
                <w:color w:val="auto"/>
                <w:szCs w:val="21"/>
              </w:rPr>
              <w:t>0.361</w:t>
            </w:r>
          </w:p>
        </w:tc>
        <w:tc>
          <w:tcPr>
            <w:tcW w:w="1214" w:type="dxa"/>
            <w:tcBorders>
              <w:top w:val="nil"/>
              <w:left w:val="nil"/>
              <w:bottom w:val="single" w:color="auto" w:sz="4" w:space="0"/>
              <w:right w:val="nil"/>
            </w:tcBorders>
          </w:tcPr>
          <w:p w14:paraId="44037F21">
            <w:pPr>
              <w:spacing w:line="400" w:lineRule="exact"/>
              <w:jc w:val="center"/>
              <w:rPr>
                <w:color w:val="auto"/>
                <w:szCs w:val="21"/>
              </w:rPr>
            </w:pPr>
            <w:r>
              <w:rPr>
                <w:color w:val="auto"/>
                <w:szCs w:val="21"/>
              </w:rPr>
              <w:t>0.263</w:t>
            </w:r>
          </w:p>
        </w:tc>
        <w:tc>
          <w:tcPr>
            <w:tcW w:w="1009" w:type="dxa"/>
            <w:tcBorders>
              <w:top w:val="nil"/>
              <w:left w:val="nil"/>
              <w:bottom w:val="single" w:color="auto" w:sz="4" w:space="0"/>
              <w:right w:val="nil"/>
            </w:tcBorders>
          </w:tcPr>
          <w:p w14:paraId="5530EE60">
            <w:pPr>
              <w:spacing w:line="400" w:lineRule="exact"/>
              <w:jc w:val="center"/>
              <w:rPr>
                <w:color w:val="auto"/>
                <w:szCs w:val="21"/>
              </w:rPr>
            </w:pPr>
            <w:r>
              <w:rPr>
                <w:color w:val="auto"/>
                <w:szCs w:val="21"/>
              </w:rPr>
              <w:t>0.455</w:t>
            </w:r>
          </w:p>
        </w:tc>
        <w:tc>
          <w:tcPr>
            <w:tcW w:w="1050" w:type="dxa"/>
            <w:tcBorders>
              <w:top w:val="nil"/>
              <w:left w:val="nil"/>
              <w:bottom w:val="single" w:color="auto" w:sz="4" w:space="0"/>
              <w:right w:val="nil"/>
            </w:tcBorders>
          </w:tcPr>
          <w:p w14:paraId="5135CD76">
            <w:pPr>
              <w:spacing w:line="400" w:lineRule="exact"/>
              <w:jc w:val="center"/>
              <w:rPr>
                <w:color w:val="auto"/>
                <w:szCs w:val="21"/>
              </w:rPr>
            </w:pPr>
            <w:r>
              <w:rPr>
                <w:color w:val="auto"/>
                <w:szCs w:val="21"/>
              </w:rPr>
              <w:t>0.339</w:t>
            </w:r>
          </w:p>
        </w:tc>
        <w:tc>
          <w:tcPr>
            <w:tcW w:w="1070" w:type="dxa"/>
            <w:tcBorders>
              <w:top w:val="nil"/>
              <w:left w:val="nil"/>
              <w:bottom w:val="single" w:color="auto" w:sz="4" w:space="0"/>
              <w:right w:val="nil"/>
            </w:tcBorders>
          </w:tcPr>
          <w:p w14:paraId="181819FC">
            <w:pPr>
              <w:spacing w:line="400" w:lineRule="exact"/>
              <w:jc w:val="center"/>
              <w:rPr>
                <w:color w:val="auto"/>
                <w:szCs w:val="21"/>
              </w:rPr>
            </w:pPr>
            <w:r>
              <w:rPr>
                <w:color w:val="auto"/>
                <w:szCs w:val="21"/>
              </w:rPr>
              <w:t>0.251</w:t>
            </w:r>
          </w:p>
        </w:tc>
      </w:tr>
    </w:tbl>
    <w:p w14:paraId="5A198990">
      <w:pPr>
        <w:spacing w:line="400" w:lineRule="exact"/>
        <w:rPr>
          <w:color w:val="auto"/>
        </w:rPr>
      </w:pPr>
    </w:p>
    <w:p w14:paraId="20BF2DE9">
      <w:pPr>
        <w:spacing w:line="400" w:lineRule="exact"/>
        <w:ind w:firstLine="480" w:firstLineChars="200"/>
        <w:rPr>
          <w:color w:val="auto"/>
        </w:rPr>
      </w:pPr>
      <w:r>
        <w:rPr>
          <w:color w:val="auto"/>
        </w:rPr>
        <w:t>见表4-8所示，基于不同的权重调整方案，评估当F1、F2、F3的权重发生变化时，各样本的投资能力如何相应改变。当增加F1权重（如w1=0.50）时，样本a、c的投资能力提升较为明显，这表明它们的经济效益因子对其投资能力的影响较大。而当提高F2或F3权重时，样本c的投资能力下降幅度相对较小，说明其在成本控制和长期运营方面也具备一定优势。总体来看，样本c在不同权重方案下均保持了较高的投资能力，说明综合性能稳定。而样本b和e的投资能力在权重调整后波动较大，尤其是当降低F1权重时，其投资能力下降显著，反映出它们对经济效益因子的依赖性较高。</w:t>
      </w:r>
    </w:p>
    <w:p w14:paraId="6150F9E4">
      <w:pPr>
        <w:spacing w:line="400" w:lineRule="exact"/>
        <w:ind w:firstLine="480" w:firstLineChars="200"/>
        <w:rPr>
          <w:color w:val="auto"/>
        </w:rPr>
      </w:pPr>
      <w:r>
        <w:rPr>
          <w:color w:val="auto"/>
        </w:rPr>
        <w:t>本文同时基于J电网下属5个区域的测算数据，进一步分析了各区域的投资能力情况，结果如表4-9所示。</w:t>
      </w:r>
    </w:p>
    <w:p w14:paraId="7A8F8D25">
      <w:pPr>
        <w:spacing w:line="400" w:lineRule="exact"/>
        <w:jc w:val="center"/>
        <w:rPr>
          <w:color w:val="auto"/>
        </w:rPr>
      </w:pPr>
      <w:r>
        <w:rPr>
          <w:color w:val="auto"/>
        </w:rPr>
        <w:t>表4-9 分区域投资能力汇总表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1084"/>
        <w:gridCol w:w="1143"/>
        <w:gridCol w:w="1200"/>
        <w:gridCol w:w="1188"/>
        <w:gridCol w:w="1581"/>
        <w:gridCol w:w="1359"/>
      </w:tblGrid>
      <w:tr w14:paraId="15E35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dxa"/>
            <w:tcBorders>
              <w:left w:val="nil"/>
              <w:bottom w:val="single" w:color="auto" w:sz="4" w:space="0"/>
              <w:right w:val="nil"/>
            </w:tcBorders>
          </w:tcPr>
          <w:p w14:paraId="7026C52A">
            <w:pPr>
              <w:spacing w:line="400" w:lineRule="exact"/>
              <w:jc w:val="center"/>
              <w:rPr>
                <w:color w:val="auto"/>
              </w:rPr>
            </w:pPr>
            <w:r>
              <w:rPr>
                <w:color w:val="auto"/>
              </w:rPr>
              <w:t>区域</w:t>
            </w:r>
          </w:p>
        </w:tc>
        <w:tc>
          <w:tcPr>
            <w:tcW w:w="1084" w:type="dxa"/>
            <w:tcBorders>
              <w:left w:val="nil"/>
              <w:bottom w:val="single" w:color="auto" w:sz="4" w:space="0"/>
              <w:right w:val="nil"/>
            </w:tcBorders>
          </w:tcPr>
          <w:p w14:paraId="1A66DEDC">
            <w:pPr>
              <w:spacing w:line="400" w:lineRule="exact"/>
              <w:jc w:val="center"/>
              <w:rPr>
                <w:color w:val="auto"/>
              </w:rPr>
            </w:pPr>
            <w:r>
              <w:rPr>
                <w:color w:val="auto"/>
              </w:rPr>
              <w:t>项目数</w:t>
            </w:r>
          </w:p>
        </w:tc>
        <w:tc>
          <w:tcPr>
            <w:tcW w:w="1143" w:type="dxa"/>
            <w:tcBorders>
              <w:left w:val="nil"/>
              <w:bottom w:val="single" w:color="auto" w:sz="4" w:space="0"/>
              <w:right w:val="nil"/>
            </w:tcBorders>
          </w:tcPr>
          <w:p w14:paraId="77806879">
            <w:pPr>
              <w:spacing w:line="400" w:lineRule="exact"/>
              <w:jc w:val="center"/>
              <w:rPr>
                <w:color w:val="auto"/>
              </w:rPr>
            </w:pPr>
            <w:r>
              <w:rPr>
                <w:color w:val="auto"/>
              </w:rPr>
              <w:t>平均F1值</w:t>
            </w:r>
          </w:p>
        </w:tc>
        <w:tc>
          <w:tcPr>
            <w:tcW w:w="1200" w:type="dxa"/>
            <w:tcBorders>
              <w:left w:val="nil"/>
              <w:bottom w:val="single" w:color="auto" w:sz="4" w:space="0"/>
              <w:right w:val="nil"/>
            </w:tcBorders>
          </w:tcPr>
          <w:p w14:paraId="1434DFE6">
            <w:pPr>
              <w:spacing w:line="400" w:lineRule="exact"/>
              <w:jc w:val="center"/>
              <w:rPr>
                <w:color w:val="auto"/>
              </w:rPr>
            </w:pPr>
            <w:r>
              <w:rPr>
                <w:color w:val="auto"/>
              </w:rPr>
              <w:t>平均F2值</w:t>
            </w:r>
          </w:p>
        </w:tc>
        <w:tc>
          <w:tcPr>
            <w:tcW w:w="1188" w:type="dxa"/>
            <w:tcBorders>
              <w:left w:val="nil"/>
              <w:bottom w:val="single" w:color="auto" w:sz="4" w:space="0"/>
              <w:right w:val="nil"/>
            </w:tcBorders>
          </w:tcPr>
          <w:p w14:paraId="4B7E2A6F">
            <w:pPr>
              <w:spacing w:line="400" w:lineRule="exact"/>
              <w:jc w:val="center"/>
              <w:rPr>
                <w:color w:val="auto"/>
              </w:rPr>
            </w:pPr>
            <w:r>
              <w:rPr>
                <w:color w:val="auto"/>
              </w:rPr>
              <w:t>平均F3值</w:t>
            </w:r>
          </w:p>
        </w:tc>
        <w:tc>
          <w:tcPr>
            <w:tcW w:w="1581" w:type="dxa"/>
            <w:tcBorders>
              <w:left w:val="nil"/>
              <w:bottom w:val="single" w:color="auto" w:sz="4" w:space="0"/>
              <w:right w:val="nil"/>
            </w:tcBorders>
          </w:tcPr>
          <w:p w14:paraId="422EC0C9">
            <w:pPr>
              <w:spacing w:line="400" w:lineRule="exact"/>
              <w:jc w:val="center"/>
              <w:rPr>
                <w:color w:val="auto"/>
              </w:rPr>
            </w:pPr>
            <w:r>
              <w:rPr>
                <w:color w:val="auto"/>
              </w:rPr>
              <w:t>平均投资能力</w:t>
            </w:r>
          </w:p>
        </w:tc>
        <w:tc>
          <w:tcPr>
            <w:tcW w:w="1359" w:type="dxa"/>
            <w:tcBorders>
              <w:left w:val="nil"/>
              <w:bottom w:val="single" w:color="auto" w:sz="4" w:space="0"/>
              <w:right w:val="nil"/>
            </w:tcBorders>
          </w:tcPr>
          <w:p w14:paraId="16A6BE68">
            <w:pPr>
              <w:spacing w:line="400" w:lineRule="exact"/>
              <w:jc w:val="center"/>
              <w:rPr>
                <w:color w:val="auto"/>
              </w:rPr>
            </w:pPr>
            <w:r>
              <w:rPr>
                <w:color w:val="auto"/>
              </w:rPr>
              <w:t>投资优先级</w:t>
            </w:r>
          </w:p>
        </w:tc>
      </w:tr>
      <w:tr w14:paraId="2B465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dxa"/>
            <w:tcBorders>
              <w:top w:val="single" w:color="auto" w:sz="4" w:space="0"/>
              <w:left w:val="nil"/>
              <w:bottom w:val="nil"/>
              <w:right w:val="nil"/>
            </w:tcBorders>
          </w:tcPr>
          <w:p w14:paraId="4DB4B984">
            <w:pPr>
              <w:spacing w:line="400" w:lineRule="exact"/>
              <w:jc w:val="center"/>
              <w:rPr>
                <w:color w:val="auto"/>
              </w:rPr>
            </w:pPr>
            <w:r>
              <w:rPr>
                <w:color w:val="auto"/>
              </w:rPr>
              <w:t>东部</w:t>
            </w:r>
          </w:p>
        </w:tc>
        <w:tc>
          <w:tcPr>
            <w:tcW w:w="1084" w:type="dxa"/>
            <w:tcBorders>
              <w:top w:val="single" w:color="auto" w:sz="4" w:space="0"/>
              <w:left w:val="nil"/>
              <w:bottom w:val="nil"/>
              <w:right w:val="nil"/>
            </w:tcBorders>
          </w:tcPr>
          <w:p w14:paraId="293DE6E7">
            <w:pPr>
              <w:spacing w:line="400" w:lineRule="exact"/>
              <w:jc w:val="center"/>
              <w:rPr>
                <w:color w:val="auto"/>
              </w:rPr>
            </w:pPr>
            <w:r>
              <w:rPr>
                <w:color w:val="auto"/>
              </w:rPr>
              <w:t>12</w:t>
            </w:r>
          </w:p>
        </w:tc>
        <w:tc>
          <w:tcPr>
            <w:tcW w:w="1143" w:type="dxa"/>
            <w:tcBorders>
              <w:top w:val="single" w:color="auto" w:sz="4" w:space="0"/>
              <w:left w:val="nil"/>
              <w:bottom w:val="nil"/>
              <w:right w:val="nil"/>
            </w:tcBorders>
          </w:tcPr>
          <w:p w14:paraId="46CFFF9D">
            <w:pPr>
              <w:spacing w:line="400" w:lineRule="exact"/>
              <w:jc w:val="center"/>
              <w:rPr>
                <w:color w:val="auto"/>
              </w:rPr>
            </w:pPr>
            <w:r>
              <w:rPr>
                <w:color w:val="auto"/>
              </w:rPr>
              <w:t>0.88</w:t>
            </w:r>
          </w:p>
        </w:tc>
        <w:tc>
          <w:tcPr>
            <w:tcW w:w="1200" w:type="dxa"/>
            <w:tcBorders>
              <w:top w:val="single" w:color="auto" w:sz="4" w:space="0"/>
              <w:left w:val="nil"/>
              <w:bottom w:val="nil"/>
              <w:right w:val="nil"/>
            </w:tcBorders>
          </w:tcPr>
          <w:p w14:paraId="348DFFC1">
            <w:pPr>
              <w:spacing w:line="400" w:lineRule="exact"/>
              <w:jc w:val="center"/>
              <w:rPr>
                <w:color w:val="auto"/>
              </w:rPr>
            </w:pPr>
            <w:r>
              <w:rPr>
                <w:color w:val="auto"/>
              </w:rPr>
              <w:t>0.10</w:t>
            </w:r>
          </w:p>
        </w:tc>
        <w:tc>
          <w:tcPr>
            <w:tcW w:w="1188" w:type="dxa"/>
            <w:tcBorders>
              <w:top w:val="single" w:color="auto" w:sz="4" w:space="0"/>
              <w:left w:val="nil"/>
              <w:bottom w:val="nil"/>
              <w:right w:val="nil"/>
            </w:tcBorders>
          </w:tcPr>
          <w:p w14:paraId="46996129">
            <w:pPr>
              <w:spacing w:line="400" w:lineRule="exact"/>
              <w:jc w:val="center"/>
              <w:rPr>
                <w:color w:val="auto"/>
              </w:rPr>
            </w:pPr>
            <w:r>
              <w:rPr>
                <w:color w:val="auto"/>
              </w:rPr>
              <w:t>0.08</w:t>
            </w:r>
          </w:p>
        </w:tc>
        <w:tc>
          <w:tcPr>
            <w:tcW w:w="1581" w:type="dxa"/>
            <w:tcBorders>
              <w:top w:val="single" w:color="auto" w:sz="4" w:space="0"/>
              <w:left w:val="nil"/>
              <w:bottom w:val="nil"/>
              <w:right w:val="nil"/>
            </w:tcBorders>
          </w:tcPr>
          <w:p w14:paraId="053137C4">
            <w:pPr>
              <w:spacing w:line="400" w:lineRule="exact"/>
              <w:jc w:val="center"/>
              <w:rPr>
                <w:color w:val="auto"/>
              </w:rPr>
            </w:pPr>
            <w:r>
              <w:rPr>
                <w:color w:val="auto"/>
              </w:rPr>
              <w:t>0.52</w:t>
            </w:r>
          </w:p>
        </w:tc>
        <w:tc>
          <w:tcPr>
            <w:tcW w:w="1359" w:type="dxa"/>
            <w:tcBorders>
              <w:top w:val="single" w:color="auto" w:sz="4" w:space="0"/>
              <w:left w:val="nil"/>
              <w:bottom w:val="nil"/>
              <w:right w:val="nil"/>
            </w:tcBorders>
          </w:tcPr>
          <w:p w14:paraId="4C3513D3">
            <w:pPr>
              <w:spacing w:line="400" w:lineRule="exact"/>
              <w:jc w:val="center"/>
              <w:rPr>
                <w:color w:val="auto"/>
              </w:rPr>
            </w:pPr>
            <w:r>
              <w:rPr>
                <w:color w:val="auto"/>
              </w:rPr>
              <w:t>高</w:t>
            </w:r>
          </w:p>
        </w:tc>
      </w:tr>
      <w:tr w14:paraId="7786D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dxa"/>
            <w:tcBorders>
              <w:top w:val="nil"/>
              <w:left w:val="nil"/>
              <w:bottom w:val="nil"/>
              <w:right w:val="nil"/>
            </w:tcBorders>
          </w:tcPr>
          <w:p w14:paraId="43F5AB87">
            <w:pPr>
              <w:spacing w:line="400" w:lineRule="exact"/>
              <w:jc w:val="center"/>
              <w:rPr>
                <w:color w:val="auto"/>
              </w:rPr>
            </w:pPr>
            <w:r>
              <w:rPr>
                <w:color w:val="auto"/>
              </w:rPr>
              <w:t>西部</w:t>
            </w:r>
          </w:p>
        </w:tc>
        <w:tc>
          <w:tcPr>
            <w:tcW w:w="1084" w:type="dxa"/>
            <w:tcBorders>
              <w:top w:val="nil"/>
              <w:left w:val="nil"/>
              <w:bottom w:val="nil"/>
              <w:right w:val="nil"/>
            </w:tcBorders>
          </w:tcPr>
          <w:p w14:paraId="42C220A0">
            <w:pPr>
              <w:spacing w:line="400" w:lineRule="exact"/>
              <w:jc w:val="center"/>
              <w:rPr>
                <w:color w:val="auto"/>
              </w:rPr>
            </w:pPr>
            <w:r>
              <w:rPr>
                <w:color w:val="auto"/>
              </w:rPr>
              <w:t>8</w:t>
            </w:r>
          </w:p>
        </w:tc>
        <w:tc>
          <w:tcPr>
            <w:tcW w:w="1143" w:type="dxa"/>
            <w:tcBorders>
              <w:top w:val="nil"/>
              <w:left w:val="nil"/>
              <w:bottom w:val="nil"/>
              <w:right w:val="nil"/>
            </w:tcBorders>
          </w:tcPr>
          <w:p w14:paraId="2C6A7803">
            <w:pPr>
              <w:spacing w:line="400" w:lineRule="exact"/>
              <w:jc w:val="center"/>
              <w:rPr>
                <w:color w:val="auto"/>
              </w:rPr>
            </w:pPr>
            <w:r>
              <w:rPr>
                <w:color w:val="auto"/>
              </w:rPr>
              <w:t>0.75</w:t>
            </w:r>
          </w:p>
        </w:tc>
        <w:tc>
          <w:tcPr>
            <w:tcW w:w="1200" w:type="dxa"/>
            <w:tcBorders>
              <w:top w:val="nil"/>
              <w:left w:val="nil"/>
              <w:bottom w:val="nil"/>
              <w:right w:val="nil"/>
            </w:tcBorders>
          </w:tcPr>
          <w:p w14:paraId="0B8AD56C">
            <w:pPr>
              <w:spacing w:line="400" w:lineRule="exact"/>
              <w:jc w:val="center"/>
              <w:rPr>
                <w:color w:val="auto"/>
              </w:rPr>
            </w:pPr>
            <w:r>
              <w:rPr>
                <w:color w:val="auto"/>
              </w:rPr>
              <w:t>-0.12</w:t>
            </w:r>
          </w:p>
        </w:tc>
        <w:tc>
          <w:tcPr>
            <w:tcW w:w="1188" w:type="dxa"/>
            <w:tcBorders>
              <w:top w:val="nil"/>
              <w:left w:val="nil"/>
              <w:bottom w:val="nil"/>
              <w:right w:val="nil"/>
            </w:tcBorders>
          </w:tcPr>
          <w:p w14:paraId="682A4AE7">
            <w:pPr>
              <w:spacing w:line="400" w:lineRule="exact"/>
              <w:jc w:val="center"/>
              <w:rPr>
                <w:color w:val="auto"/>
              </w:rPr>
            </w:pPr>
            <w:r>
              <w:rPr>
                <w:color w:val="auto"/>
              </w:rPr>
              <w:t>-0.18</w:t>
            </w:r>
          </w:p>
        </w:tc>
        <w:tc>
          <w:tcPr>
            <w:tcW w:w="1581" w:type="dxa"/>
            <w:tcBorders>
              <w:top w:val="nil"/>
              <w:left w:val="nil"/>
              <w:bottom w:val="nil"/>
              <w:right w:val="nil"/>
            </w:tcBorders>
          </w:tcPr>
          <w:p w14:paraId="39886260">
            <w:pPr>
              <w:spacing w:line="400" w:lineRule="exact"/>
              <w:jc w:val="center"/>
              <w:rPr>
                <w:color w:val="auto"/>
              </w:rPr>
            </w:pPr>
            <w:r>
              <w:rPr>
                <w:color w:val="auto"/>
              </w:rPr>
              <w:t>0.29</w:t>
            </w:r>
          </w:p>
        </w:tc>
        <w:tc>
          <w:tcPr>
            <w:tcW w:w="1359" w:type="dxa"/>
            <w:tcBorders>
              <w:top w:val="nil"/>
              <w:left w:val="nil"/>
              <w:bottom w:val="nil"/>
              <w:right w:val="nil"/>
            </w:tcBorders>
          </w:tcPr>
          <w:p w14:paraId="4032CA47">
            <w:pPr>
              <w:spacing w:line="400" w:lineRule="exact"/>
              <w:jc w:val="center"/>
              <w:rPr>
                <w:color w:val="auto"/>
              </w:rPr>
            </w:pPr>
            <w:r>
              <w:rPr>
                <w:color w:val="auto"/>
              </w:rPr>
              <w:t>低</w:t>
            </w:r>
          </w:p>
        </w:tc>
      </w:tr>
      <w:tr w14:paraId="7318F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dxa"/>
            <w:tcBorders>
              <w:top w:val="nil"/>
              <w:left w:val="nil"/>
              <w:bottom w:val="nil"/>
              <w:right w:val="nil"/>
            </w:tcBorders>
          </w:tcPr>
          <w:p w14:paraId="0A2493B6">
            <w:pPr>
              <w:spacing w:line="400" w:lineRule="exact"/>
              <w:jc w:val="center"/>
              <w:rPr>
                <w:color w:val="auto"/>
              </w:rPr>
            </w:pPr>
            <w:r>
              <w:rPr>
                <w:color w:val="auto"/>
              </w:rPr>
              <w:t>北部</w:t>
            </w:r>
          </w:p>
        </w:tc>
        <w:tc>
          <w:tcPr>
            <w:tcW w:w="1084" w:type="dxa"/>
            <w:tcBorders>
              <w:top w:val="nil"/>
              <w:left w:val="nil"/>
              <w:bottom w:val="nil"/>
              <w:right w:val="nil"/>
            </w:tcBorders>
          </w:tcPr>
          <w:p w14:paraId="38436397">
            <w:pPr>
              <w:spacing w:line="400" w:lineRule="exact"/>
              <w:jc w:val="center"/>
              <w:rPr>
                <w:color w:val="auto"/>
              </w:rPr>
            </w:pPr>
            <w:r>
              <w:rPr>
                <w:color w:val="auto"/>
              </w:rPr>
              <w:t>10</w:t>
            </w:r>
          </w:p>
        </w:tc>
        <w:tc>
          <w:tcPr>
            <w:tcW w:w="1143" w:type="dxa"/>
            <w:tcBorders>
              <w:top w:val="nil"/>
              <w:left w:val="nil"/>
              <w:bottom w:val="nil"/>
              <w:right w:val="nil"/>
            </w:tcBorders>
          </w:tcPr>
          <w:p w14:paraId="0C5073B9">
            <w:pPr>
              <w:spacing w:line="400" w:lineRule="exact"/>
              <w:jc w:val="center"/>
              <w:rPr>
                <w:color w:val="auto"/>
              </w:rPr>
            </w:pPr>
            <w:r>
              <w:rPr>
                <w:color w:val="auto"/>
              </w:rPr>
              <w:t>0.82</w:t>
            </w:r>
          </w:p>
        </w:tc>
        <w:tc>
          <w:tcPr>
            <w:tcW w:w="1200" w:type="dxa"/>
            <w:tcBorders>
              <w:top w:val="nil"/>
              <w:left w:val="nil"/>
              <w:bottom w:val="nil"/>
              <w:right w:val="nil"/>
            </w:tcBorders>
          </w:tcPr>
          <w:p w14:paraId="057427D9">
            <w:pPr>
              <w:spacing w:line="400" w:lineRule="exact"/>
              <w:jc w:val="center"/>
              <w:rPr>
                <w:color w:val="auto"/>
              </w:rPr>
            </w:pPr>
            <w:r>
              <w:rPr>
                <w:color w:val="auto"/>
              </w:rPr>
              <w:t>0.05</w:t>
            </w:r>
          </w:p>
        </w:tc>
        <w:tc>
          <w:tcPr>
            <w:tcW w:w="1188" w:type="dxa"/>
            <w:tcBorders>
              <w:top w:val="nil"/>
              <w:left w:val="nil"/>
              <w:bottom w:val="nil"/>
              <w:right w:val="nil"/>
            </w:tcBorders>
          </w:tcPr>
          <w:p w14:paraId="542966AE">
            <w:pPr>
              <w:spacing w:line="400" w:lineRule="exact"/>
              <w:jc w:val="center"/>
              <w:rPr>
                <w:color w:val="auto"/>
              </w:rPr>
            </w:pPr>
            <w:r>
              <w:rPr>
                <w:color w:val="auto"/>
              </w:rPr>
              <w:t>-0.10</w:t>
            </w:r>
          </w:p>
        </w:tc>
        <w:tc>
          <w:tcPr>
            <w:tcW w:w="1581" w:type="dxa"/>
            <w:tcBorders>
              <w:top w:val="nil"/>
              <w:left w:val="nil"/>
              <w:bottom w:val="nil"/>
              <w:right w:val="nil"/>
            </w:tcBorders>
          </w:tcPr>
          <w:p w14:paraId="5354F98D">
            <w:pPr>
              <w:spacing w:line="400" w:lineRule="exact"/>
              <w:jc w:val="center"/>
              <w:rPr>
                <w:color w:val="auto"/>
              </w:rPr>
            </w:pPr>
            <w:r>
              <w:rPr>
                <w:color w:val="auto"/>
              </w:rPr>
              <w:t>0.41</w:t>
            </w:r>
          </w:p>
        </w:tc>
        <w:tc>
          <w:tcPr>
            <w:tcW w:w="1359" w:type="dxa"/>
            <w:tcBorders>
              <w:top w:val="nil"/>
              <w:left w:val="nil"/>
              <w:bottom w:val="nil"/>
              <w:right w:val="nil"/>
            </w:tcBorders>
          </w:tcPr>
          <w:p w14:paraId="7DF675FA">
            <w:pPr>
              <w:spacing w:line="400" w:lineRule="exact"/>
              <w:jc w:val="center"/>
              <w:rPr>
                <w:color w:val="auto"/>
              </w:rPr>
            </w:pPr>
            <w:r>
              <w:rPr>
                <w:color w:val="auto"/>
              </w:rPr>
              <w:t>中</w:t>
            </w:r>
          </w:p>
        </w:tc>
      </w:tr>
      <w:tr w14:paraId="2231E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dxa"/>
            <w:tcBorders>
              <w:top w:val="nil"/>
              <w:left w:val="nil"/>
              <w:bottom w:val="nil"/>
              <w:right w:val="nil"/>
            </w:tcBorders>
          </w:tcPr>
          <w:p w14:paraId="20B906E0">
            <w:pPr>
              <w:spacing w:line="400" w:lineRule="exact"/>
              <w:jc w:val="center"/>
              <w:rPr>
                <w:color w:val="auto"/>
              </w:rPr>
            </w:pPr>
            <w:r>
              <w:rPr>
                <w:color w:val="auto"/>
              </w:rPr>
              <w:t>南部</w:t>
            </w:r>
          </w:p>
        </w:tc>
        <w:tc>
          <w:tcPr>
            <w:tcW w:w="1084" w:type="dxa"/>
            <w:tcBorders>
              <w:top w:val="nil"/>
              <w:left w:val="nil"/>
              <w:bottom w:val="nil"/>
              <w:right w:val="nil"/>
            </w:tcBorders>
          </w:tcPr>
          <w:p w14:paraId="75498BE0">
            <w:pPr>
              <w:spacing w:line="400" w:lineRule="exact"/>
              <w:jc w:val="center"/>
              <w:rPr>
                <w:color w:val="auto"/>
              </w:rPr>
            </w:pPr>
            <w:r>
              <w:rPr>
                <w:color w:val="auto"/>
              </w:rPr>
              <w:t>15</w:t>
            </w:r>
          </w:p>
        </w:tc>
        <w:tc>
          <w:tcPr>
            <w:tcW w:w="1143" w:type="dxa"/>
            <w:tcBorders>
              <w:top w:val="nil"/>
              <w:left w:val="nil"/>
              <w:bottom w:val="nil"/>
              <w:right w:val="nil"/>
            </w:tcBorders>
          </w:tcPr>
          <w:p w14:paraId="2187FBAD">
            <w:pPr>
              <w:spacing w:line="400" w:lineRule="exact"/>
              <w:jc w:val="center"/>
              <w:rPr>
                <w:color w:val="auto"/>
              </w:rPr>
            </w:pPr>
            <w:r>
              <w:rPr>
                <w:color w:val="auto"/>
              </w:rPr>
              <w:t>0.85</w:t>
            </w:r>
          </w:p>
        </w:tc>
        <w:tc>
          <w:tcPr>
            <w:tcW w:w="1200" w:type="dxa"/>
            <w:tcBorders>
              <w:top w:val="nil"/>
              <w:left w:val="nil"/>
              <w:bottom w:val="nil"/>
              <w:right w:val="nil"/>
            </w:tcBorders>
          </w:tcPr>
          <w:p w14:paraId="78CED384">
            <w:pPr>
              <w:spacing w:line="400" w:lineRule="exact"/>
              <w:jc w:val="center"/>
              <w:rPr>
                <w:color w:val="auto"/>
              </w:rPr>
            </w:pPr>
            <w:r>
              <w:rPr>
                <w:color w:val="auto"/>
              </w:rPr>
              <w:t>0.15</w:t>
            </w:r>
          </w:p>
        </w:tc>
        <w:tc>
          <w:tcPr>
            <w:tcW w:w="1188" w:type="dxa"/>
            <w:tcBorders>
              <w:top w:val="nil"/>
              <w:left w:val="nil"/>
              <w:bottom w:val="nil"/>
              <w:right w:val="nil"/>
            </w:tcBorders>
          </w:tcPr>
          <w:p w14:paraId="31956D95">
            <w:pPr>
              <w:spacing w:line="400" w:lineRule="exact"/>
              <w:jc w:val="center"/>
              <w:rPr>
                <w:color w:val="auto"/>
              </w:rPr>
            </w:pPr>
            <w:r>
              <w:rPr>
                <w:color w:val="auto"/>
              </w:rPr>
              <w:t>0.05</w:t>
            </w:r>
          </w:p>
        </w:tc>
        <w:tc>
          <w:tcPr>
            <w:tcW w:w="1581" w:type="dxa"/>
            <w:tcBorders>
              <w:top w:val="nil"/>
              <w:left w:val="nil"/>
              <w:bottom w:val="nil"/>
              <w:right w:val="nil"/>
            </w:tcBorders>
          </w:tcPr>
          <w:p w14:paraId="4C99C611">
            <w:pPr>
              <w:spacing w:line="400" w:lineRule="exact"/>
              <w:jc w:val="center"/>
              <w:rPr>
                <w:color w:val="auto"/>
              </w:rPr>
            </w:pPr>
            <w:r>
              <w:rPr>
                <w:color w:val="auto"/>
              </w:rPr>
              <w:t>0.50</w:t>
            </w:r>
          </w:p>
        </w:tc>
        <w:tc>
          <w:tcPr>
            <w:tcW w:w="1359" w:type="dxa"/>
            <w:tcBorders>
              <w:top w:val="nil"/>
              <w:left w:val="nil"/>
              <w:bottom w:val="nil"/>
              <w:right w:val="nil"/>
            </w:tcBorders>
          </w:tcPr>
          <w:p w14:paraId="42506B51">
            <w:pPr>
              <w:spacing w:line="400" w:lineRule="exact"/>
              <w:jc w:val="center"/>
              <w:rPr>
                <w:color w:val="auto"/>
              </w:rPr>
            </w:pPr>
            <w:r>
              <w:rPr>
                <w:color w:val="auto"/>
              </w:rPr>
              <w:t>高</w:t>
            </w:r>
          </w:p>
        </w:tc>
      </w:tr>
      <w:tr w14:paraId="1CD1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dxa"/>
            <w:tcBorders>
              <w:top w:val="nil"/>
              <w:left w:val="nil"/>
              <w:right w:val="nil"/>
            </w:tcBorders>
          </w:tcPr>
          <w:p w14:paraId="6F741C02">
            <w:pPr>
              <w:spacing w:line="400" w:lineRule="exact"/>
              <w:jc w:val="center"/>
              <w:rPr>
                <w:color w:val="auto"/>
              </w:rPr>
            </w:pPr>
            <w:r>
              <w:rPr>
                <w:color w:val="auto"/>
              </w:rPr>
              <w:t>中部</w:t>
            </w:r>
          </w:p>
        </w:tc>
        <w:tc>
          <w:tcPr>
            <w:tcW w:w="1084" w:type="dxa"/>
            <w:tcBorders>
              <w:top w:val="nil"/>
              <w:left w:val="nil"/>
              <w:right w:val="nil"/>
            </w:tcBorders>
          </w:tcPr>
          <w:p w14:paraId="54636EBD">
            <w:pPr>
              <w:spacing w:line="400" w:lineRule="exact"/>
              <w:jc w:val="center"/>
              <w:rPr>
                <w:color w:val="auto"/>
              </w:rPr>
            </w:pPr>
            <w:r>
              <w:rPr>
                <w:color w:val="auto"/>
              </w:rPr>
              <w:t>6</w:t>
            </w:r>
          </w:p>
        </w:tc>
        <w:tc>
          <w:tcPr>
            <w:tcW w:w="1143" w:type="dxa"/>
            <w:tcBorders>
              <w:top w:val="nil"/>
              <w:left w:val="nil"/>
              <w:right w:val="nil"/>
            </w:tcBorders>
          </w:tcPr>
          <w:p w14:paraId="059C25CD">
            <w:pPr>
              <w:spacing w:line="400" w:lineRule="exact"/>
              <w:jc w:val="center"/>
              <w:rPr>
                <w:color w:val="auto"/>
              </w:rPr>
            </w:pPr>
            <w:r>
              <w:rPr>
                <w:color w:val="auto"/>
              </w:rPr>
              <w:t>0.70</w:t>
            </w:r>
          </w:p>
        </w:tc>
        <w:tc>
          <w:tcPr>
            <w:tcW w:w="1200" w:type="dxa"/>
            <w:tcBorders>
              <w:top w:val="nil"/>
              <w:left w:val="nil"/>
              <w:right w:val="nil"/>
            </w:tcBorders>
          </w:tcPr>
          <w:p w14:paraId="5262D47B">
            <w:pPr>
              <w:spacing w:line="400" w:lineRule="exact"/>
              <w:jc w:val="center"/>
              <w:rPr>
                <w:color w:val="auto"/>
              </w:rPr>
            </w:pPr>
            <w:r>
              <w:rPr>
                <w:color w:val="auto"/>
              </w:rPr>
              <w:t>-0.20</w:t>
            </w:r>
          </w:p>
        </w:tc>
        <w:tc>
          <w:tcPr>
            <w:tcW w:w="1188" w:type="dxa"/>
            <w:tcBorders>
              <w:top w:val="nil"/>
              <w:left w:val="nil"/>
              <w:right w:val="nil"/>
            </w:tcBorders>
          </w:tcPr>
          <w:p w14:paraId="347E5690">
            <w:pPr>
              <w:spacing w:line="400" w:lineRule="exact"/>
              <w:jc w:val="center"/>
              <w:rPr>
                <w:color w:val="auto"/>
              </w:rPr>
            </w:pPr>
            <w:r>
              <w:rPr>
                <w:color w:val="auto"/>
              </w:rPr>
              <w:t>-0.25</w:t>
            </w:r>
          </w:p>
        </w:tc>
        <w:tc>
          <w:tcPr>
            <w:tcW w:w="1581" w:type="dxa"/>
            <w:tcBorders>
              <w:top w:val="nil"/>
              <w:left w:val="nil"/>
              <w:right w:val="nil"/>
            </w:tcBorders>
          </w:tcPr>
          <w:p w14:paraId="6DCBB105">
            <w:pPr>
              <w:spacing w:line="400" w:lineRule="exact"/>
              <w:jc w:val="center"/>
              <w:rPr>
                <w:color w:val="auto"/>
              </w:rPr>
            </w:pPr>
            <w:r>
              <w:rPr>
                <w:color w:val="auto"/>
              </w:rPr>
              <w:t>0.22</w:t>
            </w:r>
          </w:p>
        </w:tc>
        <w:tc>
          <w:tcPr>
            <w:tcW w:w="1359" w:type="dxa"/>
            <w:tcBorders>
              <w:top w:val="nil"/>
              <w:left w:val="nil"/>
              <w:right w:val="nil"/>
            </w:tcBorders>
          </w:tcPr>
          <w:p w14:paraId="3A52FD6F">
            <w:pPr>
              <w:spacing w:line="400" w:lineRule="exact"/>
              <w:jc w:val="center"/>
              <w:rPr>
                <w:color w:val="auto"/>
              </w:rPr>
            </w:pPr>
            <w:r>
              <w:rPr>
                <w:color w:val="auto"/>
              </w:rPr>
              <w:t>暂缓</w:t>
            </w:r>
          </w:p>
        </w:tc>
      </w:tr>
    </w:tbl>
    <w:p w14:paraId="282E4D6A">
      <w:pPr>
        <w:spacing w:line="400" w:lineRule="exact"/>
        <w:rPr>
          <w:color w:val="auto"/>
        </w:rPr>
      </w:pPr>
    </w:p>
    <w:p w14:paraId="135CA46B">
      <w:pPr>
        <w:spacing w:line="400" w:lineRule="exact"/>
        <w:ind w:firstLine="480" w:firstLineChars="200"/>
        <w:rPr>
          <w:color w:val="auto"/>
        </w:rPr>
      </w:pPr>
      <w:r>
        <w:rPr>
          <w:color w:val="auto"/>
        </w:rPr>
        <w:t>从表4-9可以看出，不同区域的投资能力存在显著差异。东部和南部区域的平均投资能力较高，分别为0.52和0.50，它们在经济效益因子（F1）和成本控制因子（F2）上的优异表现。东部区域的平均F1值为0.88，F2值为0.10，表明项目在收益扩展和成本控制方面表现突出。南部区域的平均F1值为0.85，F2值为0.15，同样在经济效益和成本控制上具有优势。相比下，西部和中部区域的投资能力较低，平均投资能力分别为0.29和0.22，这主要归因于它们在成本控制和长期运营因子上的不足。西部区域的平均F2值为-0.12，F3值为-0.18。中部区域的平均F2值为-0.20，F3值为-0.25，表明这些区域在运维效率和项目可持续性方面有待提升。北部区域的平均投资能力为0.41，处于中等水平，在经济效益因子上表现较好（平均F1值为0.82），但在长期运营因子上仍有改进空间（平均F3值为-0.10）。投资优先级的划分也反映了这种区域差异，东部和南部被列为高优先级，北部为中优先级，而西部和中部则分别为低优先级和暂缓。</w:t>
      </w:r>
    </w:p>
    <w:p w14:paraId="641C463B">
      <w:pPr>
        <w:tabs>
          <w:tab w:val="left" w:pos="718"/>
        </w:tabs>
        <w:spacing w:before="156" w:beforeLines="50" w:after="156" w:afterLines="50" w:line="324" w:lineRule="auto"/>
        <w:outlineLvl w:val="1"/>
        <w:rPr>
          <w:rFonts w:eastAsia="黑体"/>
          <w:color w:val="auto"/>
          <w:sz w:val="28"/>
          <w:szCs w:val="28"/>
        </w:rPr>
      </w:pPr>
      <w:bookmarkStart w:id="143" w:name="_Toc192967132"/>
      <w:bookmarkStart w:id="144" w:name="_Toc193967369"/>
      <w:bookmarkStart w:id="145" w:name="_Toc23847"/>
      <w:r>
        <w:rPr>
          <w:rFonts w:eastAsia="黑体"/>
          <w:color w:val="auto"/>
          <w:sz w:val="28"/>
          <w:szCs w:val="28"/>
        </w:rPr>
        <w:t>4.4本章小结</w:t>
      </w:r>
      <w:bookmarkEnd w:id="143"/>
      <w:bookmarkEnd w:id="144"/>
      <w:bookmarkEnd w:id="145"/>
    </w:p>
    <w:p w14:paraId="2BBF2977">
      <w:pPr>
        <w:tabs>
          <w:tab w:val="left" w:pos="718"/>
        </w:tabs>
        <w:spacing w:line="400" w:lineRule="exact"/>
        <w:ind w:firstLine="480" w:firstLineChars="200"/>
        <w:rPr>
          <w:color w:val="auto"/>
        </w:rPr>
      </w:pPr>
      <w:r>
        <w:rPr>
          <w:color w:val="auto"/>
        </w:rPr>
        <w:t>如上所述，本章构建了多维度动态测算模型。研究发现，能源结构转型显著改变了投资需求方向，新能源接入与储能配套使单位容量投资成本提升18%-25%，但通过智能调度技术可降低12%的边际成本。市场主体多元化虽分散了投资风险，却使项目收益率波动幅度扩大至±15%，需建立弹性收益分配机制。技术创新呈现双刃剑效应，智能电网技术使投资回报周期缩短3-5年，但技术迭代风险导致15%的沉没成本。另外模型创新采用“特征提取-机器学习-动态优化”三级架构，实证显示预测误差率低于2.8%，较传统方法精度提升40%。实例分析表明，东部区域因高效益因子（0.88）和标准化程度（0.83）成为投资优选，而中西部需重点突破成本控制瓶颈。本章同步揭示了权重敏感性规律，经济效益因子权重每提升10%，高新能源渗透区域投资能力增长达7.2%。模型为J电网提供了兼顾战略适配性与财务可行性的决策工具，但需持续完善多时间尺度下的风险预警模块以适应技术快速迭代环境。</w:t>
      </w:r>
    </w:p>
    <w:p w14:paraId="5FA68083">
      <w:pPr>
        <w:tabs>
          <w:tab w:val="left" w:pos="718"/>
        </w:tabs>
        <w:spacing w:line="400" w:lineRule="exact"/>
        <w:ind w:firstLine="480" w:firstLineChars="200"/>
        <w:rPr>
          <w:color w:val="auto"/>
        </w:rPr>
      </w:pPr>
    </w:p>
    <w:p w14:paraId="119D09F8">
      <w:pPr>
        <w:tabs>
          <w:tab w:val="left" w:pos="718"/>
        </w:tabs>
        <w:spacing w:line="400" w:lineRule="exact"/>
        <w:ind w:firstLine="480" w:firstLineChars="200"/>
        <w:rPr>
          <w:color w:val="auto"/>
        </w:rPr>
      </w:pPr>
    </w:p>
    <w:p w14:paraId="5094238B">
      <w:pPr>
        <w:tabs>
          <w:tab w:val="left" w:pos="718"/>
        </w:tabs>
        <w:spacing w:line="400" w:lineRule="exact"/>
        <w:ind w:firstLine="480" w:firstLineChars="200"/>
        <w:rPr>
          <w:color w:val="auto"/>
        </w:rPr>
      </w:pPr>
    </w:p>
    <w:p w14:paraId="5E246B07">
      <w:pPr>
        <w:tabs>
          <w:tab w:val="left" w:pos="265"/>
        </w:tabs>
        <w:spacing w:line="400" w:lineRule="exact"/>
        <w:ind w:firstLine="480" w:firstLineChars="200"/>
        <w:rPr>
          <w:color w:val="auto"/>
        </w:rPr>
      </w:pPr>
      <w:r>
        <w:rPr>
          <w:color w:val="auto"/>
        </w:rPr>
        <w:tab/>
      </w:r>
    </w:p>
    <w:p w14:paraId="362ADC16">
      <w:pPr>
        <w:tabs>
          <w:tab w:val="left" w:pos="265"/>
        </w:tabs>
        <w:spacing w:line="400" w:lineRule="exact"/>
        <w:ind w:firstLine="480" w:firstLineChars="200"/>
        <w:rPr>
          <w:color w:val="auto"/>
        </w:rPr>
      </w:pPr>
    </w:p>
    <w:p w14:paraId="254A0B17">
      <w:pPr>
        <w:tabs>
          <w:tab w:val="left" w:pos="265"/>
        </w:tabs>
        <w:spacing w:line="400" w:lineRule="exact"/>
        <w:ind w:firstLine="480" w:firstLineChars="200"/>
        <w:rPr>
          <w:color w:val="auto"/>
        </w:rPr>
      </w:pPr>
    </w:p>
    <w:p w14:paraId="249835B1">
      <w:pPr>
        <w:tabs>
          <w:tab w:val="left" w:pos="265"/>
        </w:tabs>
        <w:spacing w:line="400" w:lineRule="exact"/>
        <w:ind w:firstLine="480" w:firstLineChars="200"/>
        <w:rPr>
          <w:color w:val="auto"/>
        </w:rPr>
      </w:pPr>
    </w:p>
    <w:p w14:paraId="7E5093F3">
      <w:pPr>
        <w:tabs>
          <w:tab w:val="left" w:pos="265"/>
        </w:tabs>
        <w:spacing w:line="400" w:lineRule="exact"/>
        <w:ind w:firstLine="480" w:firstLineChars="200"/>
        <w:rPr>
          <w:color w:val="auto"/>
        </w:rPr>
      </w:pPr>
    </w:p>
    <w:p w14:paraId="7448CA82">
      <w:pPr>
        <w:tabs>
          <w:tab w:val="left" w:pos="265"/>
        </w:tabs>
        <w:spacing w:line="400" w:lineRule="exact"/>
        <w:ind w:firstLine="480" w:firstLineChars="200"/>
        <w:rPr>
          <w:color w:val="auto"/>
        </w:rPr>
      </w:pPr>
    </w:p>
    <w:p w14:paraId="278DD989">
      <w:pPr>
        <w:tabs>
          <w:tab w:val="left" w:pos="265"/>
        </w:tabs>
        <w:spacing w:line="400" w:lineRule="exact"/>
        <w:ind w:firstLine="480" w:firstLineChars="200"/>
        <w:rPr>
          <w:color w:val="auto"/>
        </w:rPr>
      </w:pPr>
    </w:p>
    <w:p w14:paraId="07DF1D70">
      <w:pPr>
        <w:tabs>
          <w:tab w:val="left" w:pos="265"/>
        </w:tabs>
        <w:spacing w:line="400" w:lineRule="exact"/>
        <w:ind w:firstLine="480" w:firstLineChars="200"/>
        <w:rPr>
          <w:color w:val="auto"/>
        </w:rPr>
      </w:pPr>
    </w:p>
    <w:p w14:paraId="1578FBCD">
      <w:pPr>
        <w:tabs>
          <w:tab w:val="left" w:pos="265"/>
        </w:tabs>
        <w:spacing w:line="400" w:lineRule="exact"/>
        <w:ind w:firstLine="480" w:firstLineChars="200"/>
        <w:rPr>
          <w:color w:val="auto"/>
        </w:rPr>
      </w:pPr>
    </w:p>
    <w:p w14:paraId="5D609E18">
      <w:pPr>
        <w:tabs>
          <w:tab w:val="left" w:pos="265"/>
        </w:tabs>
        <w:spacing w:line="400" w:lineRule="exact"/>
        <w:ind w:firstLine="480" w:firstLineChars="200"/>
        <w:rPr>
          <w:color w:val="auto"/>
        </w:rPr>
      </w:pPr>
    </w:p>
    <w:p w14:paraId="5E9DE884">
      <w:pPr>
        <w:tabs>
          <w:tab w:val="left" w:pos="265"/>
        </w:tabs>
        <w:spacing w:line="400" w:lineRule="exact"/>
        <w:ind w:firstLine="480" w:firstLineChars="200"/>
        <w:rPr>
          <w:color w:val="auto"/>
        </w:rPr>
      </w:pPr>
    </w:p>
    <w:p w14:paraId="6AEDFC13">
      <w:pPr>
        <w:tabs>
          <w:tab w:val="left" w:pos="718"/>
        </w:tabs>
        <w:spacing w:line="400" w:lineRule="exact"/>
        <w:ind w:firstLine="480" w:firstLineChars="200"/>
        <w:rPr>
          <w:color w:val="auto"/>
        </w:rPr>
      </w:pPr>
    </w:p>
    <w:p w14:paraId="46EC42DD">
      <w:pPr>
        <w:tabs>
          <w:tab w:val="left" w:pos="718"/>
        </w:tabs>
        <w:spacing w:line="400" w:lineRule="exact"/>
        <w:ind w:firstLine="480" w:firstLineChars="200"/>
        <w:rPr>
          <w:color w:val="auto"/>
        </w:rPr>
      </w:pPr>
    </w:p>
    <w:p w14:paraId="70CDE9BB">
      <w:pPr>
        <w:tabs>
          <w:tab w:val="left" w:pos="718"/>
        </w:tabs>
        <w:spacing w:line="400" w:lineRule="exact"/>
        <w:rPr>
          <w:color w:val="auto"/>
        </w:rPr>
      </w:pPr>
    </w:p>
    <w:p w14:paraId="2BFFE38A">
      <w:pPr>
        <w:tabs>
          <w:tab w:val="left" w:pos="718"/>
        </w:tabs>
        <w:spacing w:line="400" w:lineRule="exact"/>
        <w:rPr>
          <w:color w:val="auto"/>
        </w:rPr>
      </w:pPr>
      <w:r>
        <w:rPr>
          <w:color w:val="auto"/>
        </w:rPr>
        <w:br w:type="page"/>
      </w:r>
    </w:p>
    <w:p w14:paraId="7A5AF464">
      <w:pPr>
        <w:spacing w:before="312" w:beforeLines="100" w:after="156" w:afterLines="50" w:line="300" w:lineRule="auto"/>
        <w:jc w:val="center"/>
        <w:outlineLvl w:val="0"/>
        <w:rPr>
          <w:rFonts w:eastAsia="黑体"/>
          <w:color w:val="auto"/>
          <w:sz w:val="36"/>
          <w:szCs w:val="36"/>
        </w:rPr>
      </w:pPr>
      <w:bookmarkStart w:id="146" w:name="_Toc11919"/>
      <w:bookmarkStart w:id="147" w:name="_Toc192967133"/>
      <w:bookmarkStart w:id="148" w:name="_Toc193967370"/>
      <w:r>
        <w:rPr>
          <w:rFonts w:eastAsia="黑体"/>
          <w:color w:val="auto"/>
          <w:sz w:val="36"/>
          <w:szCs w:val="36"/>
        </w:rPr>
        <w:t xml:space="preserve">第5章 </w:t>
      </w:r>
      <w:bookmarkStart w:id="149" w:name="_Hlk193750743"/>
      <w:r>
        <w:rPr>
          <w:rFonts w:eastAsia="黑体"/>
          <w:color w:val="auto"/>
          <w:sz w:val="36"/>
          <w:szCs w:val="36"/>
        </w:rPr>
        <w:t>新型电力系统背景下J电网项目智能投资决策优化</w:t>
      </w:r>
      <w:bookmarkEnd w:id="146"/>
      <w:bookmarkEnd w:id="147"/>
      <w:r>
        <w:rPr>
          <w:rFonts w:hint="eastAsia" w:eastAsia="黑体"/>
          <w:color w:val="auto"/>
          <w:sz w:val="36"/>
          <w:szCs w:val="36"/>
        </w:rPr>
        <w:t>模型</w:t>
      </w:r>
      <w:bookmarkEnd w:id="148"/>
      <w:bookmarkEnd w:id="149"/>
    </w:p>
    <w:p w14:paraId="5F10756D">
      <w:pPr>
        <w:spacing w:before="156" w:beforeLines="50" w:after="156" w:afterLines="50" w:line="324" w:lineRule="auto"/>
        <w:outlineLvl w:val="1"/>
        <w:rPr>
          <w:rFonts w:eastAsia="黑体"/>
          <w:color w:val="auto"/>
          <w:sz w:val="30"/>
          <w:szCs w:val="30"/>
        </w:rPr>
      </w:pPr>
      <w:bookmarkStart w:id="150" w:name="_Toc28092"/>
      <w:bookmarkStart w:id="151" w:name="_Toc192967134"/>
      <w:bookmarkStart w:id="152" w:name="_Toc193967371"/>
      <w:r>
        <w:rPr>
          <w:rFonts w:eastAsia="黑体"/>
          <w:color w:val="auto"/>
          <w:sz w:val="30"/>
          <w:szCs w:val="30"/>
        </w:rPr>
        <w:t>5.1 基于增广Lagrange乘子法的混合灰狼优化算法介绍</w:t>
      </w:r>
      <w:bookmarkEnd w:id="150"/>
      <w:bookmarkEnd w:id="151"/>
      <w:bookmarkEnd w:id="152"/>
    </w:p>
    <w:p w14:paraId="1575B742">
      <w:pPr>
        <w:spacing w:before="156" w:beforeLines="50" w:after="156" w:afterLines="50" w:line="400" w:lineRule="exact"/>
        <w:outlineLvl w:val="2"/>
        <w:rPr>
          <w:rFonts w:eastAsia="黑体"/>
          <w:color w:val="auto"/>
          <w:sz w:val="28"/>
          <w:szCs w:val="28"/>
        </w:rPr>
      </w:pPr>
      <w:bookmarkStart w:id="153" w:name="_Toc192967135"/>
      <w:bookmarkStart w:id="154" w:name="_Toc193967372"/>
      <w:bookmarkStart w:id="155" w:name="_Toc3706"/>
      <w:r>
        <w:rPr>
          <w:rFonts w:eastAsia="黑体"/>
          <w:color w:val="auto"/>
          <w:sz w:val="28"/>
          <w:szCs w:val="28"/>
        </w:rPr>
        <w:t>5.1.1 增广Lagrange乘子法原理</w:t>
      </w:r>
      <w:bookmarkEnd w:id="153"/>
      <w:bookmarkEnd w:id="154"/>
      <w:bookmarkEnd w:id="155"/>
    </w:p>
    <w:p w14:paraId="60041E97">
      <w:pPr>
        <w:spacing w:line="400" w:lineRule="exact"/>
        <w:ind w:firstLine="720" w:firstLineChars="300"/>
        <w:rPr>
          <w:color w:val="auto"/>
        </w:rPr>
      </w:pPr>
      <w:r>
        <w:rPr>
          <w:color w:val="auto"/>
        </w:rPr>
        <w:t>增广Lagrange乘子法是一种用于求解约束优化问题的有效方法，它将Lagrange乘子法与罚函数法相结合，既保留了Lagrange乘子法处理等式约束的优雅性，又吸收了罚函数法处理不等式或复杂约束的灵活性</w:t>
      </w:r>
      <w:r>
        <w:rPr>
          <w:color w:val="auto"/>
        </w:rPr>
        <w:fldChar w:fldCharType="begin"/>
      </w:r>
      <w:r>
        <w:rPr>
          <w:color w:val="auto"/>
        </w:rPr>
        <w:instrText xml:space="preserve"> REF _Ref193109874 \r \h </w:instrText>
      </w:r>
      <w:r>
        <w:rPr>
          <w:color w:val="auto"/>
        </w:rPr>
        <w:fldChar w:fldCharType="separate"/>
      </w:r>
      <w:r>
        <w:rPr>
          <w:color w:val="auto"/>
        </w:rPr>
        <w:t>[62]</w:t>
      </w:r>
      <w:r>
        <w:rPr>
          <w:color w:val="auto"/>
        </w:rPr>
        <w:fldChar w:fldCharType="end"/>
      </w:r>
      <w:r>
        <w:rPr>
          <w:color w:val="auto"/>
        </w:rPr>
        <w:t>。方法的基本原理在于，首先通过引入Lagrange乘子将原问题的等式约束转化为目标函数的一部分，形成一个新的Lagrange函数。然后，为了增强对约束的满足程度，对违反约束的情况施加一个惩罚项，这个惩罚项与约束违反的程度成正比，从而构成增广Lagrange函数。在迭代过程中，通过不断调整Lagrange乘子的值和惩罚项的权重，使得在寻求目标函数最小化的同时，逐渐逼近约束条件。当约束条件未被满足时，惩罚项会显著增大目标函数值，促使搜索方向向满足约束的方向移动</w:t>
      </w:r>
      <w:r>
        <w:rPr>
          <w:rStyle w:val="20"/>
          <w:color w:val="auto"/>
        </w:rPr>
        <w:t>[</w:t>
      </w:r>
      <w:r>
        <w:rPr>
          <w:rStyle w:val="20"/>
          <w:color w:val="auto"/>
        </w:rPr>
        <w:endnoteReference w:id="2"/>
      </w:r>
      <w:r>
        <w:rPr>
          <w:rStyle w:val="20"/>
          <w:color w:val="auto"/>
        </w:rPr>
        <w:t>]</w:t>
      </w:r>
      <w:r>
        <w:rPr>
          <w:color w:val="auto"/>
        </w:rPr>
        <w:t>。随着迭代的进行，惩罚项的权重逐渐增加，使得约束违反的程度逐渐减小，直至最终满足所有约束条件。增广Lagrange乘子法结合了Lagrange乘子法的精确性和罚函数法的鲁棒性，适用于处理各种复杂的约束优化问题，是优化理论中一种重要的求解方法。通过合理的参数选择和迭代策略，该方法能够有效地找到满足约束条件的最优解</w:t>
      </w:r>
      <w:r>
        <w:rPr>
          <w:color w:val="auto"/>
        </w:rPr>
        <w:fldChar w:fldCharType="begin"/>
      </w:r>
      <w:r>
        <w:rPr>
          <w:color w:val="auto"/>
        </w:rPr>
        <w:instrText xml:space="preserve"> REF _Ref193109920 \r \h </w:instrText>
      </w:r>
      <w:r>
        <w:rPr>
          <w:color w:val="auto"/>
        </w:rPr>
        <w:fldChar w:fldCharType="separate"/>
      </w:r>
      <w:r>
        <w:rPr>
          <w:color w:val="auto"/>
        </w:rPr>
        <w:t>[64]</w:t>
      </w:r>
      <w:r>
        <w:rPr>
          <w:color w:val="auto"/>
        </w:rPr>
        <w:fldChar w:fldCharType="end"/>
      </w:r>
      <w:r>
        <w:rPr>
          <w:color w:val="auto"/>
        </w:rPr>
        <w:fldChar w:fldCharType="begin"/>
      </w:r>
      <w:r>
        <w:rPr>
          <w:color w:val="auto"/>
        </w:rPr>
        <w:instrText xml:space="preserve"> REF _Ref193110112 \r \h </w:instrText>
      </w:r>
      <w:r>
        <w:rPr>
          <w:color w:val="auto"/>
        </w:rPr>
        <w:fldChar w:fldCharType="separate"/>
      </w:r>
      <w:r>
        <w:rPr>
          <w:color w:val="auto"/>
        </w:rPr>
        <w:t>[65]</w:t>
      </w:r>
      <w:r>
        <w:rPr>
          <w:color w:val="auto"/>
        </w:rPr>
        <w:fldChar w:fldCharType="end"/>
      </w:r>
      <w:r>
        <w:rPr>
          <w:color w:val="auto"/>
        </w:rPr>
        <w:t>。</w:t>
      </w:r>
    </w:p>
    <w:p w14:paraId="191668DD">
      <w:pPr>
        <w:spacing w:line="400" w:lineRule="exact"/>
        <w:ind w:firstLine="480" w:firstLineChars="200"/>
        <w:rPr>
          <w:color w:val="auto"/>
        </w:rPr>
      </w:pPr>
      <w:r>
        <w:rPr>
          <w:color w:val="auto"/>
        </w:rPr>
        <w:t>增广Lagrange乘子法算法步骤共有七步组成如下所示：</w:t>
      </w:r>
    </w:p>
    <w:p w14:paraId="0BC1B03E">
      <w:pPr>
        <w:spacing w:line="400" w:lineRule="exact"/>
        <w:ind w:firstLine="480" w:firstLineChars="200"/>
        <w:rPr>
          <w:color w:val="auto"/>
        </w:rPr>
      </w:pPr>
      <w:r>
        <w:rPr>
          <w:color w:val="auto"/>
        </w:rPr>
        <w:t>（1）初始化参数</w:t>
      </w:r>
    </w:p>
    <w:p w14:paraId="2092F8B7">
      <w:pPr>
        <w:spacing w:line="400" w:lineRule="exact"/>
        <w:ind w:firstLine="480" w:firstLineChars="200"/>
        <w:rPr>
          <w:color w:val="auto"/>
        </w:rPr>
      </w:pPr>
      <w:r>
        <w:rPr>
          <w:color w:val="auto"/>
        </w:rPr>
        <w:t xml:space="preserve">初始化变量 </w:t>
      </w:r>
      <m:oMath>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0</m:t>
            </m:r>
            <m:ctrlPr>
              <w:rPr>
                <w:rFonts w:ascii="Cambria Math" w:hAnsi="Cambria Math"/>
                <w:i/>
                <w:color w:val="auto"/>
              </w:rPr>
            </m:ctrlPr>
          </m:sub>
        </m:sSub>
      </m:oMath>
      <w:r>
        <w:rPr>
          <w:color w:val="auto"/>
        </w:rPr>
        <w:t>（优化变量的初始值）。</w:t>
      </w:r>
    </w:p>
    <w:p w14:paraId="415C552E">
      <w:pPr>
        <w:spacing w:line="400" w:lineRule="exact"/>
        <w:ind w:firstLine="420"/>
        <w:rPr>
          <w:color w:val="auto"/>
        </w:rPr>
      </w:pPr>
      <w:r>
        <w:rPr>
          <w:color w:val="auto"/>
        </w:rPr>
        <w:t xml:space="preserve">初始化Lagrange乘子 </w:t>
      </w:r>
      <m:oMath>
        <m:sSup>
          <m:sSupPr>
            <m:ctrlPr>
              <w:rPr>
                <w:rFonts w:ascii="Cambria Math" w:hAnsi="Cambria Math"/>
                <w:i/>
                <w:color w:val="auto"/>
              </w:rPr>
            </m:ctrlPr>
          </m:sSupPr>
          <m:e>
            <m:r>
              <m:rPr/>
              <w:rPr>
                <w:rFonts w:ascii="Cambria Math" w:hAnsi="Cambria Math"/>
                <w:color w:val="auto"/>
              </w:rPr>
              <m:t>λ</m:t>
            </m:r>
            <m:ctrlPr>
              <w:rPr>
                <w:rFonts w:ascii="Cambria Math" w:hAnsi="Cambria Math"/>
                <w:i/>
                <w:color w:val="auto"/>
              </w:rPr>
            </m:ctrlPr>
          </m:e>
          <m:sup>
            <m:r>
              <m:rPr/>
              <w:rPr>
                <w:rFonts w:ascii="Cambria Math" w:hAnsi="Cambria Math"/>
                <w:color w:val="auto"/>
              </w:rPr>
              <m:t>(0)</m:t>
            </m:r>
            <m:ctrlPr>
              <w:rPr>
                <w:rFonts w:ascii="Cambria Math" w:hAnsi="Cambria Math"/>
                <w:i/>
                <w:color w:val="auto"/>
              </w:rPr>
            </m:ctrlPr>
          </m:sup>
        </m:sSup>
        <m:r>
          <m:rPr/>
          <w:rPr>
            <w:rFonts w:ascii="Cambria Math" w:hAnsi="Cambria Math"/>
            <w:color w:val="auto"/>
          </w:rPr>
          <m:t>=0</m:t>
        </m:r>
      </m:oMath>
      <w:r>
        <w:rPr>
          <w:color w:val="auto"/>
        </w:rPr>
        <w:t xml:space="preserve">或其他合理值。 </w:t>
      </w:r>
    </w:p>
    <w:p w14:paraId="0E3C913E">
      <w:pPr>
        <w:spacing w:line="400" w:lineRule="exact"/>
        <w:ind w:firstLine="420"/>
        <w:rPr>
          <w:color w:val="auto"/>
        </w:rPr>
      </w:pPr>
      <w:r>
        <w:rPr>
          <w:color w:val="auto"/>
        </w:rPr>
        <w:t>设置惩罚参数</w:t>
      </w:r>
      <w:r>
        <w:rPr>
          <w:i/>
          <w:iCs/>
          <w:color w:val="auto"/>
        </w:rPr>
        <w:t>ρ&gt;0</w:t>
      </w:r>
      <w:r>
        <w:rPr>
          <w:color w:val="auto"/>
        </w:rPr>
        <w:t>的初始值。</w:t>
      </w:r>
    </w:p>
    <w:p w14:paraId="449CAE99">
      <w:pPr>
        <w:spacing w:line="400" w:lineRule="exact"/>
        <w:ind w:firstLine="420"/>
        <w:rPr>
          <w:color w:val="auto"/>
        </w:rPr>
      </w:pPr>
      <w:r>
        <w:rPr>
          <w:color w:val="auto"/>
        </w:rPr>
        <w:t>定义收敛条件：例如目标函数值的变化量或约束违反程度小于某个阈值</w:t>
      </w:r>
      <w:r>
        <w:rPr>
          <w:i/>
          <w:iCs/>
          <w:color w:val="auto"/>
        </w:rPr>
        <w:t>ϵ</w:t>
      </w:r>
      <w:r>
        <w:rPr>
          <w:color w:val="auto"/>
        </w:rPr>
        <w:t>。</w:t>
      </w:r>
    </w:p>
    <w:p w14:paraId="49E2EA77">
      <w:pPr>
        <w:spacing w:line="400" w:lineRule="exact"/>
        <w:ind w:firstLine="420"/>
        <w:rPr>
          <w:color w:val="auto"/>
        </w:rPr>
      </w:pPr>
      <w:r>
        <w:rPr>
          <w:color w:val="auto"/>
        </w:rPr>
        <w:t>（2）构造增广Lagrange函数</w:t>
      </w:r>
    </w:p>
    <w:p w14:paraId="2149AAA1">
      <w:pPr>
        <w:spacing w:line="400" w:lineRule="exact"/>
        <w:ind w:firstLine="420"/>
        <w:rPr>
          <w:color w:val="auto"/>
        </w:rPr>
      </w:pPr>
      <w:r>
        <w:rPr>
          <w:color w:val="auto"/>
        </w:rPr>
        <w:t>根据问题的约束条件</w:t>
      </w:r>
      <m:oMath>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(x)</m:t>
        </m:r>
      </m:oMath>
      <w:r>
        <w:rPr>
          <w:color w:val="auto"/>
        </w:rPr>
        <w:t>构造增广Lagrange函数</w:t>
      </w:r>
      <w:r>
        <w:rPr>
          <w:color w:val="auto"/>
        </w:rPr>
        <w:fldChar w:fldCharType="begin"/>
      </w:r>
      <w:r>
        <w:rPr>
          <w:color w:val="auto"/>
        </w:rPr>
        <w:instrText xml:space="preserve"> REF _Ref193110131 \r \h </w:instrText>
      </w:r>
      <w:r>
        <w:rPr>
          <w:color w:val="auto"/>
        </w:rPr>
        <w:fldChar w:fldCharType="separate"/>
      </w:r>
      <w:r>
        <w:rPr>
          <w:color w:val="auto"/>
        </w:rPr>
        <w:t>[66]</w:t>
      </w:r>
      <w:r>
        <w:rPr>
          <w:color w:val="auto"/>
        </w:rPr>
        <w:fldChar w:fldCharType="end"/>
      </w:r>
      <w:r>
        <w:rPr>
          <w:color w:val="auto"/>
        </w:rPr>
        <w:t>：</w:t>
      </w:r>
    </w:p>
    <w:p w14:paraId="22239C56">
      <w:pPr>
        <w:tabs>
          <w:tab w:val="left" w:pos="1799"/>
        </w:tabs>
        <w:spacing w:line="400" w:lineRule="exact"/>
        <w:ind w:firstLine="420"/>
        <w:jc w:val="right"/>
        <w:rPr>
          <w:color w:val="auto"/>
        </w:rPr>
      </w:pPr>
      <w:r>
        <w:rPr>
          <w:color w:val="auto"/>
        </w:rPr>
        <w:br w:type="textWrapping"/>
      </w:r>
      <w:r>
        <w:rPr>
          <w:color w:val="auto"/>
        </w:rPr>
        <w:t xml:space="preserve">      </w:t>
      </w:r>
      <m:oMath>
        <m:sSub>
          <m:sSubPr>
            <m:ctrlPr>
              <w:rPr>
                <w:rFonts w:ascii="Cambria Math" w:hAnsi="Cambria Math"/>
                <w:i/>
                <w:color w:val="auto"/>
              </w:rPr>
            </m:ctrlPr>
          </m:sSubPr>
          <m:e>
            <m:r>
              <m:rPr/>
              <w:rPr>
                <w:rFonts w:ascii="Cambria Math" w:hAnsi="Cambria Math"/>
                <w:color w:val="auto"/>
              </w:rPr>
              <m:t>L</m:t>
            </m:r>
            <m:ctrlPr>
              <w:rPr>
                <w:rFonts w:ascii="Cambria Math" w:hAnsi="Cambria Math"/>
                <w:i/>
                <w:color w:val="auto"/>
              </w:rPr>
            </m:ctrlPr>
          </m:e>
          <m:sub>
            <m:r>
              <m:rPr/>
              <w:rPr>
                <w:rFonts w:ascii="Cambria Math" w:hAnsi="Cambria Math"/>
                <w:color w:val="auto"/>
              </w:rPr>
              <m:t>A</m:t>
            </m:r>
            <m:ctrlPr>
              <w:rPr>
                <w:rFonts w:ascii="Cambria Math" w:hAnsi="Cambria Math"/>
                <w:i/>
                <w:color w:val="auto"/>
              </w:rPr>
            </m:ctrlPr>
          </m:sub>
        </m:sSub>
        <m:r>
          <m:rPr/>
          <w:rPr>
            <w:rFonts w:ascii="Cambria Math" w:hAnsi="Cambria Math"/>
            <w:color w:val="auto"/>
          </w:rPr>
          <m:t>(x,λ,ρ)=f(x)+</m:t>
        </m:r>
        <m:nary>
          <m:naryPr>
            <m:chr m:val="∑"/>
            <m:limLoc m:val="undOvr"/>
            <m:supHide m:val="1"/>
            <m:ctrlPr>
              <w:rPr>
                <w:rFonts w:ascii="Cambria Math" w:hAnsi="Cambria Math"/>
                <w:i/>
                <w:color w:val="auto"/>
              </w:rPr>
            </m:ctrlPr>
          </m:naryPr>
          <m:sub>
            <m:r>
              <m:rPr/>
              <w:rPr>
                <w:rFonts w:ascii="Cambria Math" w:hAnsi="Cambria Math"/>
                <w:color w:val="auto"/>
              </w:rPr>
              <m:t>i</m:t>
            </m:r>
            <m:ctrlPr>
              <w:rPr>
                <w:rFonts w:ascii="Cambria Math" w:hAnsi="Cambria Math"/>
                <w:i/>
                <w:color w:val="auto"/>
              </w:rPr>
            </m:ctrlPr>
          </m:sub>
          <m:sup>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λ</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e>
        </m:nary>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(x)+</m:t>
        </m:r>
        <m:f>
          <m:fPr>
            <m:ctrlPr>
              <w:rPr>
                <w:rFonts w:ascii="Cambria Math" w:hAnsi="Cambria Math"/>
                <w:i/>
                <w:color w:val="auto"/>
              </w:rPr>
            </m:ctrlPr>
          </m:fPr>
          <m:num>
            <m:r>
              <m:rPr/>
              <w:rPr>
                <w:rFonts w:ascii="Cambria Math" w:hAnsi="Cambria Math"/>
                <w:color w:val="auto"/>
              </w:rPr>
              <m:t>ρ</m:t>
            </m:r>
            <m:ctrlPr>
              <w:rPr>
                <w:rFonts w:ascii="Cambria Math" w:hAnsi="Cambria Math"/>
                <w:i/>
                <w:color w:val="auto"/>
              </w:rPr>
            </m:ctrlPr>
          </m:num>
          <m:den>
            <m:r>
              <m:rPr/>
              <w:rPr>
                <w:rFonts w:ascii="Cambria Math" w:hAnsi="Cambria Math"/>
                <w:color w:val="auto"/>
              </w:rPr>
              <m:t>2</m:t>
            </m:r>
            <m:ctrlPr>
              <w:rPr>
                <w:rFonts w:ascii="Cambria Math" w:hAnsi="Cambria Math"/>
                <w:i/>
                <w:color w:val="auto"/>
              </w:rPr>
            </m:ctrlPr>
          </m:den>
        </m:f>
        <m:nary>
          <m:naryPr>
            <m:chr m:val="∑"/>
            <m:limLoc m:val="undOvr"/>
            <m:supHide m:val="1"/>
            <m:ctrlPr>
              <w:rPr>
                <w:rFonts w:ascii="Cambria Math" w:hAnsi="Cambria Math"/>
                <w:i/>
                <w:color w:val="auto"/>
              </w:rPr>
            </m:ctrlPr>
          </m:naryPr>
          <m:sub>
            <m:r>
              <m:rPr/>
              <w:rPr>
                <w:rFonts w:ascii="Cambria Math" w:hAnsi="Cambria Math"/>
                <w:color w:val="auto"/>
              </w:rPr>
              <m:t>i</m:t>
            </m:r>
            <m:ctrlPr>
              <w:rPr>
                <w:rFonts w:ascii="Cambria Math" w:hAnsi="Cambria Math"/>
                <w:i/>
                <w:color w:val="auto"/>
              </w:rPr>
            </m:ctrlPr>
          </m:sub>
          <m:sup>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e>
        </m:nary>
        <m:r>
          <m:rPr/>
          <w:rPr>
            <w:rFonts w:ascii="Cambria Math" w:hAnsi="Cambria Math"/>
            <w:color w:val="auto"/>
          </w:rPr>
          <m:t>(x</m:t>
        </m:r>
        <m:sSup>
          <m:sSupPr>
            <m:ctrlPr>
              <w:rPr>
                <w:rFonts w:ascii="Cambria Math" w:hAnsi="Cambria Math"/>
                <w:i/>
                <w:color w:val="auto"/>
              </w:rPr>
            </m:ctrlPr>
          </m:sSupPr>
          <m:e>
            <m:r>
              <m:rPr/>
              <w:rPr>
                <w:rFonts w:ascii="Cambria Math" w:hAnsi="Cambria Math"/>
                <w:color w:val="auto"/>
              </w:rPr>
              <m:t>)</m:t>
            </m:r>
            <m:ctrlPr>
              <w:rPr>
                <w:rFonts w:ascii="Cambria Math" w:hAnsi="Cambria Math"/>
                <w:i/>
                <w:color w:val="auto"/>
              </w:rPr>
            </m:ctrlPr>
          </m:e>
          <m:sup>
            <m:r>
              <m:rPr/>
              <w:rPr>
                <w:rFonts w:ascii="Cambria Math" w:hAnsi="Cambria Math"/>
                <w:color w:val="auto"/>
              </w:rPr>
              <m:t>2</m:t>
            </m:r>
            <m:ctrlPr>
              <w:rPr>
                <w:rFonts w:ascii="Cambria Math" w:hAnsi="Cambria Math"/>
                <w:i/>
                <w:color w:val="auto"/>
              </w:rPr>
            </m:ctrlPr>
          </m:sup>
        </m:sSup>
      </m:oMath>
      <w:r>
        <w:rPr>
          <w:color w:val="auto"/>
        </w:rPr>
        <w:t xml:space="preserve">              （5-1）</w:t>
      </w:r>
    </w:p>
    <w:p w14:paraId="4B314B69">
      <w:pPr>
        <w:spacing w:line="400" w:lineRule="exact"/>
        <w:ind w:firstLine="420"/>
        <w:rPr>
          <w:color w:val="auto"/>
        </w:rPr>
      </w:pPr>
      <w:r>
        <w:rPr>
          <w:color w:val="auto"/>
        </w:rPr>
        <w:t>（3）更新优化变量</w:t>
      </w:r>
      <w:r>
        <w:rPr>
          <w:i/>
          <w:iCs/>
          <w:color w:val="auto"/>
        </w:rPr>
        <w:t>x</w:t>
      </w:r>
    </w:p>
    <w:p w14:paraId="3D26CF84">
      <w:pPr>
        <w:spacing w:line="400" w:lineRule="exact"/>
        <w:ind w:firstLine="480" w:firstLineChars="200"/>
        <w:rPr>
          <w:color w:val="auto"/>
        </w:rPr>
      </w:pPr>
      <w:r>
        <w:rPr>
          <w:color w:val="auto"/>
        </w:rPr>
        <w:t>固定当前的</w:t>
      </w:r>
      <w:r>
        <w:rPr>
          <w:i/>
          <w:iCs/>
          <w:color w:val="auto"/>
        </w:rPr>
        <w:t>λ</w:t>
      </w:r>
      <w:r>
        <w:rPr>
          <w:color w:val="auto"/>
        </w:rPr>
        <w:t>和</w:t>
      </w:r>
      <w:r>
        <w:rPr>
          <w:i/>
          <w:iCs/>
          <w:color w:val="auto"/>
        </w:rPr>
        <w:t>ρ</w:t>
      </w:r>
      <w:r>
        <w:rPr>
          <w:color w:val="auto"/>
        </w:rPr>
        <w:t>，通过最小化增广Lagrange函数</w:t>
      </w:r>
      <m:oMath>
        <m:sSub>
          <m:sSubPr>
            <m:ctrlPr>
              <w:rPr>
                <w:rFonts w:ascii="Cambria Math" w:hAnsi="Cambria Math"/>
                <w:i/>
                <w:color w:val="auto"/>
              </w:rPr>
            </m:ctrlPr>
          </m:sSubPr>
          <m:e>
            <m:r>
              <m:rPr/>
              <w:rPr>
                <w:rFonts w:ascii="Cambria Math" w:hAnsi="Cambria Math"/>
                <w:color w:val="auto"/>
              </w:rPr>
              <m:t>L</m:t>
            </m:r>
            <m:ctrlPr>
              <w:rPr>
                <w:rFonts w:ascii="Cambria Math" w:hAnsi="Cambria Math"/>
                <w:i/>
                <w:color w:val="auto"/>
              </w:rPr>
            </m:ctrlPr>
          </m:e>
          <m:sub>
            <m:r>
              <m:rPr/>
              <w:rPr>
                <w:rFonts w:ascii="Cambria Math" w:hAnsi="Cambria Math"/>
                <w:color w:val="auto"/>
              </w:rPr>
              <m:t>A</m:t>
            </m:r>
            <m:ctrlPr>
              <w:rPr>
                <w:rFonts w:ascii="Cambria Math" w:hAnsi="Cambria Math"/>
                <w:i/>
                <w:color w:val="auto"/>
              </w:rPr>
            </m:ctrlPr>
          </m:sub>
        </m:sSub>
        <m:r>
          <m:rPr/>
          <w:rPr>
            <w:rFonts w:ascii="Cambria Math" w:hAnsi="Cambria Math"/>
            <w:color w:val="auto"/>
          </w:rPr>
          <m:t>(x,λ,ρ)</m:t>
        </m:r>
      </m:oMath>
      <w:r>
        <w:rPr>
          <w:color w:val="auto"/>
        </w:rPr>
        <w:t>更新</w:t>
      </w:r>
      <w:r>
        <w:rPr>
          <w:i/>
          <w:iCs/>
          <w:color w:val="auto"/>
        </w:rPr>
        <w:t>x</w:t>
      </w:r>
      <w:r>
        <w:rPr>
          <w:color w:val="auto"/>
        </w:rPr>
        <w:t>：</w:t>
      </w:r>
    </w:p>
    <w:p w14:paraId="14F3C2AA">
      <w:pPr>
        <w:tabs>
          <w:tab w:val="left" w:pos="2339"/>
        </w:tabs>
        <w:spacing w:line="400" w:lineRule="exact"/>
        <w:ind w:firstLine="420"/>
        <w:rPr>
          <w:color w:val="auto"/>
        </w:rPr>
      </w:pPr>
      <w:r>
        <w:rPr>
          <w:color w:val="auto"/>
        </w:rPr>
        <w:tab/>
      </w:r>
      <m:oMath>
        <m:sSup>
          <m:sSupPr>
            <m:ctrlPr>
              <w:rPr>
                <w:rFonts w:ascii="Cambria Math" w:hAnsi="Cambria Math"/>
                <w:i/>
                <w:color w:val="auto"/>
              </w:rPr>
            </m:ctrlPr>
          </m:sSupPr>
          <m:e>
            <m:r>
              <m:rPr/>
              <w:rPr>
                <w:rFonts w:ascii="Cambria Math" w:hAnsi="Cambria Math"/>
                <w:color w:val="auto"/>
              </w:rPr>
              <m:t>x</m:t>
            </m:r>
            <m:ctrlPr>
              <w:rPr>
                <w:rFonts w:ascii="Cambria Math" w:hAnsi="Cambria Math"/>
                <w:i/>
                <w:color w:val="auto"/>
              </w:rPr>
            </m:ctrlPr>
          </m:e>
          <m:sup>
            <m:r>
              <m:rPr/>
              <w:rPr>
                <w:rFonts w:ascii="Cambria Math" w:hAnsi="Cambria Math"/>
                <w:color w:val="auto"/>
              </w:rPr>
              <m:t>(k+1)</m:t>
            </m:r>
            <m:ctrlPr>
              <w:rPr>
                <w:rFonts w:ascii="Cambria Math" w:hAnsi="Cambria Math"/>
                <w:i/>
                <w:color w:val="auto"/>
              </w:rPr>
            </m:ctrlPr>
          </m:sup>
        </m:sSup>
        <m:r>
          <m:rPr/>
          <w:rPr>
            <w:rFonts w:ascii="Cambria Math" w:hAnsi="Cambria Math"/>
            <w:color w:val="auto"/>
          </w:rPr>
          <m:t>=</m:t>
        </m:r>
        <m:r>
          <m:rPr>
            <m:sty m:val="p"/>
          </m:rPr>
          <w:rPr>
            <w:rFonts w:ascii="Cambria Math" w:hAnsi="Cambria Math"/>
            <w:color w:val="auto"/>
          </w:rPr>
          <m:t>arg</m:t>
        </m:r>
        <m:box>
          <m:boxPr>
            <m:ctrlPr>
              <w:rPr>
                <w:rFonts w:ascii="Cambria Math" w:hAnsi="Cambria Math"/>
                <w:iCs/>
                <w:color w:val="auto"/>
              </w:rPr>
            </m:ctrlPr>
          </m:boxPr>
          <m:e>
            <m:argPr>
              <m:argSz m:val="-1"/>
            </m:argPr>
            <m:f>
              <m:fPr>
                <m:type m:val="nobar"/>
                <m:ctrlPr>
                  <w:rPr>
                    <w:rFonts w:ascii="Cambria Math" w:hAnsi="Cambria Math"/>
                    <w:iCs/>
                    <w:color w:val="auto"/>
                  </w:rPr>
                </m:ctrlPr>
              </m:fPr>
              <m:num>
                <m:r>
                  <m:rPr>
                    <m:sty m:val="p"/>
                  </m:rPr>
                  <w:rPr>
                    <w:rFonts w:ascii="Cambria Math" w:hAnsi="Cambria Math"/>
                    <w:color w:val="auto"/>
                  </w:rPr>
                  <m:t>min</m:t>
                </m:r>
                <m:ctrlPr>
                  <w:rPr>
                    <w:rFonts w:ascii="Cambria Math" w:hAnsi="Cambria Math"/>
                    <w:iCs/>
                    <w:color w:val="auto"/>
                  </w:rPr>
                </m:ctrlPr>
              </m:num>
              <m:den>
                <m:r>
                  <m:rPr/>
                  <w:rPr>
                    <w:rFonts w:ascii="Cambria Math" w:hAnsi="Cambria Math"/>
                    <w:color w:val="auto"/>
                  </w:rPr>
                  <m:t>x</m:t>
                </m:r>
                <m:ctrlPr>
                  <w:rPr>
                    <w:rFonts w:ascii="Cambria Math" w:hAnsi="Cambria Math"/>
                    <w:iCs/>
                    <w:color w:val="auto"/>
                  </w:rPr>
                </m:ctrlPr>
              </m:den>
            </m:f>
            <m:ctrlPr>
              <w:rPr>
                <w:rFonts w:ascii="Cambria Math" w:hAnsi="Cambria Math"/>
                <w:iCs/>
                <w:color w:val="auto"/>
              </w:rPr>
            </m:ctrlPr>
          </m:e>
        </m:box>
        <m:sSub>
          <m:sSubPr>
            <m:ctrlPr>
              <w:rPr>
                <w:rFonts w:ascii="Cambria Math" w:hAnsi="Cambria Math"/>
                <w:i/>
                <w:color w:val="auto"/>
              </w:rPr>
            </m:ctrlPr>
          </m:sSubPr>
          <m:e>
            <m:r>
              <m:rPr/>
              <w:rPr>
                <w:rFonts w:ascii="Cambria Math" w:hAnsi="Cambria Math"/>
                <w:color w:val="auto"/>
              </w:rPr>
              <m:t>L</m:t>
            </m:r>
            <m:ctrlPr>
              <w:rPr>
                <w:rFonts w:ascii="Cambria Math" w:hAnsi="Cambria Math"/>
                <w:i/>
                <w:color w:val="auto"/>
              </w:rPr>
            </m:ctrlPr>
          </m:e>
          <m:sub>
            <m:r>
              <m:rPr/>
              <w:rPr>
                <w:rFonts w:ascii="Cambria Math" w:hAnsi="Cambria Math"/>
                <w:color w:val="auto"/>
              </w:rPr>
              <m:t>A</m:t>
            </m:r>
            <m:ctrlPr>
              <w:rPr>
                <w:rFonts w:ascii="Cambria Math" w:hAnsi="Cambria Math"/>
                <w:i/>
                <w:color w:val="auto"/>
              </w:rPr>
            </m:ctrlPr>
          </m:sub>
        </m:sSub>
        <m:r>
          <m:rPr/>
          <w:rPr>
            <w:rFonts w:ascii="Cambria Math" w:hAnsi="Cambria Math"/>
            <w:color w:val="auto"/>
          </w:rPr>
          <m:t>(x,</m:t>
        </m:r>
        <m:sSup>
          <m:sSupPr>
            <m:ctrlPr>
              <w:rPr>
                <w:rFonts w:ascii="Cambria Math" w:hAnsi="Cambria Math"/>
                <w:i/>
                <w:color w:val="auto"/>
              </w:rPr>
            </m:ctrlPr>
          </m:sSupPr>
          <m:e>
            <m:r>
              <m:rPr/>
              <w:rPr>
                <w:rFonts w:ascii="Cambria Math" w:hAnsi="Cambria Math"/>
                <w:color w:val="auto"/>
              </w:rPr>
              <m:t>λ</m:t>
            </m:r>
            <m:ctrlPr>
              <w:rPr>
                <w:rFonts w:ascii="Cambria Math" w:hAnsi="Cambria Math"/>
                <w:i/>
                <w:color w:val="auto"/>
              </w:rPr>
            </m:ctrlPr>
          </m:e>
          <m:sup>
            <m:r>
              <m:rPr/>
              <w:rPr>
                <w:rFonts w:ascii="Cambria Math" w:hAnsi="Cambria Math"/>
                <w:color w:val="auto"/>
              </w:rPr>
              <m:t>(k)</m:t>
            </m:r>
            <m:ctrlPr>
              <w:rPr>
                <w:rFonts w:ascii="Cambria Math" w:hAnsi="Cambria Math"/>
                <w:i/>
                <w:color w:val="auto"/>
              </w:rPr>
            </m:ctrlPr>
          </m:sup>
        </m:sSup>
        <m:r>
          <m:rPr/>
          <w:rPr>
            <w:rFonts w:ascii="Cambria Math" w:hAnsi="Cambria Math"/>
            <w:color w:val="auto"/>
          </w:rPr>
          <m:t>,ρ)</m:t>
        </m:r>
      </m:oMath>
      <w:r>
        <w:rPr>
          <w:color w:val="auto"/>
        </w:rPr>
        <w:t xml:space="preserve">                        （5-2）</w:t>
      </w:r>
    </w:p>
    <w:p w14:paraId="667FA0B6">
      <w:pPr>
        <w:spacing w:line="400" w:lineRule="exact"/>
        <w:ind w:firstLine="420"/>
        <w:rPr>
          <w:color w:val="auto"/>
        </w:rPr>
      </w:pPr>
      <w:r>
        <w:rPr>
          <w:color w:val="auto"/>
        </w:rPr>
        <w:t>这一步通常使用无约束优化方法（如梯度下降法、牛顿法等）求解。</w:t>
      </w:r>
    </w:p>
    <w:p w14:paraId="494565B8">
      <w:pPr>
        <w:spacing w:line="400" w:lineRule="exact"/>
        <w:ind w:firstLine="420"/>
        <w:rPr>
          <w:color w:val="auto"/>
        </w:rPr>
      </w:pPr>
      <w:r>
        <w:rPr>
          <w:color w:val="auto"/>
        </w:rPr>
        <w:t>（4）更新Lagrange乘子λ</w:t>
      </w:r>
    </w:p>
    <w:p w14:paraId="065C2A80">
      <w:pPr>
        <w:spacing w:line="400" w:lineRule="exact"/>
        <w:ind w:firstLine="420"/>
        <w:rPr>
          <w:color w:val="auto"/>
        </w:rPr>
      </w:pPr>
      <w:r>
        <w:rPr>
          <w:color w:val="auto"/>
        </w:rPr>
        <w:t>根据当前的约束值</w:t>
      </w:r>
      <m:oMath>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p>
          <m:sSupPr>
            <m:ctrlPr>
              <w:rPr>
                <w:rFonts w:ascii="Cambria Math" w:hAnsi="Cambria Math"/>
                <w:i/>
                <w:color w:val="auto"/>
              </w:rPr>
            </m:ctrlPr>
          </m:sSupPr>
          <m:e>
            <m:r>
              <m:rPr/>
              <w:rPr>
                <w:rFonts w:ascii="Cambria Math" w:hAnsi="Cambria Math"/>
                <w:color w:val="auto"/>
              </w:rPr>
              <m:t>x</m:t>
            </m:r>
            <m:ctrlPr>
              <w:rPr>
                <w:rFonts w:ascii="Cambria Math" w:hAnsi="Cambria Math"/>
                <w:i/>
                <w:color w:val="auto"/>
              </w:rPr>
            </m:ctrlPr>
          </m:e>
          <m:sup>
            <m:r>
              <m:rPr/>
              <w:rPr>
                <w:rFonts w:ascii="Cambria Math" w:hAnsi="Cambria Math"/>
                <w:color w:val="auto"/>
              </w:rPr>
              <m:t>(k+1)</m:t>
            </m:r>
            <m:ctrlPr>
              <w:rPr>
                <w:rFonts w:ascii="Cambria Math" w:hAnsi="Cambria Math"/>
                <w:i/>
                <w:color w:val="auto"/>
              </w:rPr>
            </m:ctrlPr>
          </m:sup>
        </m:sSup>
        <m:r>
          <m:rPr/>
          <w:rPr>
            <w:rFonts w:ascii="Cambria Math" w:hAnsi="Cambria Math"/>
            <w:color w:val="auto"/>
          </w:rPr>
          <m:t>)</m:t>
        </m:r>
      </m:oMath>
      <w:r>
        <w:rPr>
          <w:color w:val="auto"/>
        </w:rPr>
        <w:t>，更新Lagrange乘子</w:t>
      </w:r>
      <w:r>
        <w:rPr>
          <w:i/>
          <w:iCs/>
          <w:color w:val="auto"/>
        </w:rPr>
        <w:t>λ</w:t>
      </w:r>
      <w:r>
        <w:rPr>
          <w:color w:val="auto"/>
        </w:rPr>
        <w:t>：</w:t>
      </w:r>
    </w:p>
    <w:p w14:paraId="18D71E22">
      <w:pPr>
        <w:spacing w:line="400" w:lineRule="exact"/>
        <w:jc w:val="right"/>
        <w:rPr>
          <w:color w:val="auto"/>
        </w:rPr>
      </w:pPr>
      <m:oMath>
        <m:sSubSup>
          <m:sSubSupPr>
            <m:ctrlPr>
              <w:rPr>
                <w:rFonts w:ascii="Cambria Math" w:hAnsi="Cambria Math"/>
                <w:i/>
                <w:color w:val="auto"/>
              </w:rPr>
            </m:ctrlPr>
          </m:sSubSupPr>
          <m:e>
            <m:r>
              <m:rPr/>
              <w:rPr>
                <w:rFonts w:ascii="Cambria Math" w:hAnsi="Cambria Math"/>
                <w:color w:val="auto"/>
              </w:rPr>
              <m:t>λ</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up>
            <m:r>
              <m:rPr/>
              <w:rPr>
                <w:rFonts w:ascii="Cambria Math" w:hAnsi="Cambria Math"/>
                <w:color w:val="auto"/>
              </w:rPr>
              <m:t>(k+1)</m:t>
            </m:r>
            <m:ctrlPr>
              <w:rPr>
                <w:rFonts w:ascii="Cambria Math" w:hAnsi="Cambria Math"/>
                <w:i/>
                <w:color w:val="auto"/>
              </w:rPr>
            </m:ctrlPr>
          </m:sup>
        </m:sSubSup>
        <m:r>
          <m:rPr/>
          <w:rPr>
            <w:rFonts w:ascii="Cambria Math" w:hAnsi="Cambria Math"/>
            <w:color w:val="auto"/>
          </w:rPr>
          <m:t>=</m:t>
        </m:r>
        <m:sSubSup>
          <m:sSubSupPr>
            <m:ctrlPr>
              <w:rPr>
                <w:rFonts w:ascii="Cambria Math" w:hAnsi="Cambria Math"/>
                <w:i/>
                <w:color w:val="auto"/>
              </w:rPr>
            </m:ctrlPr>
          </m:sSubSupPr>
          <m:e>
            <m:r>
              <m:rPr/>
              <w:rPr>
                <w:rFonts w:ascii="Cambria Math" w:hAnsi="Cambria Math"/>
                <w:color w:val="auto"/>
              </w:rPr>
              <m:t>λ</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up>
            <m:r>
              <m:rPr/>
              <w:rPr>
                <w:rFonts w:ascii="Cambria Math" w:hAnsi="Cambria Math"/>
                <w:color w:val="auto"/>
              </w:rPr>
              <m:t>(k)</m:t>
            </m:r>
            <m:ctrlPr>
              <w:rPr>
                <w:rFonts w:ascii="Cambria Math" w:hAnsi="Cambria Math"/>
                <w:i/>
                <w:color w:val="auto"/>
              </w:rPr>
            </m:ctrlPr>
          </m:sup>
        </m:sSubSup>
        <m:r>
          <m:rPr/>
          <w:rPr>
            <w:rFonts w:ascii="Cambria Math" w:hAnsi="Cambria Math"/>
            <w:color w:val="auto"/>
          </w:rPr>
          <m:t>+ρ</m:t>
        </m:r>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p>
          <m:sSupPr>
            <m:ctrlPr>
              <w:rPr>
                <w:rFonts w:ascii="Cambria Math" w:hAnsi="Cambria Math"/>
                <w:i/>
                <w:color w:val="auto"/>
              </w:rPr>
            </m:ctrlPr>
          </m:sSupPr>
          <m:e>
            <m:r>
              <m:rPr/>
              <w:rPr>
                <w:rFonts w:ascii="Cambria Math" w:hAnsi="Cambria Math"/>
                <w:color w:val="auto"/>
              </w:rPr>
              <m:t>x</m:t>
            </m:r>
            <m:ctrlPr>
              <w:rPr>
                <w:rFonts w:ascii="Cambria Math" w:hAnsi="Cambria Math"/>
                <w:i/>
                <w:color w:val="auto"/>
              </w:rPr>
            </m:ctrlPr>
          </m:e>
          <m:sup>
            <m:r>
              <m:rPr/>
              <w:rPr>
                <w:rFonts w:ascii="Cambria Math" w:hAnsi="Cambria Math"/>
                <w:color w:val="auto"/>
              </w:rPr>
              <m:t>(k+1)</m:t>
            </m:r>
            <m:ctrlPr>
              <w:rPr>
                <w:rFonts w:ascii="Cambria Math" w:hAnsi="Cambria Math"/>
                <w:i/>
                <w:color w:val="auto"/>
              </w:rPr>
            </m:ctrlPr>
          </m:sup>
        </m:sSup>
        <m:r>
          <m:rPr/>
          <w:rPr>
            <w:rFonts w:ascii="Cambria Math" w:hAnsi="Cambria Math"/>
            <w:color w:val="auto"/>
          </w:rPr>
          <m:t>)</m:t>
        </m:r>
      </m:oMath>
      <w:r>
        <w:rPr>
          <w:color w:val="auto"/>
        </w:rPr>
        <w:t xml:space="preserve">                             （5-3）</w:t>
      </w:r>
    </w:p>
    <w:p w14:paraId="0FABC995">
      <w:pPr>
        <w:spacing w:line="400" w:lineRule="exact"/>
        <w:ind w:firstLine="420"/>
        <w:rPr>
          <w:color w:val="auto"/>
        </w:rPr>
      </w:pPr>
      <w:r>
        <w:rPr>
          <w:color w:val="auto"/>
        </w:rPr>
        <w:t>对于不等式约束</w:t>
      </w:r>
      <m:oMath>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(x)≤0</m:t>
        </m:r>
      </m:oMath>
      <w:r>
        <w:rPr>
          <w:color w:val="auto"/>
        </w:rPr>
        <w:t>需要确保</w:t>
      </w:r>
      <m:oMath>
        <m:sSub>
          <m:sSubPr>
            <m:ctrlPr>
              <w:rPr>
                <w:rFonts w:ascii="Cambria Math" w:hAnsi="Cambria Math"/>
                <w:i/>
                <w:color w:val="auto"/>
              </w:rPr>
            </m:ctrlPr>
          </m:sSubPr>
          <m:e>
            <m:r>
              <m:rPr/>
              <w:rPr>
                <w:rFonts w:ascii="Cambria Math" w:hAnsi="Cambria Math"/>
                <w:color w:val="auto"/>
              </w:rPr>
              <m:t>λ</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≥0</m:t>
        </m:r>
      </m:oMath>
      <w:r>
        <w:rPr>
          <w:color w:val="auto"/>
        </w:rPr>
        <w:t>，因此可以使用投影操作：</w:t>
      </w:r>
    </w:p>
    <w:p w14:paraId="4C611AB1">
      <w:pPr>
        <w:spacing w:line="400" w:lineRule="exact"/>
        <w:ind w:firstLine="420"/>
        <w:jc w:val="right"/>
        <w:rPr>
          <w:color w:val="auto"/>
        </w:rPr>
      </w:pPr>
      <m:oMath>
        <m:sSubSup>
          <m:sSubSupPr>
            <m:ctrlPr>
              <w:rPr>
                <w:rFonts w:ascii="Cambria Math" w:hAnsi="Cambria Math"/>
                <w:i/>
                <w:color w:val="auto"/>
              </w:rPr>
            </m:ctrlPr>
          </m:sSubSupPr>
          <m:e>
            <m:r>
              <m:rPr/>
              <w:rPr>
                <w:rFonts w:ascii="Cambria Math" w:hAnsi="Cambria Math"/>
                <w:color w:val="auto"/>
              </w:rPr>
              <m:t>λ</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up>
            <m:r>
              <m:rPr/>
              <w:rPr>
                <w:rFonts w:ascii="Cambria Math" w:hAnsi="Cambria Math"/>
                <w:color w:val="auto"/>
              </w:rPr>
              <m:t>(k+1)</m:t>
            </m:r>
            <m:ctrlPr>
              <w:rPr>
                <w:rFonts w:ascii="Cambria Math" w:hAnsi="Cambria Math"/>
                <w:i/>
                <w:color w:val="auto"/>
              </w:rPr>
            </m:ctrlPr>
          </m:sup>
        </m:sSubSup>
        <m:r>
          <m:rPr/>
          <w:rPr>
            <w:rFonts w:ascii="Cambria Math" w:hAnsi="Cambria Math"/>
            <w:color w:val="auto"/>
          </w:rPr>
          <m:t>=</m:t>
        </m:r>
        <m:r>
          <m:rPr>
            <m:sty m:val="p"/>
          </m:rPr>
          <w:rPr>
            <w:rFonts w:ascii="Cambria Math" w:hAnsi="Cambria Math"/>
            <w:color w:val="auto"/>
          </w:rPr>
          <m:t>max(0,</m:t>
        </m:r>
        <m:sSubSup>
          <m:sSubSupPr>
            <m:ctrlPr>
              <w:rPr>
                <w:rFonts w:ascii="Cambria Math" w:hAnsi="Cambria Math"/>
                <w:i/>
                <w:color w:val="auto"/>
              </w:rPr>
            </m:ctrlPr>
          </m:sSubSupPr>
          <m:e>
            <m:r>
              <m:rPr/>
              <w:rPr>
                <w:rFonts w:ascii="Cambria Math" w:hAnsi="Cambria Math"/>
                <w:color w:val="auto"/>
              </w:rPr>
              <m:t>λ</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up>
            <m:r>
              <m:rPr/>
              <w:rPr>
                <w:rFonts w:ascii="Cambria Math" w:hAnsi="Cambria Math"/>
                <w:color w:val="auto"/>
              </w:rPr>
              <m:t>(k)</m:t>
            </m:r>
            <m:ctrlPr>
              <w:rPr>
                <w:rFonts w:ascii="Cambria Math" w:hAnsi="Cambria Math"/>
                <w:i/>
                <w:color w:val="auto"/>
              </w:rPr>
            </m:ctrlPr>
          </m:sup>
        </m:sSubSup>
        <m:r>
          <m:rPr/>
          <w:rPr>
            <w:rFonts w:ascii="Cambria Math" w:hAnsi="Cambria Math"/>
            <w:color w:val="auto"/>
          </w:rPr>
          <m:t>+ρ</m:t>
        </m:r>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m:sty m:val="p"/>
          </m:rPr>
          <w:rPr>
            <w:rFonts w:ascii="Cambria Math" w:hAnsi="Cambria Math"/>
            <w:color w:val="auto"/>
          </w:rPr>
          <m:t>(</m:t>
        </m:r>
        <m:sSup>
          <m:sSupPr>
            <m:ctrlPr>
              <w:rPr>
                <w:rFonts w:ascii="Cambria Math" w:hAnsi="Cambria Math"/>
                <w:color w:val="auto"/>
              </w:rPr>
            </m:ctrlPr>
          </m:sSupPr>
          <m:e>
            <m:r>
              <m:rPr/>
              <w:rPr>
                <w:rFonts w:ascii="Cambria Math" w:hAnsi="Cambria Math"/>
                <w:color w:val="auto"/>
              </w:rPr>
              <m:t>x</m:t>
            </m:r>
            <m:ctrlPr>
              <w:rPr>
                <w:rFonts w:ascii="Cambria Math" w:hAnsi="Cambria Math"/>
                <w:color w:val="auto"/>
              </w:rPr>
            </m:ctrlPr>
          </m:e>
          <m:sup>
            <m:r>
              <m:rPr/>
              <w:rPr>
                <w:rFonts w:ascii="Cambria Math" w:hAnsi="Cambria Math"/>
                <w:color w:val="auto"/>
              </w:rPr>
              <m:t>(k+1)</m:t>
            </m:r>
            <m:ctrlPr>
              <w:rPr>
                <w:rFonts w:ascii="Cambria Math" w:hAnsi="Cambria Math"/>
                <w:color w:val="auto"/>
              </w:rPr>
            </m:ctrlPr>
          </m:sup>
        </m:sSup>
        <m:r>
          <m:rPr>
            <m:sty m:val="p"/>
          </m:rPr>
          <w:rPr>
            <w:rFonts w:ascii="Cambria Math" w:hAnsi="Cambria Math"/>
            <w:color w:val="auto"/>
          </w:rPr>
          <m:t>))</m:t>
        </m:r>
      </m:oMath>
      <w:r>
        <w:rPr>
          <w:color w:val="auto"/>
        </w:rPr>
        <w:t xml:space="preserve">                       （5-4）</w:t>
      </w:r>
    </w:p>
    <w:p w14:paraId="4449CFAB">
      <w:pPr>
        <w:spacing w:line="400" w:lineRule="exact"/>
        <w:ind w:firstLine="420"/>
        <w:rPr>
          <w:color w:val="auto"/>
        </w:rPr>
      </w:pPr>
      <w:r>
        <w:rPr>
          <w:color w:val="auto"/>
        </w:rPr>
        <w:t>（5）检查收敛条件</w:t>
      </w:r>
    </w:p>
    <w:p w14:paraId="5EB0A504">
      <w:pPr>
        <w:spacing w:line="400" w:lineRule="exact"/>
        <w:ind w:firstLine="420"/>
        <w:rPr>
          <w:color w:val="auto"/>
        </w:rPr>
      </w:pPr>
      <w:r>
        <w:rPr>
          <w:color w:val="auto"/>
        </w:rPr>
        <w:t>检查是否满足收敛条件，如：</w:t>
      </w:r>
    </w:p>
    <w:p w14:paraId="39B778C0">
      <w:pPr>
        <w:spacing w:line="400" w:lineRule="exact"/>
        <w:ind w:firstLine="420"/>
        <w:rPr>
          <w:color w:val="auto"/>
        </w:rPr>
      </w:pPr>
      <w:r>
        <w:rPr>
          <w:color w:val="auto"/>
        </w:rPr>
        <w:t>目标函数值的变化量</w:t>
      </w:r>
      <m:oMath>
        <m:d>
          <m:dPr>
            <m:begChr m:val="|"/>
            <m:endChr m:val=""/>
            <m:ctrlPr>
              <w:rPr>
                <w:rFonts w:ascii="Cambria Math" w:hAnsi="Cambria Math"/>
                <w:i/>
                <w:color w:val="auto"/>
              </w:rPr>
            </m:ctrlPr>
          </m:dPr>
          <m:e>
            <m:r>
              <m:rPr/>
              <w:rPr>
                <w:rFonts w:ascii="Cambria Math" w:hAnsi="Cambria Math"/>
                <w:color w:val="auto"/>
              </w:rPr>
              <m:t>f(</m:t>
            </m:r>
            <m:sSup>
              <m:sSupPr>
                <m:ctrlPr>
                  <w:rPr>
                    <w:rFonts w:ascii="Cambria Math" w:hAnsi="Cambria Math"/>
                    <w:color w:val="auto"/>
                  </w:rPr>
                </m:ctrlPr>
              </m:sSupPr>
              <m:e>
                <m:r>
                  <m:rPr/>
                  <w:rPr>
                    <w:rFonts w:ascii="Cambria Math" w:hAnsi="Cambria Math"/>
                    <w:color w:val="auto"/>
                  </w:rPr>
                  <m:t>x</m:t>
                </m:r>
                <m:ctrlPr>
                  <w:rPr>
                    <w:rFonts w:ascii="Cambria Math" w:hAnsi="Cambria Math"/>
                    <w:color w:val="auto"/>
                  </w:rPr>
                </m:ctrlPr>
              </m:e>
              <m:sup>
                <m:r>
                  <m:rPr/>
                  <w:rPr>
                    <w:rFonts w:ascii="Cambria Math" w:hAnsi="Cambria Math"/>
                    <w:color w:val="auto"/>
                  </w:rPr>
                  <m:t>(k+1)</m:t>
                </m:r>
                <m:ctrlPr>
                  <w:rPr>
                    <w:rFonts w:ascii="Cambria Math" w:hAnsi="Cambria Math"/>
                    <w:color w:val="auto"/>
                  </w:rPr>
                </m:ctrlPr>
              </m:sup>
            </m:sSup>
            <m:r>
              <m:rPr/>
              <w:rPr>
                <w:rFonts w:ascii="Cambria Math" w:hAnsi="Cambria Math"/>
                <w:color w:val="auto"/>
              </w:rPr>
              <m:t>)</m:t>
            </m:r>
            <m:ctrlPr>
              <w:rPr>
                <w:rFonts w:ascii="Cambria Math" w:hAnsi="Cambria Math"/>
                <w:i/>
                <w:color w:val="auto"/>
              </w:rPr>
            </m:ctrlPr>
          </m:e>
        </m:d>
        <m:r>
          <m:rPr/>
          <w:rPr>
            <w:rFonts w:ascii="Cambria Math" w:hAnsi="Cambria Math"/>
            <w:color w:val="auto"/>
          </w:rPr>
          <m:t>−f(</m:t>
        </m:r>
        <m:sSup>
          <m:sSupPr>
            <m:ctrlPr>
              <w:rPr>
                <w:rFonts w:ascii="Cambria Math" w:hAnsi="Cambria Math"/>
                <w:color w:val="auto"/>
              </w:rPr>
            </m:ctrlPr>
          </m:sSupPr>
          <m:e>
            <m:r>
              <m:rPr/>
              <w:rPr>
                <w:rFonts w:ascii="Cambria Math" w:hAnsi="Cambria Math"/>
                <w:color w:val="auto"/>
              </w:rPr>
              <m:t>x</m:t>
            </m:r>
            <m:ctrlPr>
              <w:rPr>
                <w:rFonts w:ascii="Cambria Math" w:hAnsi="Cambria Math"/>
                <w:color w:val="auto"/>
              </w:rPr>
            </m:ctrlPr>
          </m:e>
          <m:sup>
            <m:r>
              <m:rPr/>
              <w:rPr>
                <w:rFonts w:ascii="Cambria Math" w:hAnsi="Cambria Math"/>
                <w:color w:val="auto"/>
              </w:rPr>
              <m:t>(k)</m:t>
            </m:r>
            <m:ctrlPr>
              <w:rPr>
                <w:rFonts w:ascii="Cambria Math" w:hAnsi="Cambria Math"/>
                <w:color w:val="auto"/>
              </w:rPr>
            </m:ctrlPr>
          </m:sup>
        </m:sSup>
        <m:r>
          <m:rPr/>
          <w:rPr>
            <w:rFonts w:ascii="Cambria Math" w:hAnsi="Cambria Math"/>
            <w:color w:val="auto"/>
          </w:rPr>
          <m:t>)</m:t>
        </m:r>
        <m:d>
          <m:dPr>
            <m:begChr m:val="|"/>
            <m:endChr m:val=""/>
            <m:ctrlPr>
              <w:rPr>
                <w:rFonts w:ascii="Cambria Math" w:hAnsi="Cambria Math"/>
                <w:i/>
                <w:color w:val="auto"/>
              </w:rPr>
            </m:ctrlPr>
          </m:dPr>
          <m:e>
            <m:r>
              <m:rPr/>
              <w:rPr>
                <w:rFonts w:ascii="Cambria Math" w:hAnsi="Cambria Math"/>
                <w:color w:val="auto"/>
              </w:rPr>
              <m:t>&lt;ϵ</m:t>
            </m:r>
            <m:ctrlPr>
              <w:rPr>
                <w:rFonts w:ascii="Cambria Math" w:hAnsi="Cambria Math"/>
                <w:i/>
                <w:color w:val="auto"/>
              </w:rPr>
            </m:ctrlPr>
          </m:e>
        </m:d>
      </m:oMath>
      <w:r>
        <w:rPr>
          <w:color w:val="auto"/>
        </w:rPr>
        <w:t>。</w:t>
      </w:r>
    </w:p>
    <w:p w14:paraId="4EA01F9D">
      <w:pPr>
        <w:spacing w:line="400" w:lineRule="exact"/>
        <w:ind w:firstLine="420"/>
        <w:rPr>
          <w:color w:val="auto"/>
        </w:rPr>
      </w:pPr>
      <w:r>
        <w:rPr>
          <w:color w:val="auto"/>
        </w:rPr>
        <w:t>约束违反程度</w:t>
      </w:r>
      <m:oMath>
        <m:d>
          <m:dPr>
            <m:begChr m:val="‖"/>
            <m:endChr m:val="‖"/>
            <m:ctrlPr>
              <w:rPr>
                <w:rFonts w:ascii="Cambria Math" w:hAnsi="Cambria Math"/>
                <w:i/>
                <w:color w:val="auto"/>
              </w:rPr>
            </m:ctrlPr>
          </m:dPr>
          <m:e>
            <m:r>
              <m:rPr/>
              <w:rPr>
                <w:rFonts w:ascii="Cambria Math" w:hAnsi="Cambria Math"/>
                <w:color w:val="auto"/>
              </w:rPr>
              <m:t>C(</m:t>
            </m:r>
            <m:sSup>
              <m:sSupPr>
                <m:ctrlPr>
                  <w:rPr>
                    <w:rFonts w:ascii="Cambria Math" w:hAnsi="Cambria Math"/>
                    <w:i/>
                    <w:color w:val="auto"/>
                  </w:rPr>
                </m:ctrlPr>
              </m:sSupPr>
              <m:e>
                <m:r>
                  <m:rPr/>
                  <w:rPr>
                    <w:rFonts w:ascii="Cambria Math" w:hAnsi="Cambria Math"/>
                    <w:color w:val="auto"/>
                  </w:rPr>
                  <m:t>x</m:t>
                </m:r>
                <m:ctrlPr>
                  <w:rPr>
                    <w:rFonts w:ascii="Cambria Math" w:hAnsi="Cambria Math"/>
                    <w:i/>
                    <w:color w:val="auto"/>
                  </w:rPr>
                </m:ctrlPr>
              </m:e>
              <m:sup>
                <m:r>
                  <m:rPr/>
                  <w:rPr>
                    <w:rFonts w:ascii="Cambria Math" w:hAnsi="Cambria Math"/>
                    <w:color w:val="auto"/>
                  </w:rPr>
                  <m:t>(k+1)</m:t>
                </m:r>
                <m:ctrlPr>
                  <w:rPr>
                    <w:rFonts w:ascii="Cambria Math" w:hAnsi="Cambria Math"/>
                    <w:i/>
                    <w:color w:val="auto"/>
                  </w:rPr>
                </m:ctrlPr>
              </m:sup>
            </m:sSup>
            <m:r>
              <m:rPr/>
              <w:rPr>
                <w:rFonts w:ascii="Cambria Math" w:hAnsi="Cambria Math"/>
                <w:color w:val="auto"/>
              </w:rPr>
              <m:t>)</m:t>
            </m:r>
            <m:ctrlPr>
              <w:rPr>
                <w:rFonts w:ascii="Cambria Math" w:hAnsi="Cambria Math"/>
                <w:i/>
                <w:color w:val="auto"/>
              </w:rPr>
            </m:ctrlPr>
          </m:e>
        </m:d>
        <m:r>
          <m:rPr/>
          <w:rPr>
            <w:rFonts w:ascii="Cambria Math" w:hAnsi="Cambria Math"/>
            <w:color w:val="auto"/>
          </w:rPr>
          <m:t>&lt;ϵ</m:t>
        </m:r>
      </m:oMath>
      <w:r>
        <w:rPr>
          <w:color w:val="auto"/>
        </w:rPr>
        <w:t>。如果满足收敛条件，则停止迭代并输出结果，否则继续下一步。</w:t>
      </w:r>
    </w:p>
    <w:p w14:paraId="6FE996E9">
      <w:pPr>
        <w:tabs>
          <w:tab w:val="left" w:pos="599"/>
        </w:tabs>
        <w:spacing w:line="400" w:lineRule="exact"/>
        <w:ind w:firstLine="420"/>
        <w:rPr>
          <w:color w:val="auto"/>
        </w:rPr>
      </w:pPr>
      <w:r>
        <w:rPr>
          <w:color w:val="auto"/>
        </w:rPr>
        <w:t>（6）调整惩罚参数</w:t>
      </w:r>
      <w:r>
        <w:rPr>
          <w:i/>
          <w:iCs/>
          <w:color w:val="auto"/>
        </w:rPr>
        <w:t>ρ</w:t>
      </w:r>
    </w:p>
    <w:p w14:paraId="6F4F506B">
      <w:pPr>
        <w:spacing w:line="400" w:lineRule="exact"/>
        <w:ind w:firstLine="420"/>
        <w:rPr>
          <w:color w:val="auto"/>
        </w:rPr>
      </w:pPr>
      <w:r>
        <w:rPr>
          <w:color w:val="auto"/>
        </w:rPr>
        <w:t>如果约束违反程度较大（即</w:t>
      </w:r>
      <m:oMath>
        <m:d>
          <m:dPr>
            <m:begChr m:val="‖"/>
            <m:endChr m:val="‖"/>
            <m:ctrlPr>
              <w:rPr>
                <w:rFonts w:ascii="Cambria Math" w:hAnsi="Cambria Math"/>
                <w:i/>
                <w:color w:val="auto"/>
              </w:rPr>
            </m:ctrlPr>
          </m:dPr>
          <m:e>
            <m:r>
              <m:rPr/>
              <w:rPr>
                <w:rFonts w:ascii="Cambria Math" w:hAnsi="Cambria Math"/>
                <w:color w:val="auto"/>
              </w:rPr>
              <m:t>C(</m:t>
            </m:r>
            <m:sSup>
              <m:sSupPr>
                <m:ctrlPr>
                  <w:rPr>
                    <w:rFonts w:ascii="Cambria Math" w:hAnsi="Cambria Math"/>
                    <w:i/>
                    <w:color w:val="auto"/>
                  </w:rPr>
                </m:ctrlPr>
              </m:sSupPr>
              <m:e>
                <m:r>
                  <m:rPr/>
                  <w:rPr>
                    <w:rFonts w:ascii="Cambria Math" w:hAnsi="Cambria Math"/>
                    <w:color w:val="auto"/>
                  </w:rPr>
                  <m:t>x</m:t>
                </m:r>
                <m:ctrlPr>
                  <w:rPr>
                    <w:rFonts w:ascii="Cambria Math" w:hAnsi="Cambria Math"/>
                    <w:i/>
                    <w:color w:val="auto"/>
                  </w:rPr>
                </m:ctrlPr>
              </m:e>
              <m:sup>
                <m:r>
                  <m:rPr/>
                  <w:rPr>
                    <w:rFonts w:ascii="Cambria Math" w:hAnsi="Cambria Math"/>
                    <w:color w:val="auto"/>
                  </w:rPr>
                  <m:t>(k+1)</m:t>
                </m:r>
                <m:ctrlPr>
                  <w:rPr>
                    <w:rFonts w:ascii="Cambria Math" w:hAnsi="Cambria Math"/>
                    <w:i/>
                    <w:color w:val="auto"/>
                  </w:rPr>
                </m:ctrlPr>
              </m:sup>
            </m:sSup>
            <m:r>
              <m:rPr/>
              <w:rPr>
                <w:rFonts w:ascii="Cambria Math" w:hAnsi="Cambria Math"/>
                <w:color w:val="auto"/>
              </w:rPr>
              <m:t>)</m:t>
            </m:r>
            <m:ctrlPr>
              <w:rPr>
                <w:rFonts w:ascii="Cambria Math" w:hAnsi="Cambria Math"/>
                <w:i/>
                <w:color w:val="auto"/>
              </w:rPr>
            </m:ctrlPr>
          </m:e>
        </m:d>
        <m:r>
          <m:rPr/>
          <w:rPr>
            <w:rFonts w:ascii="Cambria Math" w:hAnsi="Cambria Math"/>
            <w:color w:val="auto"/>
          </w:rPr>
          <m:t>&gt;ϵ</m:t>
        </m:r>
      </m:oMath>
      <w:r>
        <w:rPr>
          <w:color w:val="auto"/>
        </w:rPr>
        <w:t>，可以适当增大惩罚参数</w:t>
      </w:r>
      <w:r>
        <w:rPr>
          <w:i/>
          <w:iCs/>
          <w:color w:val="auto"/>
        </w:rPr>
        <w:t>ρ</w:t>
      </w:r>
      <w:r>
        <w:rPr>
          <w:color w:val="auto"/>
        </w:rPr>
        <w:t xml:space="preserve">： </w:t>
      </w:r>
    </w:p>
    <w:p w14:paraId="50CD08BD">
      <w:pPr>
        <w:spacing w:line="400" w:lineRule="exact"/>
        <w:ind w:firstLine="420"/>
        <w:jc w:val="right"/>
        <w:rPr>
          <w:i/>
          <w:color w:val="auto"/>
        </w:rPr>
      </w:pPr>
      <w:r>
        <w:rPr>
          <w:color w:val="auto"/>
        </w:rPr>
        <w:t xml:space="preserve">       </w:t>
      </w:r>
      <m:oMath>
        <m:sSup>
          <m:sSupPr>
            <m:ctrlPr>
              <w:rPr>
                <w:rFonts w:ascii="Cambria Math" w:hAnsi="Cambria Math"/>
                <w:i/>
                <w:color w:val="auto"/>
              </w:rPr>
            </m:ctrlPr>
          </m:sSupPr>
          <m:e>
            <m:r>
              <m:rPr/>
              <w:rPr>
                <w:rFonts w:ascii="Cambria Math" w:hAnsi="Cambria Math"/>
                <w:color w:val="auto"/>
              </w:rPr>
              <m:t>ρ</m:t>
            </m:r>
            <m:ctrlPr>
              <w:rPr>
                <w:rFonts w:ascii="Cambria Math" w:hAnsi="Cambria Math"/>
                <w:i/>
                <w:color w:val="auto"/>
              </w:rPr>
            </m:ctrlPr>
          </m:e>
          <m:sup>
            <m:r>
              <m:rPr/>
              <w:rPr>
                <w:rFonts w:ascii="Cambria Math" w:hAnsi="Cambria Math"/>
                <w:color w:val="auto"/>
              </w:rPr>
              <m:t>(k+1)</m:t>
            </m:r>
            <m:ctrlPr>
              <w:rPr>
                <w:rFonts w:ascii="Cambria Math" w:hAnsi="Cambria Math"/>
                <w:i/>
                <w:color w:val="auto"/>
              </w:rPr>
            </m:ctrlPr>
          </m:sup>
        </m:sSup>
        <m:r>
          <m:rPr/>
          <w:rPr>
            <w:rFonts w:ascii="Cambria Math" w:hAnsi="Cambria Math"/>
            <w:color w:val="auto"/>
          </w:rPr>
          <m:t>=</m:t>
        </m:r>
        <m:sSup>
          <m:sSupPr>
            <m:ctrlPr>
              <w:rPr>
                <w:rFonts w:ascii="Cambria Math" w:hAnsi="Cambria Math"/>
                <w:i/>
                <w:color w:val="auto"/>
              </w:rPr>
            </m:ctrlPr>
          </m:sSupPr>
          <m:e>
            <m:r>
              <m:rPr/>
              <w:rPr>
                <w:rFonts w:ascii="Cambria Math" w:hAnsi="Cambria Math"/>
                <w:color w:val="auto"/>
              </w:rPr>
              <m:t>βρ</m:t>
            </m:r>
            <m:ctrlPr>
              <w:rPr>
                <w:rFonts w:ascii="Cambria Math" w:hAnsi="Cambria Math"/>
                <w:i/>
                <w:color w:val="auto"/>
              </w:rPr>
            </m:ctrlPr>
          </m:e>
          <m:sup>
            <m:r>
              <m:rPr/>
              <w:rPr>
                <w:rFonts w:ascii="Cambria Math" w:hAnsi="Cambria Math"/>
                <w:color w:val="auto"/>
              </w:rPr>
              <m:t>(k)</m:t>
            </m:r>
            <m:ctrlPr>
              <w:rPr>
                <w:rFonts w:ascii="Cambria Math" w:hAnsi="Cambria Math"/>
                <w:i/>
                <w:color w:val="auto"/>
              </w:rPr>
            </m:ctrlPr>
          </m:sup>
        </m:sSup>
      </m:oMath>
      <w:r>
        <w:rPr>
          <w:color w:val="auto"/>
        </w:rPr>
        <w:t xml:space="preserve">                                （5-5）</w:t>
      </w:r>
    </w:p>
    <w:p w14:paraId="64D51BD7">
      <w:pPr>
        <w:spacing w:line="400" w:lineRule="exact"/>
        <w:ind w:firstLine="420"/>
        <w:rPr>
          <w:color w:val="auto"/>
        </w:rPr>
      </w:pPr>
      <w:r>
        <w:rPr>
          <w:color w:val="auto"/>
        </w:rPr>
        <w:t>其中</w:t>
      </w:r>
      <w:r>
        <w:rPr>
          <w:i/>
          <w:iCs/>
          <w:color w:val="auto"/>
        </w:rPr>
        <w:t>β&gt;</w:t>
      </w:r>
      <w:r>
        <w:rPr>
          <w:color w:val="auto"/>
        </w:rPr>
        <w:t>1是一个放大因子（例如</w:t>
      </w:r>
      <w:r>
        <w:rPr>
          <w:i/>
          <w:iCs/>
          <w:color w:val="auto"/>
        </w:rPr>
        <w:t>β</w:t>
      </w:r>
      <w:r>
        <w:rPr>
          <w:color w:val="auto"/>
        </w:rPr>
        <w:t>=1.2 或</w:t>
      </w:r>
      <w:r>
        <w:rPr>
          <w:i/>
          <w:iCs/>
          <w:color w:val="auto"/>
        </w:rPr>
        <w:t>β</w:t>
      </w:r>
      <w:r>
        <w:rPr>
          <w:color w:val="auto"/>
        </w:rPr>
        <w:t>=2）。</w:t>
      </w:r>
    </w:p>
    <w:p w14:paraId="5E99F77F">
      <w:pPr>
        <w:spacing w:line="400" w:lineRule="exact"/>
        <w:ind w:firstLine="420"/>
        <w:rPr>
          <w:color w:val="auto"/>
        </w:rPr>
      </w:pPr>
      <w:r>
        <w:rPr>
          <w:color w:val="auto"/>
        </w:rPr>
        <w:t>（7）重复迭代</w:t>
      </w:r>
    </w:p>
    <w:p w14:paraId="53B8AEA8">
      <w:pPr>
        <w:spacing w:line="400" w:lineRule="exact"/>
        <w:ind w:firstLine="420"/>
        <w:rPr>
          <w:color w:val="auto"/>
        </w:rPr>
      </w:pPr>
      <w:r>
        <w:rPr>
          <w:color w:val="auto"/>
        </w:rPr>
        <w:t>转到步骤3，继续迭代直到满足收敛条件。</w:t>
      </w:r>
    </w:p>
    <w:p w14:paraId="657A4AAF">
      <w:pPr>
        <w:spacing w:before="156" w:beforeLines="50" w:after="156" w:afterLines="50" w:line="400" w:lineRule="exact"/>
        <w:outlineLvl w:val="2"/>
        <w:rPr>
          <w:rFonts w:eastAsia="黑体"/>
          <w:color w:val="auto"/>
          <w:sz w:val="28"/>
          <w:szCs w:val="28"/>
        </w:rPr>
      </w:pPr>
      <w:bookmarkStart w:id="156" w:name="_Toc192967137"/>
      <w:bookmarkStart w:id="157" w:name="_Toc25483"/>
      <w:bookmarkStart w:id="158" w:name="_Toc193967373"/>
      <w:bookmarkStart w:id="159" w:name="_Toc26653"/>
      <w:bookmarkStart w:id="160" w:name="_Toc192967136"/>
      <w:r>
        <w:rPr>
          <w:rFonts w:eastAsia="黑体"/>
          <w:color w:val="auto"/>
          <w:sz w:val="28"/>
          <w:szCs w:val="28"/>
        </w:rPr>
        <w:t>5.1.</w:t>
      </w:r>
      <w:r>
        <w:rPr>
          <w:rFonts w:hint="eastAsia" w:eastAsia="黑体"/>
          <w:color w:val="auto"/>
          <w:sz w:val="28"/>
          <w:szCs w:val="28"/>
        </w:rPr>
        <w:t>2</w:t>
      </w:r>
      <w:r>
        <w:rPr>
          <w:rFonts w:eastAsia="黑体"/>
          <w:color w:val="auto"/>
          <w:sz w:val="28"/>
          <w:szCs w:val="28"/>
        </w:rPr>
        <w:t xml:space="preserve"> LHWGWO算法步骤及流程</w:t>
      </w:r>
      <w:bookmarkEnd w:id="156"/>
      <w:bookmarkEnd w:id="157"/>
      <w:bookmarkEnd w:id="158"/>
    </w:p>
    <w:p w14:paraId="1F900886">
      <w:pPr>
        <w:tabs>
          <w:tab w:val="left" w:pos="2664"/>
        </w:tabs>
        <w:spacing w:line="400" w:lineRule="exact"/>
        <w:ind w:firstLine="480" w:firstLineChars="200"/>
        <w:rPr>
          <w:color w:val="auto"/>
        </w:rPr>
      </w:pPr>
      <w:r>
        <w:rPr>
          <w:color w:val="auto"/>
        </w:rPr>
        <w:t>（1）算法初始化</w:t>
      </w:r>
    </w:p>
    <w:p w14:paraId="73A3B433">
      <w:pPr>
        <w:tabs>
          <w:tab w:val="left" w:pos="2664"/>
        </w:tabs>
        <w:spacing w:line="400" w:lineRule="exact"/>
        <w:ind w:firstLine="480" w:firstLineChars="200"/>
        <w:rPr>
          <w:color w:val="auto"/>
        </w:rPr>
      </w:pPr>
      <w:r>
        <w:rPr>
          <w:color w:val="auto"/>
        </w:rPr>
        <w:t>首先，确定算法的参数，如种群数量、最大迭代次数等。随机初始化灰狼种群的位置，每个灰狼代表一个潜在的解决方案。同时，定义适应度函数，用于评估每个灰狼（解决方案）的优劣程度。</w:t>
      </w:r>
    </w:p>
    <w:p w14:paraId="6A44F938">
      <w:pPr>
        <w:tabs>
          <w:tab w:val="left" w:pos="2664"/>
        </w:tabs>
        <w:spacing w:line="400" w:lineRule="exact"/>
        <w:ind w:firstLine="480" w:firstLineChars="200"/>
        <w:rPr>
          <w:color w:val="auto"/>
        </w:rPr>
      </w:pPr>
      <w:r>
        <w:rPr>
          <w:color w:val="auto"/>
        </w:rPr>
        <w:t>（2）群体协作与信息共享</w:t>
      </w:r>
    </w:p>
    <w:p w14:paraId="7319BA60">
      <w:pPr>
        <w:tabs>
          <w:tab w:val="left" w:pos="2664"/>
        </w:tabs>
        <w:spacing w:line="400" w:lineRule="exact"/>
        <w:ind w:firstLine="480" w:firstLineChars="200"/>
        <w:rPr>
          <w:color w:val="auto"/>
        </w:rPr>
      </w:pPr>
      <w:r>
        <w:rPr>
          <w:color w:val="auto"/>
        </w:rPr>
        <w:t xml:space="preserve">模拟灰狼群体之间的协作行为。灰狼们通过相互交流，共享各自发现的猎物位置信息。在群体中，根据适应度值选出 </w:t>
      </w:r>
      <w:r>
        <w:rPr>
          <w:i/>
          <w:iCs/>
          <w:color w:val="auto"/>
        </w:rPr>
        <w:t xml:space="preserve">α、β、δ </w:t>
      </w:r>
      <w:r>
        <w:rPr>
          <w:color w:val="auto"/>
        </w:rPr>
        <w:t>三个领导者，它们分别代表群体中最优、次优和第三优的解决方案。其他灰狼围绕这些领导者进行搜索，更新自己的位置</w:t>
      </w:r>
      <w:r>
        <w:rPr>
          <w:color w:val="auto"/>
        </w:rPr>
        <w:fldChar w:fldCharType="begin"/>
      </w:r>
      <w:r>
        <w:rPr>
          <w:color w:val="auto"/>
        </w:rPr>
        <w:instrText xml:space="preserve"> REF _Ref193110173 \r \h </w:instrText>
      </w:r>
      <w:r>
        <w:rPr>
          <w:color w:val="auto"/>
        </w:rPr>
        <w:fldChar w:fldCharType="separate"/>
      </w:r>
      <w:r>
        <w:rPr>
          <w:color w:val="auto"/>
        </w:rPr>
        <w:t>[67]</w:t>
      </w:r>
      <w:r>
        <w:rPr>
          <w:color w:val="auto"/>
        </w:rPr>
        <w:fldChar w:fldCharType="end"/>
      </w:r>
      <w:r>
        <w:rPr>
          <w:color w:val="auto"/>
        </w:rPr>
        <w:t>。</w:t>
      </w:r>
    </w:p>
    <w:p w14:paraId="3D0FD755">
      <w:pPr>
        <w:tabs>
          <w:tab w:val="left" w:pos="2664"/>
        </w:tabs>
        <w:spacing w:line="400" w:lineRule="exact"/>
        <w:ind w:firstLine="480" w:firstLineChars="200"/>
        <w:rPr>
          <w:color w:val="auto"/>
        </w:rPr>
      </w:pPr>
      <w:r>
        <w:rPr>
          <w:color w:val="auto"/>
        </w:rPr>
        <w:t>（3）局部搜索与变异</w:t>
      </w:r>
    </w:p>
    <w:p w14:paraId="23C4A56F">
      <w:pPr>
        <w:tabs>
          <w:tab w:val="left" w:pos="2664"/>
        </w:tabs>
        <w:spacing w:line="400" w:lineRule="exact"/>
        <w:ind w:firstLine="480" w:firstLineChars="200"/>
        <w:rPr>
          <w:color w:val="auto"/>
        </w:rPr>
      </w:pPr>
      <w:r>
        <w:rPr>
          <w:color w:val="auto"/>
        </w:rPr>
        <w:t>为了增强算法的局部搜索能力，引入局部搜索机制。在每次迭代中，对部分灰狼的位置进行局部搜索，以期发现更优的解。同时，加入变异操作，以一定的概率对灰狼的位置进行微小的随机改变，防止算法陷入局部最优。</w:t>
      </w:r>
    </w:p>
    <w:p w14:paraId="4A0B46BA">
      <w:pPr>
        <w:tabs>
          <w:tab w:val="left" w:pos="2664"/>
        </w:tabs>
        <w:spacing w:line="400" w:lineRule="exact"/>
        <w:ind w:firstLine="480" w:firstLineChars="200"/>
        <w:rPr>
          <w:color w:val="auto"/>
        </w:rPr>
      </w:pPr>
      <w:r>
        <w:rPr>
          <w:color w:val="auto"/>
        </w:rPr>
        <w:t>（4）适应度评估与更新</w:t>
      </w:r>
    </w:p>
    <w:p w14:paraId="2DA51846">
      <w:pPr>
        <w:tabs>
          <w:tab w:val="left" w:pos="2664"/>
        </w:tabs>
        <w:spacing w:line="400" w:lineRule="exact"/>
        <w:ind w:firstLine="480" w:firstLineChars="200"/>
        <w:rPr>
          <w:color w:val="auto"/>
        </w:rPr>
      </w:pPr>
      <w:r>
        <w:rPr>
          <w:color w:val="auto"/>
        </w:rPr>
        <w:t xml:space="preserve">在每次迭代后，使用适应度函数对所有灰狼的新位置进行评估。根据评估结果，更新 </w:t>
      </w:r>
      <w:r>
        <w:rPr>
          <w:i/>
          <w:iCs/>
          <w:color w:val="auto"/>
        </w:rPr>
        <w:t>α、β、δ</w:t>
      </w:r>
      <w:r>
        <w:rPr>
          <w:color w:val="auto"/>
        </w:rPr>
        <w:t xml:space="preserve"> 领导者。如果新的位置产生了更优的解，则替换旧的领导者</w:t>
      </w:r>
      <w:r>
        <w:rPr>
          <w:color w:val="auto"/>
        </w:rPr>
        <w:fldChar w:fldCharType="begin"/>
      </w:r>
      <w:r>
        <w:rPr>
          <w:color w:val="auto"/>
        </w:rPr>
        <w:instrText xml:space="preserve"> REF _Ref193110257 \r \h </w:instrText>
      </w:r>
      <w:r>
        <w:rPr>
          <w:color w:val="auto"/>
        </w:rPr>
        <w:fldChar w:fldCharType="separate"/>
      </w:r>
      <w:r>
        <w:rPr>
          <w:color w:val="auto"/>
        </w:rPr>
        <w:t>[68]</w:t>
      </w:r>
      <w:r>
        <w:rPr>
          <w:color w:val="auto"/>
        </w:rPr>
        <w:fldChar w:fldCharType="end"/>
      </w:r>
      <w:r>
        <w:rPr>
          <w:color w:val="auto"/>
        </w:rPr>
        <w:t>。</w:t>
      </w:r>
    </w:p>
    <w:p w14:paraId="31A112F1">
      <w:pPr>
        <w:tabs>
          <w:tab w:val="left" w:pos="2664"/>
        </w:tabs>
        <w:spacing w:line="400" w:lineRule="exact"/>
        <w:ind w:firstLine="480" w:firstLineChars="200"/>
        <w:rPr>
          <w:color w:val="auto"/>
        </w:rPr>
      </w:pPr>
      <w:r>
        <w:rPr>
          <w:color w:val="auto"/>
        </w:rPr>
        <w:t>（5）迭代终止条件判断</w:t>
      </w:r>
    </w:p>
    <w:p w14:paraId="0B607568">
      <w:pPr>
        <w:tabs>
          <w:tab w:val="left" w:pos="2664"/>
        </w:tabs>
        <w:spacing w:line="400" w:lineRule="exact"/>
        <w:ind w:firstLine="480" w:firstLineChars="200"/>
        <w:rPr>
          <w:color w:val="auto"/>
        </w:rPr>
      </w:pPr>
      <w:r>
        <w:rPr>
          <w:color w:val="auto"/>
        </w:rPr>
        <w:t>检查算法是否达到最大迭代次数或其他终止条件。如果满足终止条件，则输出最优解；否则，继续进行群体协作、局部搜索、变异和适应度评估等步骤，不断优化解决方案，直至找到满足要求的最优或近似最优解。</w:t>
      </w:r>
    </w:p>
    <w:p w14:paraId="6F1155F8">
      <w:pPr>
        <w:spacing w:before="156" w:beforeLines="50" w:after="156" w:afterLines="50" w:line="324" w:lineRule="auto"/>
        <w:outlineLvl w:val="1"/>
        <w:rPr>
          <w:color w:val="auto"/>
        </w:rPr>
      </w:pPr>
      <w:bookmarkStart w:id="161" w:name="_Toc193967374"/>
      <w:r>
        <w:rPr>
          <w:rFonts w:eastAsia="黑体"/>
          <w:color w:val="auto"/>
          <w:sz w:val="28"/>
          <w:szCs w:val="28"/>
        </w:rPr>
        <w:t xml:space="preserve">5.2 </w:t>
      </w:r>
      <w:bookmarkEnd w:id="159"/>
      <w:r>
        <w:rPr>
          <w:rFonts w:eastAsia="黑体"/>
          <w:color w:val="auto"/>
          <w:sz w:val="28"/>
          <w:szCs w:val="28"/>
        </w:rPr>
        <w:t>目标函数与约束条件设定</w:t>
      </w:r>
      <w:bookmarkEnd w:id="160"/>
      <w:bookmarkEnd w:id="161"/>
    </w:p>
    <w:p w14:paraId="071BFD5D">
      <w:pPr>
        <w:spacing w:line="400" w:lineRule="exact"/>
        <w:ind w:firstLine="480" w:firstLineChars="200"/>
        <w:rPr>
          <w:color w:val="auto"/>
        </w:rPr>
      </w:pPr>
      <w:r>
        <w:rPr>
          <w:color w:val="auto"/>
        </w:rPr>
        <w:t>在电网项目投资决策优化中，需明确目标函数与约束条件。目标函数反映优化目标的核心诉求，约束条件则体现实际投资环境中的限制因素。</w:t>
      </w:r>
    </w:p>
    <w:p w14:paraId="57D38C69">
      <w:pPr>
        <w:spacing w:before="156" w:beforeLines="50" w:after="156" w:afterLines="50" w:line="400" w:lineRule="exact"/>
        <w:outlineLvl w:val="2"/>
        <w:rPr>
          <w:rFonts w:eastAsia="黑体"/>
          <w:color w:val="auto"/>
          <w:sz w:val="28"/>
          <w:szCs w:val="28"/>
        </w:rPr>
      </w:pPr>
      <w:bookmarkStart w:id="162" w:name="_Toc193967375"/>
      <w:r>
        <w:rPr>
          <w:rFonts w:hint="eastAsia" w:eastAsia="黑体"/>
          <w:color w:val="auto"/>
          <w:sz w:val="28"/>
          <w:szCs w:val="28"/>
        </w:rPr>
        <w:t>5.2.1</w:t>
      </w:r>
      <w:r>
        <w:rPr>
          <w:rFonts w:eastAsia="黑体"/>
          <w:color w:val="auto"/>
          <w:sz w:val="28"/>
          <w:szCs w:val="28"/>
        </w:rPr>
        <w:t>目标函数建立</w:t>
      </w:r>
      <w:bookmarkEnd w:id="162"/>
    </w:p>
    <w:p w14:paraId="69BE77C0">
      <w:pPr>
        <w:spacing w:line="400" w:lineRule="exact"/>
        <w:ind w:firstLine="480" w:firstLineChars="200"/>
        <w:rPr>
          <w:color w:val="auto"/>
        </w:rPr>
      </w:pPr>
      <w:r>
        <w:rPr>
          <w:color w:val="auto"/>
        </w:rPr>
        <w:t>本文以提升新型电力系统背景下电网项目的综合效益为目标，构建兼顾经济性与可持续性的多目标函数：</w:t>
      </w:r>
    </w:p>
    <w:p w14:paraId="4B04F843">
      <w:pPr>
        <w:spacing w:line="400" w:lineRule="exact"/>
        <w:ind w:firstLine="480" w:firstLineChars="200"/>
        <w:rPr>
          <w:color w:val="auto"/>
        </w:rPr>
      </w:pPr>
    </w:p>
    <w:p w14:paraId="18B4F151">
      <w:pPr>
        <w:spacing w:line="400" w:lineRule="exact"/>
        <w:ind w:firstLine="480" w:firstLineChars="200"/>
        <w:rPr>
          <w:color w:val="auto"/>
        </w:rPr>
      </w:pPr>
      <m:oMathPara>
        <m:oMath>
          <m:r>
            <m:rPr>
              <m:sty m:val="p"/>
            </m:rPr>
            <w:rPr>
              <w:rFonts w:ascii="Cambria Math" w:hAnsi="Cambria Math"/>
              <w:color w:val="auto"/>
            </w:rPr>
            <m:t>max</m:t>
          </m:r>
          <m:r>
            <m:rPr/>
            <w:rPr>
              <w:rFonts w:ascii="Cambria Math" w:hAnsi="Cambria Math"/>
              <w:color w:val="auto"/>
            </w:rPr>
            <m:t>F(x)=α∙</m:t>
          </m:r>
          <m:nary>
            <m:naryPr>
              <m:chr m:val="∑"/>
              <m:limLoc m:val="undOvr"/>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w:rPr>
                  <w:rFonts w:ascii="Cambria Math" w:hAnsi="Cambria Math"/>
                  <w:color w:val="auto"/>
                </w:rPr>
                <m:t>−(1−α)∙</m:t>
              </m:r>
              <m:ctrlPr>
                <w:rPr>
                  <w:rFonts w:ascii="Cambria Math" w:hAnsi="Cambria Math"/>
                  <w:i/>
                  <w:iCs/>
                  <w:color w:val="auto"/>
                </w:rPr>
              </m:ctrlPr>
            </m:e>
          </m:nary>
          <m:nary>
            <m:naryPr>
              <m:chr m:val="∑"/>
              <m:limLoc m:val="undOvr"/>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b>
                <m:sSubPr>
                  <m:ctrlPr>
                    <w:rPr>
                      <w:rFonts w:ascii="Cambria Math" w:hAnsi="Cambria Math"/>
                      <w:i/>
                      <w:iCs/>
                      <w:color w:val="auto"/>
                    </w:rPr>
                  </m:ctrlPr>
                </m:sSubPr>
                <m:e>
                  <m:r>
                    <m:rPr/>
                    <w:rPr>
                      <w:rFonts w:ascii="Cambria Math" w:hAnsi="Cambria Math"/>
                      <w:color w:val="auto"/>
                    </w:rPr>
                    <m:t>C</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w:rPr>
                  <w:rFonts w:ascii="Cambria Math" w:hAnsi="Cambria Math"/>
                  <w:color w:val="auto"/>
                </w:rPr>
                <m:t>+β∙</m:t>
              </m:r>
              <m:ctrlPr>
                <w:rPr>
                  <w:rFonts w:ascii="Cambria Math" w:hAnsi="Cambria Math"/>
                  <w:i/>
                  <w:iCs/>
                  <w:color w:val="auto"/>
                </w:rPr>
              </m:ctrlPr>
            </m:e>
          </m:nary>
          <m:nary>
            <m:naryPr>
              <m:chr m:val="∑"/>
              <m:limLoc m:val="undOvr"/>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b>
                <m:sSubPr>
                  <m:ctrlPr>
                    <w:rPr>
                      <w:rFonts w:ascii="Cambria Math" w:hAnsi="Cambria Math"/>
                      <w:i/>
                      <w:iCs/>
                      <w:color w:val="auto"/>
                    </w:rPr>
                  </m:ctrlPr>
                </m:sSubPr>
                <m:e>
                  <m:r>
                    <m:rPr/>
                    <w:rPr>
                      <w:rFonts w:ascii="Cambria Math" w:hAnsi="Cambria Math"/>
                      <w:color w:val="auto"/>
                    </w:rPr>
                    <m:t>E</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ctrlPr>
                <w:rPr>
                  <w:rFonts w:ascii="Cambria Math" w:hAnsi="Cambria Math"/>
                  <w:i/>
                  <w:iCs/>
                  <w:color w:val="auto"/>
                </w:rPr>
              </m:ctrlPr>
            </m:e>
          </m:nary>
        </m:oMath>
      </m:oMathPara>
    </w:p>
    <w:p w14:paraId="709A7522">
      <w:pPr>
        <w:spacing w:line="400" w:lineRule="exact"/>
        <w:ind w:firstLine="480" w:firstLineChars="200"/>
        <w:rPr>
          <w:color w:val="auto"/>
        </w:rPr>
      </w:pPr>
      <m:oMath>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rFonts w:hint="eastAsia" w:hAnsi="Cambria Math"/>
          <w:iCs/>
          <w:color w:val="auto"/>
        </w:rPr>
        <w:t>——</w:t>
      </w:r>
      <w:r>
        <w:rPr>
          <w:color w:val="auto"/>
        </w:rPr>
        <w:t>表示第</w:t>
      </w:r>
      <m:oMath>
        <m:r>
          <m:rPr/>
          <w:rPr>
            <w:rFonts w:ascii="Cambria Math" w:hAnsi="Cambria Math"/>
            <w:color w:val="auto"/>
          </w:rPr>
          <m:t>i</m:t>
        </m:r>
      </m:oMath>
      <w:r>
        <w:rPr>
          <w:color w:val="auto"/>
        </w:rPr>
        <w:t>个项目的投资比例</w:t>
      </w:r>
      <m:oMath>
        <m:r>
          <m:rPr>
            <m:sty m:val="p"/>
          </m:rPr>
          <w:rPr>
            <w:rFonts w:ascii="Cambria Math" w:hAnsi="Cambria Math"/>
            <w:color w:val="auto"/>
          </w:rPr>
          <m:t>(0≤</m:t>
        </m:r>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m:sty m:val="p"/>
          </m:rPr>
          <w:rPr>
            <w:rFonts w:ascii="Cambria Math" w:hAnsi="Cambria Math"/>
            <w:color w:val="auto"/>
          </w:rPr>
          <m:t>≤1)</m:t>
        </m:r>
      </m:oMath>
    </w:p>
    <w:p w14:paraId="708C88D8">
      <w:pPr>
        <w:spacing w:line="400" w:lineRule="exact"/>
        <w:ind w:firstLine="480" w:firstLineChars="200"/>
        <w:rPr>
          <w:color w:val="auto"/>
        </w:rPr>
      </w:pPr>
      <m:oMath>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rFonts w:hint="eastAsia" w:hAnsi="Cambria Math"/>
          <w:iCs/>
          <w:color w:val="auto"/>
        </w:rPr>
        <w:t>——</w:t>
      </w:r>
      <w:r>
        <w:rPr>
          <w:color w:val="auto"/>
        </w:rPr>
        <w:t>为第</w:t>
      </w:r>
      <m:oMath>
        <m:r>
          <m:rPr/>
          <w:rPr>
            <w:rFonts w:ascii="Cambria Math" w:hAnsi="Cambria Math"/>
            <w:color w:val="auto"/>
          </w:rPr>
          <m:t>i</m:t>
        </m:r>
      </m:oMath>
      <w:r>
        <w:rPr>
          <w:color w:val="auto"/>
        </w:rPr>
        <w:t>个项目的预期收益率</w:t>
      </w:r>
    </w:p>
    <w:p w14:paraId="5A6AAB19">
      <w:pPr>
        <w:spacing w:line="400" w:lineRule="exact"/>
        <w:ind w:firstLine="480" w:firstLineChars="200"/>
        <w:rPr>
          <w:color w:val="auto"/>
        </w:rPr>
      </w:pPr>
      <m:oMath>
        <m:sSub>
          <m:sSubPr>
            <m:ctrlPr>
              <w:rPr>
                <w:rFonts w:ascii="Cambria Math" w:hAnsi="Cambria Math"/>
                <w:i/>
                <w:iCs/>
                <w:color w:val="auto"/>
              </w:rPr>
            </m:ctrlPr>
          </m:sSubPr>
          <m:e>
            <m:r>
              <m:rPr/>
              <w:rPr>
                <w:rFonts w:ascii="Cambria Math" w:hAnsi="Cambria Math"/>
                <w:color w:val="auto"/>
              </w:rPr>
              <m:t>C</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rFonts w:hint="eastAsia" w:hAnsi="Cambria Math"/>
          <w:iCs/>
          <w:color w:val="auto"/>
        </w:rPr>
        <w:t>——</w:t>
      </w:r>
      <w:r>
        <w:rPr>
          <w:color w:val="auto"/>
        </w:rPr>
        <w:t>为第</w:t>
      </w:r>
      <m:oMath>
        <m:r>
          <m:rPr/>
          <w:rPr>
            <w:rFonts w:ascii="Cambria Math" w:hAnsi="Cambria Math"/>
            <w:color w:val="auto"/>
          </w:rPr>
          <m:t>i</m:t>
        </m:r>
      </m:oMath>
      <w:r>
        <w:rPr>
          <w:color w:val="auto"/>
        </w:rPr>
        <w:t>个项目的单位投资成本</w:t>
      </w:r>
    </w:p>
    <w:p w14:paraId="4932B5D3">
      <w:pPr>
        <w:spacing w:line="400" w:lineRule="exact"/>
        <w:ind w:firstLine="480" w:firstLineChars="200"/>
        <w:rPr>
          <w:color w:val="auto"/>
        </w:rPr>
      </w:pPr>
      <m:oMath>
        <m:sSub>
          <m:sSubPr>
            <m:ctrlPr>
              <w:rPr>
                <w:rFonts w:ascii="Cambria Math" w:hAnsi="Cambria Math"/>
                <w:i/>
                <w:iCs/>
                <w:color w:val="auto"/>
              </w:rPr>
            </m:ctrlPr>
          </m:sSubPr>
          <m:e>
            <m:r>
              <m:rPr/>
              <w:rPr>
                <w:rFonts w:ascii="Cambria Math" w:hAnsi="Cambria Math"/>
                <w:color w:val="auto"/>
              </w:rPr>
              <m:t>E</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rFonts w:hint="eastAsia" w:hAnsi="Cambria Math"/>
          <w:iCs/>
          <w:color w:val="auto"/>
        </w:rPr>
        <w:t>——</w:t>
      </w:r>
      <w:r>
        <w:rPr>
          <w:color w:val="auto"/>
        </w:rPr>
        <w:t>为第</w:t>
      </w:r>
      <m:oMath>
        <m:r>
          <m:rPr/>
          <w:rPr>
            <w:rFonts w:ascii="Cambria Math" w:hAnsi="Cambria Math"/>
            <w:color w:val="auto"/>
          </w:rPr>
          <m:t>i</m:t>
        </m:r>
      </m:oMath>
      <w:r>
        <w:rPr>
          <w:color w:val="auto"/>
        </w:rPr>
        <w:t>个项目的环境效益量化值（如碳减排量）</w:t>
      </w:r>
    </w:p>
    <w:p w14:paraId="39762E07">
      <w:pPr>
        <w:spacing w:line="400" w:lineRule="exact"/>
        <w:ind w:firstLine="480" w:firstLineChars="200"/>
        <w:rPr>
          <w:color w:val="auto"/>
        </w:rPr>
      </w:pPr>
      <m:oMath>
        <m:r>
          <m:rPr/>
          <w:rPr>
            <w:rFonts w:ascii="Cambria Math" w:hAnsi="Cambria Math"/>
            <w:color w:val="auto"/>
          </w:rPr>
          <m:t>α∈</m:t>
        </m:r>
        <m:d>
          <m:dPr>
            <m:begChr m:val="["/>
            <m:endChr m:val="]"/>
            <m:ctrlPr>
              <w:rPr>
                <w:rFonts w:ascii="Cambria Math" w:hAnsi="Cambria Math"/>
                <w:i/>
                <w:color w:val="auto"/>
              </w:rPr>
            </m:ctrlPr>
          </m:dPr>
          <m:e>
            <m:r>
              <m:rPr/>
              <w:rPr>
                <w:rFonts w:ascii="Cambria Math" w:hAnsi="Cambria Math"/>
                <w:color w:val="auto"/>
              </w:rPr>
              <m:t>0,1</m:t>
            </m:r>
            <m:ctrlPr>
              <w:rPr>
                <w:rFonts w:ascii="Cambria Math" w:hAnsi="Cambria Math"/>
                <w:i/>
                <w:color w:val="auto"/>
              </w:rPr>
            </m:ctrlPr>
          </m:e>
        </m:d>
      </m:oMath>
      <w:r>
        <w:rPr>
          <w:rFonts w:hint="eastAsia" w:hAnsi="Cambria Math"/>
          <w:iCs/>
          <w:color w:val="auto"/>
        </w:rPr>
        <w:t>——</w:t>
      </w:r>
      <w:r>
        <w:rPr>
          <w:color w:val="auto"/>
        </w:rPr>
        <w:t>为经济效益权重系数</w:t>
      </w:r>
    </w:p>
    <w:p w14:paraId="05D09C3C">
      <w:pPr>
        <w:spacing w:line="400" w:lineRule="exact"/>
        <w:ind w:firstLine="480" w:firstLineChars="200"/>
        <w:rPr>
          <w:color w:val="auto"/>
        </w:rPr>
      </w:pPr>
      <m:oMath>
        <m:r>
          <m:rPr/>
          <w:rPr>
            <w:rFonts w:ascii="Cambria Math" w:hAnsi="Cambria Math"/>
            <w:color w:val="auto"/>
          </w:rPr>
          <m:t>β</m:t>
        </m:r>
      </m:oMath>
      <w:r>
        <w:rPr>
          <w:rFonts w:hint="eastAsia" w:hAnsi="Cambria Math"/>
          <w:iCs/>
          <w:color w:val="auto"/>
        </w:rPr>
        <w:t>——</w:t>
      </w:r>
      <w:r>
        <w:rPr>
          <w:color w:val="auto"/>
        </w:rPr>
        <w:t>为环境效益调节系数</w:t>
      </w:r>
    </w:p>
    <w:p w14:paraId="2F066D89">
      <w:pPr>
        <w:spacing w:line="400" w:lineRule="exact"/>
        <w:ind w:firstLine="480" w:firstLineChars="200"/>
        <w:rPr>
          <w:color w:val="auto"/>
        </w:rPr>
      </w:pPr>
      <w:r>
        <w:rPr>
          <w:color w:val="auto"/>
        </w:rPr>
        <w:t>函数建立体现三重优化目标：</w:t>
      </w:r>
    </w:p>
    <w:p w14:paraId="24A4DC0A">
      <w:pPr>
        <w:spacing w:line="400" w:lineRule="exact"/>
        <w:ind w:firstLine="480" w:firstLineChars="200"/>
        <w:rPr>
          <w:color w:val="auto"/>
        </w:rPr>
      </w:pPr>
      <w:r>
        <w:rPr>
          <w:rFonts w:ascii="Cambria Math" w:hAnsi="Cambria Math" w:cs="Cambria Math"/>
          <w:color w:val="auto"/>
        </w:rPr>
        <w:t>①</w:t>
      </w:r>
      <w:r>
        <w:rPr>
          <w:color w:val="auto"/>
        </w:rPr>
        <w:t>经济性目标</w:t>
      </w:r>
      <m:oMath>
        <m:r>
          <m:rPr>
            <m:sty m:val="p"/>
          </m:rPr>
          <w:rPr>
            <w:rFonts w:ascii="Cambria Math" w:hAnsi="Cambria Math"/>
            <w:color w:val="auto"/>
          </w:rPr>
          <m:t>(</m:t>
        </m:r>
        <m:nary>
          <m:naryPr>
            <m:chr m:val="∑"/>
            <m:limLoc m:val="undOvr"/>
            <m:subHide m:val="1"/>
            <m:supHide m:val="1"/>
            <m:ctrlPr>
              <w:rPr>
                <w:rFonts w:ascii="Cambria Math" w:hAnsi="Cambria Math"/>
                <w:color w:val="auto"/>
              </w:rPr>
            </m:ctrlPr>
          </m:naryPr>
          <m:sub>
            <m:ctrlPr>
              <w:rPr>
                <w:rFonts w:ascii="Cambria Math" w:hAnsi="Cambria Math"/>
                <w:color w:val="auto"/>
              </w:rPr>
            </m:ctrlPr>
          </m:sub>
          <m:sup>
            <m:ctrlPr>
              <w:rPr>
                <w:rFonts w:ascii="Cambria Math" w:hAnsi="Cambria Math"/>
                <w:color w:val="auto"/>
              </w:rPr>
            </m:ctrlPr>
          </m:sup>
          <m:e>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ctrlPr>
              <w:rPr>
                <w:rFonts w:ascii="Cambria Math" w:hAnsi="Cambria Math"/>
                <w:color w:val="auto"/>
              </w:rPr>
            </m:ctrlPr>
          </m:e>
        </m:nary>
        <m:r>
          <m:rPr>
            <m:sty m:val="p"/>
          </m:rPr>
          <w:rPr>
            <w:rFonts w:ascii="Cambria Math" w:hAnsi="Cambria Math"/>
            <w:color w:val="auto"/>
          </w:rPr>
          <m:t>)</m:t>
        </m:r>
      </m:oMath>
      <w:r>
        <w:rPr>
          <w:color w:val="auto"/>
        </w:rPr>
        <w:t>：最大化项目组合的总体收益</w:t>
      </w:r>
    </w:p>
    <w:p w14:paraId="639A391B">
      <w:pPr>
        <w:spacing w:line="400" w:lineRule="exact"/>
        <w:ind w:firstLine="480" w:firstLineChars="200"/>
        <w:rPr>
          <w:color w:val="auto"/>
        </w:rPr>
      </w:pPr>
      <w:r>
        <w:rPr>
          <w:rFonts w:ascii="Cambria Math" w:hAnsi="Cambria Math" w:cs="Cambria Math"/>
          <w:color w:val="auto"/>
        </w:rPr>
        <w:t>②</w:t>
      </w:r>
      <w:r>
        <w:rPr>
          <w:color w:val="auto"/>
        </w:rPr>
        <w:t>成本控制目标</w:t>
      </w:r>
      <m:oMath>
        <m:r>
          <m:rPr>
            <m:sty m:val="p"/>
          </m:rPr>
          <w:rPr>
            <w:rFonts w:ascii="Cambria Math" w:hAnsi="Cambria Math"/>
            <w:color w:val="auto"/>
          </w:rPr>
          <m:t>(</m:t>
        </m:r>
        <m:nary>
          <m:naryPr>
            <m:chr m:val="∑"/>
            <m:limLoc m:val="undOvr"/>
            <m:subHide m:val="1"/>
            <m:supHide m:val="1"/>
            <m:ctrlPr>
              <w:rPr>
                <w:rFonts w:ascii="Cambria Math" w:hAnsi="Cambria Math"/>
                <w:color w:val="auto"/>
              </w:rPr>
            </m:ctrlPr>
          </m:naryPr>
          <m:sub>
            <m:ctrlPr>
              <w:rPr>
                <w:rFonts w:ascii="Cambria Math" w:hAnsi="Cambria Math"/>
                <w:color w:val="auto"/>
              </w:rPr>
            </m:ctrlPr>
          </m:sub>
          <m:sup>
            <m:ctrlPr>
              <w:rPr>
                <w:rFonts w:ascii="Cambria Math" w:hAnsi="Cambria Math"/>
                <w:color w:val="auto"/>
              </w:rPr>
            </m:ctrlPr>
          </m:sup>
          <m:e>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b>
              <m:sSubPr>
                <m:ctrlPr>
                  <w:rPr>
                    <w:rFonts w:ascii="Cambria Math" w:hAnsi="Cambria Math"/>
                    <w:i/>
                    <w:iCs/>
                    <w:color w:val="auto"/>
                  </w:rPr>
                </m:ctrlPr>
              </m:sSubPr>
              <m:e>
                <m:r>
                  <m:rPr/>
                  <w:rPr>
                    <w:rFonts w:ascii="Cambria Math" w:hAnsi="Cambria Math"/>
                    <w:color w:val="auto"/>
                  </w:rPr>
                  <m:t>C</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ctrlPr>
              <w:rPr>
                <w:rFonts w:ascii="Cambria Math" w:hAnsi="Cambria Math"/>
                <w:color w:val="auto"/>
              </w:rPr>
            </m:ctrlPr>
          </m:e>
        </m:nary>
        <m:r>
          <m:rPr>
            <m:sty m:val="p"/>
          </m:rPr>
          <w:rPr>
            <w:rFonts w:ascii="Cambria Math" w:hAnsi="Cambria Math"/>
            <w:color w:val="auto"/>
          </w:rPr>
          <m:t>)</m:t>
        </m:r>
      </m:oMath>
      <w:r>
        <w:rPr>
          <w:color w:val="auto"/>
        </w:rPr>
        <w:t>：最小化投资与运维成本</w:t>
      </w:r>
    </w:p>
    <w:p w14:paraId="2E8DB9F8">
      <w:pPr>
        <w:spacing w:line="400" w:lineRule="exact"/>
        <w:ind w:firstLine="480" w:firstLineChars="200"/>
        <w:rPr>
          <w:color w:val="auto"/>
        </w:rPr>
      </w:pPr>
      <w:r>
        <w:rPr>
          <w:rFonts w:ascii="Cambria Math" w:hAnsi="Cambria Math" w:cs="Cambria Math"/>
          <w:color w:val="auto"/>
        </w:rPr>
        <w:t>③</w:t>
      </w:r>
      <w:r>
        <w:rPr>
          <w:color w:val="auto"/>
        </w:rPr>
        <w:t>环境目标</w:t>
      </w:r>
      <m:oMath>
        <m:r>
          <m:rPr>
            <m:sty m:val="p"/>
          </m:rPr>
          <w:rPr>
            <w:rFonts w:ascii="Cambria Math" w:hAnsi="Cambria Math"/>
            <w:color w:val="auto"/>
          </w:rPr>
          <m:t>(</m:t>
        </m:r>
        <m:nary>
          <m:naryPr>
            <m:chr m:val="∑"/>
            <m:limLoc m:val="undOvr"/>
            <m:subHide m:val="1"/>
            <m:supHide m:val="1"/>
            <m:ctrlPr>
              <w:rPr>
                <w:rFonts w:ascii="Cambria Math" w:hAnsi="Cambria Math"/>
                <w:color w:val="auto"/>
              </w:rPr>
            </m:ctrlPr>
          </m:naryPr>
          <m:sub>
            <m:ctrlPr>
              <w:rPr>
                <w:rFonts w:ascii="Cambria Math" w:hAnsi="Cambria Math"/>
                <w:color w:val="auto"/>
              </w:rPr>
            </m:ctrlPr>
          </m:sub>
          <m:sup>
            <m:ctrlPr>
              <w:rPr>
                <w:rFonts w:ascii="Cambria Math" w:hAnsi="Cambria Math"/>
                <w:color w:val="auto"/>
              </w:rPr>
            </m:ctrlPr>
          </m:sup>
          <m:e>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b>
              <m:sSubPr>
                <m:ctrlPr>
                  <w:rPr>
                    <w:rFonts w:ascii="Cambria Math" w:hAnsi="Cambria Math"/>
                    <w:i/>
                    <w:iCs/>
                    <w:color w:val="auto"/>
                  </w:rPr>
                </m:ctrlPr>
              </m:sSubPr>
              <m:e>
                <m:r>
                  <m:rPr/>
                  <w:rPr>
                    <w:rFonts w:ascii="Cambria Math" w:hAnsi="Cambria Math"/>
                    <w:color w:val="auto"/>
                  </w:rPr>
                  <m:t>E</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ctrlPr>
              <w:rPr>
                <w:rFonts w:ascii="Cambria Math" w:hAnsi="Cambria Math"/>
                <w:color w:val="auto"/>
              </w:rPr>
            </m:ctrlPr>
          </m:e>
        </m:nary>
        <m:r>
          <m:rPr>
            <m:sty m:val="p"/>
          </m:rPr>
          <w:rPr>
            <w:rFonts w:ascii="Cambria Math" w:hAnsi="Cambria Math"/>
            <w:color w:val="auto"/>
          </w:rPr>
          <m:t>)</m:t>
        </m:r>
      </m:oMath>
      <w:r>
        <w:rPr>
          <w:color w:val="auto"/>
        </w:rPr>
        <w:t>：最大化清洁能源效益与碳减排贡献</w:t>
      </w:r>
    </w:p>
    <w:p w14:paraId="0E242DEC">
      <w:pPr>
        <w:spacing w:before="156" w:beforeLines="50" w:after="156" w:afterLines="50" w:line="400" w:lineRule="exact"/>
        <w:outlineLvl w:val="2"/>
        <w:rPr>
          <w:rFonts w:eastAsia="黑体"/>
          <w:color w:val="auto"/>
          <w:sz w:val="28"/>
          <w:szCs w:val="28"/>
        </w:rPr>
      </w:pPr>
      <w:bookmarkStart w:id="163" w:name="_Toc193967376"/>
      <w:r>
        <w:rPr>
          <w:rFonts w:hint="eastAsia" w:eastAsia="黑体"/>
          <w:color w:val="auto"/>
          <w:sz w:val="28"/>
          <w:szCs w:val="28"/>
        </w:rPr>
        <w:t>5.2.2</w:t>
      </w:r>
      <w:r>
        <w:rPr>
          <w:rFonts w:eastAsia="黑体"/>
          <w:color w:val="auto"/>
          <w:sz w:val="28"/>
          <w:szCs w:val="28"/>
        </w:rPr>
        <w:t>约束条件设定</w:t>
      </w:r>
      <w:bookmarkEnd w:id="163"/>
    </w:p>
    <w:p w14:paraId="1D026D82">
      <w:pPr>
        <w:spacing w:line="400" w:lineRule="exact"/>
        <w:ind w:firstLine="480" w:firstLineChars="200"/>
        <w:rPr>
          <w:color w:val="auto"/>
        </w:rPr>
      </w:pPr>
      <w:r>
        <w:rPr>
          <w:color w:val="auto"/>
        </w:rPr>
        <w:t>约束条件分为四类，保证投资方案的实际可行性：</w:t>
      </w:r>
    </w:p>
    <w:p w14:paraId="012FE59A">
      <w:pPr>
        <w:spacing w:line="400" w:lineRule="exact"/>
        <w:ind w:firstLine="480" w:firstLineChars="200"/>
        <w:rPr>
          <w:color w:val="auto"/>
        </w:rPr>
      </w:pPr>
      <w:r>
        <w:rPr>
          <w:color w:val="auto"/>
        </w:rPr>
        <w:t>1）经济性约束</w:t>
      </w:r>
    </w:p>
    <w:p w14:paraId="25880277">
      <w:pPr>
        <w:spacing w:line="400" w:lineRule="exact"/>
        <w:ind w:firstLine="480" w:firstLineChars="200"/>
        <w:rPr>
          <w:color w:val="auto"/>
        </w:rPr>
      </w:pPr>
      <w:r>
        <w:rPr>
          <w:color w:val="auto"/>
        </w:rPr>
        <w:t>经济性约束反映了电网投资项目在资金分配、成本控制和收益方面的限制条件。</w:t>
      </w:r>
    </w:p>
    <w:p w14:paraId="6DD34793">
      <w:pPr>
        <w:spacing w:line="400" w:lineRule="exact"/>
        <w:ind w:firstLine="480" w:firstLineChars="200"/>
        <w:rPr>
          <w:color w:val="auto"/>
        </w:rPr>
      </w:pPr>
      <w:r>
        <w:rPr>
          <w:rFonts w:ascii="Cambria Math" w:hAnsi="Cambria Math" w:cs="Cambria Math"/>
          <w:color w:val="auto"/>
        </w:rPr>
        <w:t>①</w:t>
      </w:r>
      <w:r>
        <w:rPr>
          <w:color w:val="auto"/>
        </w:rPr>
        <w:t>总投资额限制</w:t>
      </w:r>
    </w:p>
    <w:p w14:paraId="5D6DCE85">
      <w:pPr>
        <w:spacing w:line="400" w:lineRule="exact"/>
        <w:ind w:firstLine="480" w:firstLineChars="200"/>
        <w:rPr>
          <w:color w:val="auto"/>
        </w:rPr>
      </w:pPr>
      <w:r>
        <w:rPr>
          <w:color w:val="auto"/>
        </w:rPr>
        <w:t>投资总额不能超过预算上限：</w:t>
      </w:r>
    </w:p>
    <w:p w14:paraId="5898AD24">
      <w:pPr>
        <w:spacing w:line="400" w:lineRule="exact"/>
        <w:jc w:val="right"/>
        <w:rPr>
          <w:color w:val="auto"/>
        </w:rPr>
      </w:pPr>
      <w:r>
        <w:rPr>
          <w:color w:val="auto"/>
        </w:rPr>
        <w:t xml:space="preserve">         </w:t>
      </w:r>
      <m:oMath>
        <m:nary>
          <m:naryPr>
            <m:chr m:val="∑"/>
            <m:limLoc m:val="undOvr"/>
            <m:ctrlPr>
              <w:rPr>
                <w:rFonts w:ascii="Cambria Math" w:hAnsi="Cambria Math"/>
                <w:iCs/>
                <w:color w:val="auto"/>
              </w:rPr>
            </m:ctrlPr>
          </m:naryPr>
          <m:sub>
            <m:r>
              <m:rPr>
                <m:nor/>
                <m:sty m:val="p"/>
              </m:rPr>
              <w:rPr>
                <w:iCs/>
                <w:color w:val="auto"/>
              </w:rPr>
              <m:t>i=1</m:t>
            </m:r>
            <m:ctrlPr>
              <w:rPr>
                <w:rFonts w:ascii="Cambria Math" w:hAnsi="Cambria Math"/>
                <w:iCs/>
                <w:color w:val="auto"/>
              </w:rPr>
            </m:ctrlPr>
          </m:sub>
          <m:sup>
            <m:r>
              <m:rPr>
                <m:nor/>
                <m:sty m:val="p"/>
              </m:rPr>
              <w:rPr>
                <w:iCs/>
                <w:color w:val="auto"/>
              </w:rPr>
              <m:t>n</m:t>
            </m:r>
            <m:ctrlPr>
              <w:rPr>
                <w:rFonts w:ascii="Cambria Math" w:hAnsi="Cambria Math"/>
                <w:iCs/>
                <w:color w:val="auto"/>
              </w:rPr>
            </m:ctrlPr>
          </m:sup>
          <m:e>
            <m:sSub>
              <m:sSubPr>
                <m:ctrlPr>
                  <w:rPr>
                    <w:rFonts w:ascii="Cambria Math" w:hAnsi="Cambria Math"/>
                    <w:iCs/>
                    <w:color w:val="auto"/>
                  </w:rPr>
                </m:ctrlPr>
              </m:sSubPr>
              <m:e>
                <m:r>
                  <m:rPr>
                    <m:nor/>
                    <m:sty m:val="p"/>
                  </m:rPr>
                  <w:rPr>
                    <w:iCs/>
                    <w:color w:val="auto"/>
                  </w:rPr>
                  <m:t>x</m:t>
                </m:r>
                <m:ctrlPr>
                  <w:rPr>
                    <w:rFonts w:ascii="Cambria Math" w:hAnsi="Cambria Math"/>
                    <w:iCs/>
                    <w:color w:val="auto"/>
                  </w:rPr>
                </m:ctrlPr>
              </m:e>
              <m:sub>
                <m:r>
                  <m:rPr>
                    <m:nor/>
                    <m:sty m:val="p"/>
                  </m:rPr>
                  <w:rPr>
                    <w:iCs/>
                    <w:color w:val="auto"/>
                  </w:rPr>
                  <m:t>i</m:t>
                </m:r>
                <m:ctrlPr>
                  <w:rPr>
                    <w:rFonts w:ascii="Cambria Math" w:hAnsi="Cambria Math"/>
                    <w:iCs/>
                    <w:color w:val="auto"/>
                  </w:rPr>
                </m:ctrlPr>
              </m:sub>
            </m:sSub>
            <m:r>
              <m:rPr>
                <m:nor/>
                <m:sty m:val="p"/>
              </m:rPr>
              <w:rPr>
                <w:iCs/>
                <w:color w:val="auto"/>
              </w:rPr>
              <m:t>∙</m:t>
            </m:r>
            <m:sSub>
              <m:sSubPr>
                <m:ctrlPr>
                  <w:rPr>
                    <w:rFonts w:ascii="Cambria Math" w:hAnsi="Cambria Math"/>
                    <w:iCs/>
                    <w:color w:val="auto"/>
                  </w:rPr>
                </m:ctrlPr>
              </m:sSubPr>
              <m:e>
                <m:r>
                  <m:rPr>
                    <m:nor/>
                    <m:sty m:val="p"/>
                  </m:rPr>
                  <w:rPr>
                    <w:iCs/>
                    <w:color w:val="auto"/>
                  </w:rPr>
                  <m:t>C</m:t>
                </m:r>
                <m:ctrlPr>
                  <w:rPr>
                    <w:rFonts w:ascii="Cambria Math" w:hAnsi="Cambria Math"/>
                    <w:iCs/>
                    <w:color w:val="auto"/>
                  </w:rPr>
                </m:ctrlPr>
              </m:e>
              <m:sub>
                <m:r>
                  <m:rPr>
                    <m:nor/>
                    <m:sty m:val="p"/>
                  </m:rPr>
                  <w:rPr>
                    <w:iCs/>
                    <w:color w:val="auto"/>
                  </w:rPr>
                  <m:t>i</m:t>
                </m:r>
                <m:ctrlPr>
                  <w:rPr>
                    <w:rFonts w:ascii="Cambria Math" w:hAnsi="Cambria Math"/>
                    <w:iCs/>
                    <w:color w:val="auto"/>
                  </w:rPr>
                </m:ctrlPr>
              </m:sub>
            </m:sSub>
            <m:r>
              <m:rPr>
                <m:nor/>
                <m:sty m:val="p"/>
              </m:rPr>
              <w:rPr>
                <w:iCs/>
                <w:color w:val="auto"/>
              </w:rPr>
              <m:t>≤B</m:t>
            </m:r>
            <m:ctrlPr>
              <w:rPr>
                <w:rFonts w:ascii="Cambria Math" w:hAnsi="Cambria Math"/>
                <w:iCs/>
                <w:color w:val="auto"/>
              </w:rPr>
            </m:ctrlPr>
          </m:e>
        </m:nary>
      </m:oMath>
      <w:r>
        <w:rPr>
          <w:color w:val="auto"/>
        </w:rPr>
        <w:t xml:space="preserve">                       （5-6）</w:t>
      </w:r>
    </w:p>
    <w:p w14:paraId="74371C56">
      <w:pPr>
        <w:spacing w:line="400" w:lineRule="exact"/>
        <w:ind w:firstLine="480" w:firstLineChars="200"/>
        <w:rPr>
          <w:color w:val="auto"/>
        </w:rPr>
      </w:pPr>
      <w:r>
        <w:rPr>
          <w:color w:val="auto"/>
        </w:rPr>
        <w:t>其中，</w:t>
      </w:r>
      <m:oMath>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表示第</w:t>
      </w:r>
      <m:oMath>
        <m:r>
          <m:rPr/>
          <w:rPr>
            <w:rFonts w:ascii="Cambria Math" w:hAnsi="Cambria Math"/>
            <w:color w:val="auto"/>
          </w:rPr>
          <m:t>i</m:t>
        </m:r>
      </m:oMath>
      <w:r>
        <w:rPr>
          <w:color w:val="auto"/>
        </w:rPr>
        <w:t>个项目的投资比例（或金额），</w:t>
      </w:r>
      <m:oMath>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第</w:t>
      </w:r>
      <m:oMath>
        <m:r>
          <m:rPr/>
          <w:rPr>
            <w:rFonts w:ascii="Cambria Math" w:hAnsi="Cambria Math"/>
            <w:color w:val="auto"/>
          </w:rPr>
          <m:t>i</m:t>
        </m:r>
      </m:oMath>
      <w:r>
        <w:rPr>
          <w:color w:val="auto"/>
        </w:rPr>
        <w:t>个项目的单位投资成本，B表示总投资预算。</w:t>
      </w:r>
    </w:p>
    <w:p w14:paraId="0146FC6B">
      <w:pPr>
        <w:spacing w:line="400" w:lineRule="exact"/>
        <w:ind w:firstLine="480" w:firstLineChars="200"/>
        <w:rPr>
          <w:color w:val="auto"/>
        </w:rPr>
      </w:pPr>
      <w:r>
        <w:rPr>
          <w:rFonts w:ascii="Cambria Math" w:hAnsi="Cambria Math" w:cs="Cambria Math"/>
          <w:color w:val="auto"/>
        </w:rPr>
        <w:t>②</w:t>
      </w:r>
      <w:r>
        <w:rPr>
          <w:color w:val="auto"/>
        </w:rPr>
        <w:t>收益目标约束</w:t>
      </w:r>
    </w:p>
    <w:p w14:paraId="1B4E3B03">
      <w:pPr>
        <w:spacing w:line="400" w:lineRule="exact"/>
        <w:ind w:firstLine="480" w:firstLineChars="200"/>
        <w:rPr>
          <w:color w:val="auto"/>
        </w:rPr>
      </w:pPr>
      <w:r>
        <w:rPr>
          <w:color w:val="auto"/>
        </w:rPr>
        <w:t>项目整体收益必须达到最低预期值：</w:t>
      </w:r>
    </w:p>
    <w:p w14:paraId="233AA707">
      <w:pPr>
        <w:spacing w:line="400" w:lineRule="exact"/>
        <w:ind w:firstLine="480" w:firstLineChars="200"/>
        <w:jc w:val="right"/>
        <w:rPr>
          <w:color w:val="auto"/>
        </w:rPr>
      </w:pPr>
      <m:oMath>
        <m:nary>
          <m:naryPr>
            <m:chr m:val="∑"/>
            <m:limLoc m:val="undOvr"/>
            <m:ctrlPr>
              <w:rPr>
                <w:rFonts w:ascii="Cambria Math" w:hAnsi="Cambria Math"/>
                <w:i/>
                <w:color w:val="auto"/>
              </w:rPr>
            </m:ctrlPr>
          </m:naryPr>
          <m:sub>
            <m:r>
              <m:rPr>
                <m:nor/>
                <m:sty m:val="p"/>
              </m:rPr>
              <w:rPr>
                <w:color w:val="auto"/>
              </w:rPr>
              <m:t>i=1</m:t>
            </m:r>
            <m:ctrlPr>
              <w:rPr>
                <w:rFonts w:ascii="Cambria Math" w:hAnsi="Cambria Math"/>
                <w:i/>
                <w:color w:val="auto"/>
              </w:rPr>
            </m:ctrlPr>
          </m:sub>
          <m:sup>
            <m:r>
              <m:rPr>
                <m:nor/>
                <m:sty m:val="p"/>
              </m:rPr>
              <w:rPr>
                <w:color w:val="auto"/>
              </w:rPr>
              <m:t>n</m:t>
            </m:r>
            <m:ctrlPr>
              <w:rPr>
                <w:rFonts w:ascii="Cambria Math" w:hAnsi="Cambria Math"/>
                <w:i/>
                <w:color w:val="auto"/>
              </w:rPr>
            </m:ctrlPr>
          </m:sup>
          <m:e>
            <m:sSub>
              <m:sSubPr>
                <m:ctrlPr>
                  <w:rPr>
                    <w:rFonts w:ascii="Cambria Math" w:hAnsi="Cambria Math"/>
                    <w:i/>
                    <w:color w:val="auto"/>
                  </w:rPr>
                </m:ctrlPr>
              </m:sSubPr>
              <m:e>
                <m:r>
                  <m:rPr>
                    <m:nor/>
                    <m:sty m:val="p"/>
                  </m:rPr>
                  <w:rPr>
                    <w:color w:val="auto"/>
                  </w:rPr>
                  <m:t>x</m:t>
                </m:r>
                <m:ctrlPr>
                  <w:rPr>
                    <w:rFonts w:ascii="Cambria Math" w:hAnsi="Cambria Math"/>
                    <w:i/>
                    <w:color w:val="auto"/>
                  </w:rPr>
                </m:ctrlPr>
              </m:e>
              <m:sub>
                <m:r>
                  <m:rPr>
                    <m:nor/>
                    <m:sty m:val="p"/>
                  </m:rPr>
                  <w:rPr>
                    <w:color w:val="auto"/>
                  </w:rPr>
                  <m:t>i</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sty m:val="p"/>
                  </m:rPr>
                  <w:rPr>
                    <w:color w:val="auto"/>
                  </w:rPr>
                  <m:t>R</m:t>
                </m:r>
                <m:ctrlPr>
                  <w:rPr>
                    <w:rFonts w:ascii="Cambria Math" w:hAnsi="Cambria Math"/>
                    <w:i/>
                    <w:color w:val="auto"/>
                  </w:rPr>
                </m:ctrlPr>
              </m:e>
              <m:sub>
                <m:r>
                  <m:rPr>
                    <m:nor/>
                    <m:sty m:val="p"/>
                  </m:rPr>
                  <w:rPr>
                    <w:color w:val="auto"/>
                  </w:rPr>
                  <m:t>i</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sty m:val="p"/>
                  </m:rPr>
                  <w:rPr>
                    <w:color w:val="auto"/>
                  </w:rPr>
                  <m:t>R</m:t>
                </m:r>
                <m:ctrlPr>
                  <w:rPr>
                    <w:rFonts w:ascii="Cambria Math" w:hAnsi="Cambria Math"/>
                    <w:i/>
                    <w:color w:val="auto"/>
                  </w:rPr>
                </m:ctrlPr>
              </m:e>
              <m:sub>
                <m:r>
                  <m:rPr>
                    <m:nor/>
                    <m:sty m:val="p"/>
                  </m:rPr>
                  <w:rPr>
                    <w:color w:val="auto"/>
                  </w:rPr>
                  <m:t>min</m:t>
                </m:r>
                <m:ctrlPr>
                  <w:rPr>
                    <w:rFonts w:ascii="Cambria Math" w:hAnsi="Cambria Math"/>
                    <w:i/>
                    <w:color w:val="auto"/>
                  </w:rPr>
                </m:ctrlPr>
              </m:sub>
            </m:sSub>
            <m:ctrlPr>
              <w:rPr>
                <w:rFonts w:ascii="Cambria Math" w:hAnsi="Cambria Math"/>
                <w:i/>
                <w:color w:val="auto"/>
              </w:rPr>
            </m:ctrlPr>
          </m:e>
        </m:nary>
      </m:oMath>
      <w:r>
        <w:rPr>
          <w:color w:val="auto"/>
        </w:rPr>
        <w:t xml:space="preserve">                         （5-7）</w:t>
      </w:r>
    </w:p>
    <w:p w14:paraId="1C267AB8">
      <w:pPr>
        <w:spacing w:line="400" w:lineRule="exact"/>
        <w:ind w:firstLine="480" w:firstLineChars="200"/>
        <w:rPr>
          <w:color w:val="auto"/>
        </w:rPr>
      </w:pPr>
      <w:r>
        <w:rPr>
          <w:color w:val="auto"/>
        </w:rPr>
        <w:t>其中，</w:t>
      </w:r>
      <m:oMath>
        <m:sSub>
          <m:sSubPr>
            <m:ctrlPr>
              <w:rPr>
                <w:rFonts w:ascii="Cambria Math" w:hAnsi="Cambria Math"/>
                <w:i/>
                <w:color w:val="auto"/>
              </w:rPr>
            </m:ctrlPr>
          </m:sSubPr>
          <m:e>
            <m:r>
              <m:rPr/>
              <w:rPr>
                <w:rFonts w:ascii="Cambria Math" w:hAnsi="Cambria Math"/>
                <w:color w:val="auto"/>
              </w:rPr>
              <m:t>R</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表示第</w:t>
      </w:r>
      <m:oMath>
        <m:r>
          <m:rPr/>
          <w:rPr>
            <w:rFonts w:ascii="Cambria Math" w:hAnsi="Cambria Math"/>
            <w:color w:val="auto"/>
          </w:rPr>
          <m:t>i</m:t>
        </m:r>
      </m:oMath>
      <w:r>
        <w:rPr>
          <w:color w:val="auto"/>
        </w:rPr>
        <w:t>个项目的预期收益率，</w:t>
      </w:r>
      <m:oMath>
        <m:sSub>
          <m:sSubPr>
            <m:ctrlPr>
              <w:rPr>
                <w:rFonts w:ascii="Cambria Math" w:hAnsi="Cambria Math"/>
                <w:i/>
                <w:color w:val="auto"/>
              </w:rPr>
            </m:ctrlPr>
          </m:sSubPr>
          <m:e>
            <m:r>
              <m:rPr/>
              <w:rPr>
                <w:rFonts w:ascii="Cambria Math" w:hAnsi="Cambria Math"/>
                <w:color w:val="auto"/>
              </w:rPr>
              <m:t>R</m:t>
            </m:r>
            <m:ctrlPr>
              <w:rPr>
                <w:rFonts w:ascii="Cambria Math" w:hAnsi="Cambria Math"/>
                <w:i/>
                <w:color w:val="auto"/>
              </w:rPr>
            </m:ctrlPr>
          </m:e>
          <m:sub>
            <m:r>
              <m:rPr>
                <m:sty m:val="p"/>
              </m:rPr>
              <w:rPr>
                <w:rFonts w:ascii="Cambria Math" w:hAnsi="Cambria Math"/>
                <w:color w:val="auto"/>
              </w:rPr>
              <m:t>min</m:t>
            </m:r>
            <m:ctrlPr>
              <w:rPr>
                <w:rFonts w:ascii="Cambria Math" w:hAnsi="Cambria Math"/>
                <w:i/>
                <w:color w:val="auto"/>
              </w:rPr>
            </m:ctrlPr>
          </m:sub>
        </m:sSub>
      </m:oMath>
      <w:r>
        <w:rPr>
          <w:color w:val="auto"/>
        </w:rPr>
        <w:t>表示最低收益目标。</w:t>
      </w:r>
    </w:p>
    <w:p w14:paraId="0B3EA566">
      <w:pPr>
        <w:spacing w:line="400" w:lineRule="exact"/>
        <w:ind w:firstLine="480" w:firstLineChars="200"/>
        <w:rPr>
          <w:color w:val="auto"/>
        </w:rPr>
      </w:pPr>
      <w:r>
        <w:rPr>
          <w:rFonts w:ascii="Cambria Math" w:hAnsi="Cambria Math" w:cs="Cambria Math"/>
          <w:color w:val="auto"/>
        </w:rPr>
        <w:t>③</w:t>
      </w:r>
      <w:r>
        <w:rPr>
          <w:color w:val="auto"/>
        </w:rPr>
        <w:t>投资回收期约束</w:t>
      </w:r>
    </w:p>
    <w:p w14:paraId="7D5BECE4">
      <w:pPr>
        <w:spacing w:line="400" w:lineRule="exact"/>
        <w:ind w:firstLine="480" w:firstLineChars="200"/>
        <w:rPr>
          <w:color w:val="auto"/>
        </w:rPr>
      </w:pPr>
      <w:r>
        <w:rPr>
          <w:color w:val="auto"/>
        </w:rPr>
        <w:t>所有项目的加权平均投资回收期不得超过设定的最大值：</w:t>
      </w:r>
    </w:p>
    <w:p w14:paraId="4A9BDD2D">
      <w:pPr>
        <w:spacing w:line="400" w:lineRule="exact"/>
        <w:ind w:firstLine="480" w:firstLineChars="200"/>
        <w:jc w:val="right"/>
        <w:rPr>
          <w:color w:val="auto"/>
        </w:rPr>
      </w:pPr>
      <w:r>
        <w:rPr>
          <w:color w:val="auto"/>
        </w:rPr>
        <w:t xml:space="preserve">            </w:t>
      </w:r>
      <m:oMath>
        <m:f>
          <m:fPr>
            <m:ctrlPr>
              <w:rPr>
                <w:rFonts w:ascii="Cambria Math" w:hAnsi="Cambria Math"/>
                <w:i/>
                <w:color w:val="auto"/>
              </w:rPr>
            </m:ctrlPr>
          </m:fPr>
          <m:num>
            <m:nary>
              <m:naryPr>
                <m:chr m:val="∑"/>
                <m:limLoc m:val="undOvr"/>
                <m:ctrlPr>
                  <w:rPr>
                    <w:rFonts w:ascii="Cambria Math" w:hAnsi="Cambria Math"/>
                    <w:i/>
                    <w:color w:val="auto"/>
                  </w:rPr>
                </m:ctrlPr>
              </m:naryPr>
              <m:sub>
                <m:r>
                  <m:rPr>
                    <m:nor/>
                    <m:sty m:val="p"/>
                  </m:rPr>
                  <w:rPr>
                    <w:color w:val="auto"/>
                  </w:rPr>
                  <m:t>i=1</m:t>
                </m:r>
                <m:ctrlPr>
                  <w:rPr>
                    <w:rFonts w:ascii="Cambria Math" w:hAnsi="Cambria Math"/>
                    <w:i/>
                    <w:color w:val="auto"/>
                  </w:rPr>
                </m:ctrlPr>
              </m:sub>
              <m:sup>
                <m:r>
                  <m:rPr>
                    <m:nor/>
                    <m:sty m:val="p"/>
                  </m:rPr>
                  <w:rPr>
                    <w:color w:val="auto"/>
                  </w:rPr>
                  <m:t>n</m:t>
                </m:r>
                <m:ctrlPr>
                  <w:rPr>
                    <w:rFonts w:ascii="Cambria Math" w:hAnsi="Cambria Math"/>
                    <w:i/>
                    <w:color w:val="auto"/>
                  </w:rPr>
                </m:ctrlPr>
              </m:sup>
              <m:e>
                <m:sSub>
                  <m:sSubPr>
                    <m:ctrlPr>
                      <w:rPr>
                        <w:rFonts w:ascii="Cambria Math" w:hAnsi="Cambria Math"/>
                        <w:i/>
                        <w:color w:val="auto"/>
                      </w:rPr>
                    </m:ctrlPr>
                  </m:sSubPr>
                  <m:e>
                    <m:r>
                      <m:rPr>
                        <m:nor/>
                        <m:sty m:val="p"/>
                      </m:rPr>
                      <w:rPr>
                        <w:color w:val="auto"/>
                      </w:rPr>
                      <m:t>x</m:t>
                    </m:r>
                    <m:ctrlPr>
                      <w:rPr>
                        <w:rFonts w:ascii="Cambria Math" w:hAnsi="Cambria Math"/>
                        <w:i/>
                        <w:color w:val="auto"/>
                      </w:rPr>
                    </m:ctrlPr>
                  </m:e>
                  <m:sub>
                    <m:r>
                      <m:rPr>
                        <m:nor/>
                        <m:sty m:val="p"/>
                      </m:rPr>
                      <w:rPr>
                        <w:color w:val="auto"/>
                      </w:rPr>
                      <m:t>i</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sty m:val="p"/>
                      </m:rPr>
                      <w:rPr>
                        <w:color w:val="auto"/>
                      </w:rPr>
                      <m:t>T</m:t>
                    </m:r>
                    <m:ctrlPr>
                      <w:rPr>
                        <w:rFonts w:ascii="Cambria Math" w:hAnsi="Cambria Math"/>
                        <w:i/>
                        <w:color w:val="auto"/>
                      </w:rPr>
                    </m:ctrlPr>
                  </m:e>
                  <m:sub>
                    <m:r>
                      <m:rPr>
                        <m:nor/>
                        <m:sty m:val="p"/>
                      </m:rPr>
                      <w:rPr>
                        <w:color w:val="auto"/>
                      </w:rPr>
                      <m:t>i</m:t>
                    </m:r>
                    <m:ctrlPr>
                      <w:rPr>
                        <w:rFonts w:ascii="Cambria Math" w:hAnsi="Cambria Math"/>
                        <w:i/>
                        <w:color w:val="auto"/>
                      </w:rPr>
                    </m:ctrlPr>
                  </m:sub>
                </m:sSub>
                <m:ctrlPr>
                  <w:rPr>
                    <w:rFonts w:ascii="Cambria Math" w:hAnsi="Cambria Math"/>
                    <w:i/>
                    <w:color w:val="auto"/>
                  </w:rPr>
                </m:ctrlPr>
              </m:e>
            </m:nary>
            <m:ctrlPr>
              <w:rPr>
                <w:rFonts w:ascii="Cambria Math" w:hAnsi="Cambria Math"/>
                <w:i/>
                <w:color w:val="auto"/>
              </w:rPr>
            </m:ctrlPr>
          </m:num>
          <m:den>
            <m:nary>
              <m:naryPr>
                <m:chr m:val="∑"/>
                <m:limLoc m:val="undOvr"/>
                <m:ctrlPr>
                  <w:rPr>
                    <w:rFonts w:ascii="Cambria Math" w:hAnsi="Cambria Math"/>
                    <w:i/>
                    <w:color w:val="auto"/>
                  </w:rPr>
                </m:ctrlPr>
              </m:naryPr>
              <m:sub>
                <m:r>
                  <m:rPr>
                    <m:nor/>
                    <m:sty m:val="p"/>
                  </m:rPr>
                  <w:rPr>
                    <w:color w:val="auto"/>
                  </w:rPr>
                  <m:t>i=1</m:t>
                </m:r>
                <m:ctrlPr>
                  <w:rPr>
                    <w:rFonts w:ascii="Cambria Math" w:hAnsi="Cambria Math"/>
                    <w:i/>
                    <w:color w:val="auto"/>
                  </w:rPr>
                </m:ctrlPr>
              </m:sub>
              <m:sup>
                <m:r>
                  <m:rPr>
                    <m:nor/>
                    <m:sty m:val="p"/>
                  </m:rPr>
                  <w:rPr>
                    <w:color w:val="auto"/>
                  </w:rPr>
                  <m:t>n</m:t>
                </m:r>
                <m:ctrlPr>
                  <w:rPr>
                    <w:rFonts w:ascii="Cambria Math" w:hAnsi="Cambria Math"/>
                    <w:i/>
                    <w:color w:val="auto"/>
                  </w:rPr>
                </m:ctrlPr>
              </m:sup>
              <m:e>
                <m:sSub>
                  <m:sSubPr>
                    <m:ctrlPr>
                      <w:rPr>
                        <w:rFonts w:ascii="Cambria Math" w:hAnsi="Cambria Math"/>
                        <w:i/>
                        <w:color w:val="auto"/>
                      </w:rPr>
                    </m:ctrlPr>
                  </m:sSubPr>
                  <m:e>
                    <m:r>
                      <m:rPr>
                        <m:nor/>
                        <m:sty m:val="p"/>
                      </m:rPr>
                      <w:rPr>
                        <w:color w:val="auto"/>
                      </w:rPr>
                      <m:t>x</m:t>
                    </m:r>
                    <m:ctrlPr>
                      <w:rPr>
                        <w:rFonts w:ascii="Cambria Math" w:hAnsi="Cambria Math"/>
                        <w:i/>
                        <w:color w:val="auto"/>
                      </w:rPr>
                    </m:ctrlPr>
                  </m:e>
                  <m:sub>
                    <m:r>
                      <m:rPr>
                        <m:nor/>
                        <m:sty m:val="p"/>
                      </m:rPr>
                      <w:rPr>
                        <w:color w:val="auto"/>
                      </w:rPr>
                      <m:t>i</m:t>
                    </m:r>
                    <m:ctrlPr>
                      <w:rPr>
                        <w:rFonts w:ascii="Cambria Math" w:hAnsi="Cambria Math"/>
                        <w:i/>
                        <w:color w:val="auto"/>
                      </w:rPr>
                    </m:ctrlPr>
                  </m:sub>
                </m:sSub>
                <m:ctrlPr>
                  <w:rPr>
                    <w:rFonts w:ascii="Cambria Math" w:hAnsi="Cambria Math"/>
                    <w:i/>
                    <w:color w:val="auto"/>
                  </w:rPr>
                </m:ctrlPr>
              </m:e>
            </m:nary>
            <m:ctrlPr>
              <w:rPr>
                <w:rFonts w:ascii="Cambria Math" w:hAnsi="Cambria Math"/>
                <w:i/>
                <w:color w:val="auto"/>
              </w:rPr>
            </m:ctrlPr>
          </m:den>
        </m:f>
        <m:r>
          <m:rPr>
            <m:nor/>
            <m:sty m:val="p"/>
          </m:rPr>
          <w:rPr>
            <w:color w:val="auto"/>
          </w:rPr>
          <m:t>≤</m:t>
        </m:r>
        <m:sSub>
          <m:sSubPr>
            <m:ctrlPr>
              <w:rPr>
                <w:rFonts w:ascii="Cambria Math" w:hAnsi="Cambria Math"/>
                <w:i/>
                <w:color w:val="auto"/>
              </w:rPr>
            </m:ctrlPr>
          </m:sSubPr>
          <m:e>
            <m:r>
              <m:rPr>
                <m:nor/>
                <m:sty m:val="p"/>
              </m:rPr>
              <w:rPr>
                <w:color w:val="auto"/>
              </w:rPr>
              <m:t>T</m:t>
            </m:r>
            <m:ctrlPr>
              <w:rPr>
                <w:rFonts w:ascii="Cambria Math" w:hAnsi="Cambria Math"/>
                <w:i/>
                <w:color w:val="auto"/>
              </w:rPr>
            </m:ctrlPr>
          </m:e>
          <m:sub>
            <m:r>
              <m:rPr>
                <m:nor/>
                <m:sty m:val="p"/>
              </m:rPr>
              <w:rPr>
                <w:color w:val="auto"/>
              </w:rPr>
              <m:t>max</m:t>
            </m:r>
            <m:ctrlPr>
              <w:rPr>
                <w:rFonts w:ascii="Cambria Math" w:hAnsi="Cambria Math"/>
                <w:i/>
                <w:color w:val="auto"/>
              </w:rPr>
            </m:ctrlPr>
          </m:sub>
        </m:sSub>
      </m:oMath>
      <w:r>
        <w:rPr>
          <w:color w:val="auto"/>
        </w:rPr>
        <w:t xml:space="preserve">                        （5-8）</w:t>
      </w:r>
    </w:p>
    <w:p w14:paraId="5880F09F">
      <w:pPr>
        <w:spacing w:line="400" w:lineRule="exact"/>
        <w:ind w:firstLine="480" w:firstLineChars="200"/>
        <w:rPr>
          <w:color w:val="auto"/>
        </w:rPr>
      </w:pPr>
      <w:r>
        <w:rPr>
          <w:color w:val="auto"/>
        </w:rPr>
        <w:t>其中，</w:t>
      </w:r>
      <m:oMath>
        <m:sSub>
          <m:sSubPr>
            <m:ctrlPr>
              <w:rPr>
                <w:rFonts w:ascii="Cambria Math" w:hAnsi="Cambria Math"/>
                <w:i/>
                <w:color w:val="auto"/>
              </w:rPr>
            </m:ctrlPr>
          </m:sSubPr>
          <m:e>
            <m:r>
              <m:rPr/>
              <w:rPr>
                <w:rFonts w:ascii="Cambria Math" w:hAnsi="Cambria Math"/>
                <w:color w:val="auto"/>
              </w:rPr>
              <m:t>T</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表示第</w:t>
      </w:r>
      <m:oMath>
        <m:r>
          <m:rPr/>
          <w:rPr>
            <w:rFonts w:ascii="Cambria Math" w:hAnsi="Cambria Math"/>
            <w:color w:val="auto"/>
          </w:rPr>
          <m:t>i</m:t>
        </m:r>
      </m:oMath>
      <w:r>
        <w:rPr>
          <w:color w:val="auto"/>
        </w:rPr>
        <w:t>个项目的投资回收期，</w:t>
      </w:r>
      <m:oMath>
        <m:sSub>
          <m:sSubPr>
            <m:ctrlPr>
              <w:rPr>
                <w:rFonts w:ascii="Cambria Math" w:hAnsi="Cambria Math"/>
                <w:i/>
                <w:color w:val="auto"/>
              </w:rPr>
            </m:ctrlPr>
          </m:sSubPr>
          <m:e>
            <m:r>
              <m:rPr/>
              <w:rPr>
                <w:rFonts w:ascii="Cambria Math" w:hAnsi="Cambria Math"/>
                <w:color w:val="auto"/>
              </w:rPr>
              <m:t>T</m:t>
            </m:r>
            <m:ctrlPr>
              <w:rPr>
                <w:rFonts w:ascii="Cambria Math" w:hAnsi="Cambria Math"/>
                <w:i/>
                <w:color w:val="auto"/>
              </w:rPr>
            </m:ctrlPr>
          </m:e>
          <m:sub>
            <m:r>
              <m:rPr>
                <m:sty m:val="p"/>
              </m:rPr>
              <w:rPr>
                <w:rFonts w:ascii="Cambria Math" w:hAnsi="Cambria Math"/>
                <w:color w:val="auto"/>
              </w:rPr>
              <m:t>max</m:t>
            </m:r>
            <m:ctrlPr>
              <w:rPr>
                <w:rFonts w:ascii="Cambria Math" w:hAnsi="Cambria Math"/>
                <w:i/>
                <w:color w:val="auto"/>
              </w:rPr>
            </m:ctrlPr>
          </m:sub>
        </m:sSub>
      </m:oMath>
      <w:r>
        <w:rPr>
          <w:color w:val="auto"/>
        </w:rPr>
        <w:t>表示最大允许的投资回收期。</w:t>
      </w:r>
    </w:p>
    <w:p w14:paraId="659BE577">
      <w:pPr>
        <w:spacing w:line="400" w:lineRule="exact"/>
        <w:ind w:firstLine="480" w:firstLineChars="200"/>
        <w:rPr>
          <w:color w:val="auto"/>
        </w:rPr>
      </w:pPr>
      <w:r>
        <w:rPr>
          <w:color w:val="auto"/>
        </w:rPr>
        <w:t>2）技术性约束</w:t>
      </w:r>
    </w:p>
    <w:p w14:paraId="28BF010A">
      <w:pPr>
        <w:spacing w:line="400" w:lineRule="exact"/>
        <w:ind w:firstLine="480" w:firstLineChars="200"/>
        <w:rPr>
          <w:color w:val="auto"/>
        </w:rPr>
      </w:pPr>
      <w:r>
        <w:rPr>
          <w:color w:val="auto"/>
        </w:rPr>
        <w:t>技术性约束涉及电网运行的安全性、稳定性和技术可行性。</w:t>
      </w:r>
    </w:p>
    <w:p w14:paraId="4297AB4F">
      <w:pPr>
        <w:spacing w:line="400" w:lineRule="exact"/>
        <w:ind w:firstLine="480" w:firstLineChars="200"/>
        <w:rPr>
          <w:color w:val="auto"/>
        </w:rPr>
      </w:pPr>
      <w:r>
        <w:rPr>
          <w:rFonts w:ascii="Cambria Math" w:hAnsi="Cambria Math" w:cs="Cambria Math"/>
          <w:color w:val="auto"/>
        </w:rPr>
        <w:t>①</w:t>
      </w:r>
      <w:r>
        <w:rPr>
          <w:color w:val="auto"/>
        </w:rPr>
        <w:t>容量利用率约束</w:t>
      </w:r>
    </w:p>
    <w:p w14:paraId="4F93C4E6">
      <w:pPr>
        <w:spacing w:line="400" w:lineRule="exact"/>
        <w:ind w:firstLine="480" w:firstLineChars="200"/>
        <w:rPr>
          <w:color w:val="auto"/>
        </w:rPr>
      </w:pPr>
      <w:r>
        <w:rPr>
          <w:color w:val="auto"/>
        </w:rPr>
        <w:t>各项目的容量利用率需满足最低要求，以保证系统运行效率：</w:t>
      </w:r>
    </w:p>
    <w:p w14:paraId="6CD8AF80">
      <w:pPr>
        <w:spacing w:line="400" w:lineRule="exact"/>
        <w:ind w:firstLine="480" w:firstLineChars="200"/>
        <w:jc w:val="center"/>
        <w:rPr>
          <w:color w:val="auto"/>
        </w:rPr>
      </w:pPr>
      <w:r>
        <w:rPr>
          <w:color w:val="auto"/>
        </w:rPr>
        <w:t xml:space="preserve">           </w:t>
      </w:r>
    </w:p>
    <w:tbl>
      <w:tblPr>
        <w:tblStyle w:val="1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65"/>
        <w:gridCol w:w="2765"/>
        <w:gridCol w:w="2766"/>
      </w:tblGrid>
      <w:tr w14:paraId="5AFBD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765" w:type="dxa"/>
          </w:tcPr>
          <w:p w14:paraId="7DF144D1">
            <w:pPr>
              <w:spacing w:line="400" w:lineRule="exact"/>
              <w:jc w:val="center"/>
              <w:rPr>
                <w:color w:val="auto"/>
              </w:rPr>
            </w:pPr>
          </w:p>
        </w:tc>
        <w:tc>
          <w:tcPr>
            <w:tcW w:w="2765" w:type="dxa"/>
          </w:tcPr>
          <w:p w14:paraId="2BE9F439">
            <w:pPr>
              <w:spacing w:line="400" w:lineRule="exact"/>
              <w:jc w:val="center"/>
              <w:rPr>
                <w:color w:val="auto"/>
              </w:rPr>
            </w:pPr>
            <w:r>
              <w:rPr>
                <w:color w:val="auto"/>
              </w:rPr>
              <w:t xml:space="preserve">  </w:t>
            </w:r>
            <m:oMath>
              <m:nary>
                <m:naryPr>
                  <m:chr m:val="∑"/>
                  <m:limLoc m:val="undOvr"/>
                  <m:ctrlPr>
                    <w:rPr>
                      <w:rFonts w:ascii="Cambria Math" w:hAnsi="Cambria Math"/>
                      <w:i/>
                      <w:color w:val="auto"/>
                    </w:rPr>
                  </m:ctrlPr>
                </m:naryPr>
                <m:sub>
                  <m:r>
                    <m:rPr>
                      <m:nor/>
                      <m:sty m:val="p"/>
                    </m:rPr>
                    <w:rPr>
                      <w:color w:val="auto"/>
                    </w:rPr>
                    <m:t>i=1</m:t>
                  </m:r>
                  <m:ctrlPr>
                    <w:rPr>
                      <w:rFonts w:ascii="Cambria Math" w:hAnsi="Cambria Math"/>
                      <w:i/>
                      <w:color w:val="auto"/>
                    </w:rPr>
                  </m:ctrlPr>
                </m:sub>
                <m:sup>
                  <m:r>
                    <m:rPr>
                      <m:nor/>
                      <m:sty m:val="p"/>
                    </m:rPr>
                    <w:rPr>
                      <w:color w:val="auto"/>
                    </w:rPr>
                    <m:t>n</m:t>
                  </m:r>
                  <m:ctrlPr>
                    <w:rPr>
                      <w:rFonts w:ascii="Cambria Math" w:hAnsi="Cambria Math"/>
                      <w:i/>
                      <w:color w:val="auto"/>
                    </w:rPr>
                  </m:ctrlPr>
                </m:sup>
                <m:e>
                  <m:sSub>
                    <m:sSubPr>
                      <m:ctrlPr>
                        <w:rPr>
                          <w:rFonts w:ascii="Cambria Math" w:hAnsi="Cambria Math"/>
                          <w:i/>
                          <w:color w:val="auto"/>
                        </w:rPr>
                      </m:ctrlPr>
                    </m:sSubPr>
                    <m:e>
                      <m:r>
                        <m:rPr>
                          <m:nor/>
                          <m:sty m:val="p"/>
                        </m:rPr>
                        <w:rPr>
                          <w:color w:val="auto"/>
                        </w:rPr>
                        <m:t>x</m:t>
                      </m:r>
                      <m:ctrlPr>
                        <w:rPr>
                          <w:rFonts w:ascii="Cambria Math" w:hAnsi="Cambria Math"/>
                          <w:i/>
                          <w:color w:val="auto"/>
                        </w:rPr>
                      </m:ctrlPr>
                    </m:e>
                    <m:sub>
                      <m:r>
                        <m:rPr>
                          <m:nor/>
                          <m:sty m:val="p"/>
                        </m:rPr>
                        <w:rPr>
                          <w:color w:val="auto"/>
                        </w:rPr>
                        <m:t>i</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sty m:val="p"/>
                        </m:rPr>
                        <w:rPr>
                          <w:color w:val="auto"/>
                        </w:rPr>
                        <m:t>U</m:t>
                      </m:r>
                      <m:ctrlPr>
                        <w:rPr>
                          <w:rFonts w:ascii="Cambria Math" w:hAnsi="Cambria Math"/>
                          <w:i/>
                          <w:color w:val="auto"/>
                        </w:rPr>
                      </m:ctrlPr>
                    </m:e>
                    <m:sub>
                      <m:r>
                        <m:rPr>
                          <m:nor/>
                          <m:sty m:val="p"/>
                        </m:rPr>
                        <w:rPr>
                          <w:color w:val="auto"/>
                        </w:rPr>
                        <m:t>i</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sty m:val="p"/>
                        </m:rPr>
                        <w:rPr>
                          <w:color w:val="auto"/>
                        </w:rPr>
                        <m:t>U</m:t>
                      </m:r>
                      <m:ctrlPr>
                        <w:rPr>
                          <w:rFonts w:ascii="Cambria Math" w:hAnsi="Cambria Math"/>
                          <w:i/>
                          <w:color w:val="auto"/>
                        </w:rPr>
                      </m:ctrlPr>
                    </m:e>
                    <m:sub>
                      <m:r>
                        <m:rPr>
                          <m:nor/>
                          <m:sty m:val="p"/>
                        </m:rPr>
                        <w:rPr>
                          <w:color w:val="auto"/>
                        </w:rPr>
                        <m:t>min</m:t>
                      </m:r>
                      <m:ctrlPr>
                        <w:rPr>
                          <w:rFonts w:ascii="Cambria Math" w:hAnsi="Cambria Math"/>
                          <w:i/>
                          <w:color w:val="auto"/>
                        </w:rPr>
                      </m:ctrlPr>
                    </m:sub>
                  </m:sSub>
                  <m:ctrlPr>
                    <w:rPr>
                      <w:rFonts w:ascii="Cambria Math" w:hAnsi="Cambria Math"/>
                      <w:i/>
                      <w:color w:val="auto"/>
                    </w:rPr>
                  </m:ctrlPr>
                </m:e>
              </m:nary>
            </m:oMath>
          </w:p>
        </w:tc>
        <w:tc>
          <w:tcPr>
            <w:tcW w:w="2766" w:type="dxa"/>
          </w:tcPr>
          <w:p w14:paraId="494AF092">
            <w:pPr>
              <w:spacing w:line="400" w:lineRule="exact"/>
              <w:jc w:val="right"/>
              <w:rPr>
                <w:color w:val="auto"/>
              </w:rPr>
            </w:pPr>
            <w:r>
              <w:rPr>
                <w:color w:val="auto"/>
              </w:rPr>
              <w:t>（5-9）</w:t>
            </w:r>
          </w:p>
        </w:tc>
      </w:tr>
    </w:tbl>
    <w:p w14:paraId="5002A5C0">
      <w:pPr>
        <w:spacing w:line="400" w:lineRule="exact"/>
        <w:rPr>
          <w:color w:val="auto"/>
        </w:rPr>
      </w:pPr>
      <w:r>
        <w:rPr>
          <w:color w:val="auto"/>
        </w:rPr>
        <w:t xml:space="preserve">    其中，</w:t>
      </w:r>
      <m:oMath>
        <m:sSub>
          <m:sSubPr>
            <m:ctrlPr>
              <w:rPr>
                <w:rFonts w:ascii="Cambria Math" w:hAnsi="Cambria Math"/>
                <w:i/>
                <w:color w:val="auto"/>
              </w:rPr>
            </m:ctrlPr>
          </m:sSubPr>
          <m:e>
            <m:r>
              <m:rPr/>
              <w:rPr>
                <w:rFonts w:ascii="Cambria Math" w:hAnsi="Cambria Math"/>
                <w:color w:val="auto"/>
              </w:rPr>
              <m:t>U</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表示第</w:t>
      </w:r>
      <m:oMath>
        <m:r>
          <m:rPr/>
          <w:rPr>
            <w:rFonts w:ascii="Cambria Math" w:hAnsi="Cambria Math"/>
            <w:color w:val="auto"/>
          </w:rPr>
          <m:t>i</m:t>
        </m:r>
      </m:oMath>
      <w:r>
        <w:rPr>
          <w:color w:val="auto"/>
        </w:rPr>
        <w:t>个项目的容量利用率，</w:t>
      </w:r>
      <m:oMath>
        <m:sSub>
          <m:sSubPr>
            <m:ctrlPr>
              <w:rPr>
                <w:rFonts w:ascii="Cambria Math" w:hAnsi="Cambria Math"/>
                <w:i/>
                <w:color w:val="auto"/>
              </w:rPr>
            </m:ctrlPr>
          </m:sSubPr>
          <m:e>
            <m:r>
              <m:rPr/>
              <w:rPr>
                <w:rFonts w:ascii="Cambria Math" w:hAnsi="Cambria Math"/>
                <w:color w:val="auto"/>
              </w:rPr>
              <m:t>U</m:t>
            </m:r>
            <m:ctrlPr>
              <w:rPr>
                <w:rFonts w:ascii="Cambria Math" w:hAnsi="Cambria Math"/>
                <w:i/>
                <w:color w:val="auto"/>
              </w:rPr>
            </m:ctrlPr>
          </m:e>
          <m:sub>
            <m:r>
              <m:rPr>
                <m:sty m:val="p"/>
              </m:rPr>
              <w:rPr>
                <w:rFonts w:ascii="Cambria Math" w:hAnsi="Cambria Math"/>
                <w:color w:val="auto"/>
              </w:rPr>
              <m:t>min</m:t>
            </m:r>
            <m:ctrlPr>
              <w:rPr>
                <w:rFonts w:ascii="Cambria Math" w:hAnsi="Cambria Math"/>
                <w:i/>
                <w:color w:val="auto"/>
              </w:rPr>
            </m:ctrlPr>
          </m:sub>
        </m:sSub>
      </m:oMath>
      <w:r>
        <w:rPr>
          <w:color w:val="auto"/>
        </w:rPr>
        <w:t>表示最低容量利用率。</w:t>
      </w:r>
    </w:p>
    <w:p w14:paraId="109D9C95">
      <w:pPr>
        <w:spacing w:line="400" w:lineRule="exact"/>
        <w:ind w:firstLine="480" w:firstLineChars="200"/>
        <w:rPr>
          <w:color w:val="auto"/>
        </w:rPr>
      </w:pPr>
      <w:r>
        <w:rPr>
          <w:rFonts w:ascii="Cambria Math" w:hAnsi="Cambria Math" w:cs="Cambria Math"/>
          <w:color w:val="auto"/>
        </w:rPr>
        <w:t>②</w:t>
      </w:r>
      <w:r>
        <w:rPr>
          <w:color w:val="auto"/>
        </w:rPr>
        <w:t>新能源接入比例约束</w:t>
      </w:r>
    </w:p>
    <w:p w14:paraId="098CADD7">
      <w:pPr>
        <w:spacing w:line="400" w:lineRule="exact"/>
        <w:ind w:firstLine="480" w:firstLineChars="200"/>
        <w:rPr>
          <w:color w:val="auto"/>
        </w:rPr>
      </w:pPr>
      <w:r>
        <w:rPr>
          <w:color w:val="auto"/>
        </w:rPr>
        <w:t>在新型电力系统中，新能源接入比例需满足政策要求：</w:t>
      </w:r>
    </w:p>
    <w:p w14:paraId="74F5BCF0">
      <w:pPr>
        <w:spacing w:line="400" w:lineRule="exact"/>
        <w:ind w:firstLine="480" w:firstLineChars="200"/>
        <w:jc w:val="right"/>
        <w:rPr>
          <w:color w:val="auto"/>
        </w:rPr>
      </w:pPr>
      <m:oMath>
        <m:f>
          <m:fPr>
            <m:ctrlPr>
              <w:rPr>
                <w:rFonts w:ascii="Cambria Math" w:hAnsi="Cambria Math" w:eastAsiaTheme="minorEastAsia"/>
                <w:i/>
                <w:color w:val="auto"/>
              </w:rPr>
            </m:ctrlPr>
          </m:fPr>
          <m:num>
            <m:nary>
              <m:naryPr>
                <m:chr m:val="∑"/>
                <m:limLoc m:val="subSup"/>
                <m:supHide m:val="1"/>
                <m:ctrlPr>
                  <w:rPr>
                    <w:rFonts w:ascii="Cambria Math" w:hAnsi="Cambria Math" w:eastAsiaTheme="minorEastAsia"/>
                    <w:i/>
                    <w:color w:val="auto"/>
                  </w:rPr>
                </m:ctrlPr>
              </m:naryPr>
              <m:sub>
                <m:r>
                  <m:rPr>
                    <m:nor/>
                    <m:sty m:val="p"/>
                  </m:rPr>
                  <w:rPr>
                    <w:rFonts w:eastAsiaTheme="minorEastAsia"/>
                    <w:color w:val="auto"/>
                  </w:rPr>
                  <m:t>i</m:t>
                </m:r>
                <m:r>
                  <m:rPr>
                    <m:nor/>
                    <m:sty m:val="p"/>
                  </m:rPr>
                  <w:rPr>
                    <w:rFonts w:ascii="Cambria Math" w:hAnsi="Cambria Math" w:cs="Cambria Math" w:eastAsiaTheme="minorEastAsia"/>
                    <w:color w:val="auto"/>
                  </w:rPr>
                  <m:t>∈</m:t>
                </m:r>
                <m:r>
                  <m:rPr>
                    <m:nor/>
                    <m:sty m:val="p"/>
                  </m:rPr>
                  <w:rPr>
                    <w:rFonts w:eastAsiaTheme="minorEastAsia"/>
                    <w:color w:val="auto"/>
                  </w:rPr>
                  <m:t>新能源项目</m:t>
                </m:r>
                <m:ctrlPr>
                  <w:rPr>
                    <w:rFonts w:ascii="Cambria Math" w:hAnsi="Cambria Math" w:eastAsiaTheme="minorEastAsia"/>
                    <w:i/>
                    <w:color w:val="auto"/>
                  </w:rPr>
                </m:ctrlPr>
              </m:sub>
              <m:sup>
                <m:ctrlPr>
                  <w:rPr>
                    <w:rFonts w:ascii="Cambria Math" w:hAnsi="Cambria Math" w:eastAsiaTheme="minorEastAsia"/>
                    <w:i/>
                    <w:color w:val="auto"/>
                  </w:rPr>
                </m:ctrlPr>
              </m:sup>
              <m:e>
                <m:sSub>
                  <m:sSubPr>
                    <m:ctrlPr>
                      <w:rPr>
                        <w:rFonts w:ascii="Cambria Math" w:hAnsi="Cambria Math" w:eastAsiaTheme="minorEastAsia"/>
                        <w:i/>
                        <w:color w:val="auto"/>
                      </w:rPr>
                    </m:ctrlPr>
                  </m:sSubPr>
                  <m:e>
                    <m:r>
                      <m:rPr>
                        <m:nor/>
                        <m:sty m:val="p"/>
                      </m:rPr>
                      <w:rPr>
                        <w:rFonts w:eastAsiaTheme="minorEastAsia"/>
                        <w:color w:val="auto"/>
                      </w:rPr>
                      <m:t>x</m:t>
                    </m:r>
                    <m:ctrlPr>
                      <w:rPr>
                        <w:rFonts w:ascii="Cambria Math" w:hAnsi="Cambria Math" w:eastAsiaTheme="minorEastAsia"/>
                        <w:i/>
                        <w:color w:val="auto"/>
                      </w:rPr>
                    </m:ctrlPr>
                  </m:e>
                  <m:sub>
                    <m:r>
                      <m:rPr>
                        <m:nor/>
                        <m:sty m:val="p"/>
                      </m:rPr>
                      <w:rPr>
                        <w:rFonts w:eastAsiaTheme="minorEastAsia"/>
                        <w:color w:val="auto"/>
                      </w:rPr>
                      <m:t>i</m:t>
                    </m:r>
                    <m:ctrlPr>
                      <w:rPr>
                        <w:rFonts w:ascii="Cambria Math" w:hAnsi="Cambria Math" w:eastAsiaTheme="minorEastAsia"/>
                        <w:i/>
                        <w:color w:val="auto"/>
                      </w:rPr>
                    </m:ctrlPr>
                  </m:sub>
                </m:sSub>
                <m:r>
                  <m:rPr>
                    <m:nor/>
                    <m:sty m:val="p"/>
                  </m:rPr>
                  <w:rPr>
                    <w:rFonts w:eastAsiaTheme="minorEastAsia"/>
                    <w:color w:val="auto"/>
                  </w:rPr>
                  <m:t>∙</m:t>
                </m:r>
                <m:sSub>
                  <m:sSubPr>
                    <m:ctrlPr>
                      <w:rPr>
                        <w:rFonts w:ascii="Cambria Math" w:hAnsi="Cambria Math" w:eastAsiaTheme="minorEastAsia"/>
                        <w:i/>
                        <w:color w:val="auto"/>
                      </w:rPr>
                    </m:ctrlPr>
                  </m:sSubPr>
                  <m:e>
                    <m:r>
                      <m:rPr>
                        <m:nor/>
                        <m:sty m:val="p"/>
                      </m:rPr>
                      <w:rPr>
                        <w:rFonts w:eastAsiaTheme="minorEastAsia"/>
                        <w:color w:val="auto"/>
                      </w:rPr>
                      <m:t>P</m:t>
                    </m:r>
                    <m:ctrlPr>
                      <w:rPr>
                        <w:rFonts w:ascii="Cambria Math" w:hAnsi="Cambria Math" w:eastAsiaTheme="minorEastAsia"/>
                        <w:i/>
                        <w:color w:val="auto"/>
                      </w:rPr>
                    </m:ctrlPr>
                  </m:e>
                  <m:sub>
                    <m:r>
                      <m:rPr>
                        <m:nor/>
                        <m:sty m:val="p"/>
                      </m:rPr>
                      <w:rPr>
                        <w:rFonts w:eastAsiaTheme="minorEastAsia"/>
                        <w:color w:val="auto"/>
                      </w:rPr>
                      <m:t>i</m:t>
                    </m:r>
                    <m:ctrlPr>
                      <w:rPr>
                        <w:rFonts w:ascii="Cambria Math" w:hAnsi="Cambria Math" w:eastAsiaTheme="minorEastAsia"/>
                        <w:i/>
                        <w:color w:val="auto"/>
                      </w:rPr>
                    </m:ctrlPr>
                  </m:sub>
                </m:sSub>
                <m:ctrlPr>
                  <w:rPr>
                    <w:rFonts w:ascii="Cambria Math" w:hAnsi="Cambria Math" w:eastAsiaTheme="minorEastAsia"/>
                    <w:i/>
                    <w:color w:val="auto"/>
                  </w:rPr>
                </m:ctrlPr>
              </m:e>
            </m:nary>
            <m:ctrlPr>
              <w:rPr>
                <w:rFonts w:ascii="Cambria Math" w:hAnsi="Cambria Math" w:eastAsiaTheme="minorEastAsia"/>
                <w:i/>
                <w:color w:val="auto"/>
              </w:rPr>
            </m:ctrlPr>
          </m:num>
          <m:den>
            <m:nary>
              <m:naryPr>
                <m:chr m:val="∑"/>
                <m:limLoc m:val="undOvr"/>
                <m:ctrlPr>
                  <w:rPr>
                    <w:rFonts w:ascii="Cambria Math" w:hAnsi="Cambria Math" w:eastAsiaTheme="minorEastAsia"/>
                    <w:i/>
                    <w:color w:val="auto"/>
                  </w:rPr>
                </m:ctrlPr>
              </m:naryPr>
              <m:sub>
                <m:r>
                  <m:rPr>
                    <m:nor/>
                    <m:sty m:val="p"/>
                  </m:rPr>
                  <w:rPr>
                    <w:rFonts w:eastAsiaTheme="minorEastAsia"/>
                    <w:color w:val="auto"/>
                  </w:rPr>
                  <m:t>i=1</m:t>
                </m:r>
                <m:ctrlPr>
                  <w:rPr>
                    <w:rFonts w:ascii="Cambria Math" w:hAnsi="Cambria Math" w:eastAsiaTheme="minorEastAsia"/>
                    <w:i/>
                    <w:color w:val="auto"/>
                  </w:rPr>
                </m:ctrlPr>
              </m:sub>
              <m:sup>
                <m:r>
                  <m:rPr>
                    <m:nor/>
                    <m:sty m:val="p"/>
                  </m:rPr>
                  <w:rPr>
                    <w:rFonts w:eastAsiaTheme="minorEastAsia"/>
                    <w:color w:val="auto"/>
                  </w:rPr>
                  <m:t>n</m:t>
                </m:r>
                <m:ctrlPr>
                  <w:rPr>
                    <w:rFonts w:ascii="Cambria Math" w:hAnsi="Cambria Math" w:eastAsiaTheme="minorEastAsia"/>
                    <w:i/>
                    <w:color w:val="auto"/>
                  </w:rPr>
                </m:ctrlPr>
              </m:sup>
              <m:e>
                <m:sSub>
                  <m:sSubPr>
                    <m:ctrlPr>
                      <w:rPr>
                        <w:rFonts w:ascii="Cambria Math" w:hAnsi="Cambria Math" w:eastAsiaTheme="minorEastAsia"/>
                        <w:i/>
                        <w:color w:val="auto"/>
                      </w:rPr>
                    </m:ctrlPr>
                  </m:sSubPr>
                  <m:e>
                    <m:r>
                      <m:rPr>
                        <m:nor/>
                        <m:sty m:val="p"/>
                      </m:rPr>
                      <w:rPr>
                        <w:rFonts w:eastAsiaTheme="minorEastAsia"/>
                        <w:color w:val="auto"/>
                      </w:rPr>
                      <m:t>x</m:t>
                    </m:r>
                    <m:ctrlPr>
                      <w:rPr>
                        <w:rFonts w:ascii="Cambria Math" w:hAnsi="Cambria Math" w:eastAsiaTheme="minorEastAsia"/>
                        <w:i/>
                        <w:color w:val="auto"/>
                      </w:rPr>
                    </m:ctrlPr>
                  </m:e>
                  <m:sub>
                    <m:r>
                      <m:rPr>
                        <m:nor/>
                        <m:sty m:val="p"/>
                      </m:rPr>
                      <w:rPr>
                        <w:rFonts w:eastAsiaTheme="minorEastAsia"/>
                        <w:color w:val="auto"/>
                      </w:rPr>
                      <m:t>i</m:t>
                    </m:r>
                    <m:ctrlPr>
                      <w:rPr>
                        <w:rFonts w:ascii="Cambria Math" w:hAnsi="Cambria Math" w:eastAsiaTheme="minorEastAsia"/>
                        <w:i/>
                        <w:color w:val="auto"/>
                      </w:rPr>
                    </m:ctrlPr>
                  </m:sub>
                </m:sSub>
                <m:r>
                  <m:rPr>
                    <m:nor/>
                    <m:sty m:val="p"/>
                  </m:rPr>
                  <w:rPr>
                    <w:rFonts w:eastAsiaTheme="minorEastAsia"/>
                    <w:color w:val="auto"/>
                  </w:rPr>
                  <m:t>∙</m:t>
                </m:r>
                <m:sSub>
                  <m:sSubPr>
                    <m:ctrlPr>
                      <w:rPr>
                        <w:rFonts w:ascii="Cambria Math" w:hAnsi="Cambria Math" w:eastAsiaTheme="minorEastAsia"/>
                        <w:i/>
                        <w:color w:val="auto"/>
                      </w:rPr>
                    </m:ctrlPr>
                  </m:sSubPr>
                  <m:e>
                    <m:r>
                      <m:rPr>
                        <m:nor/>
                        <m:sty m:val="p"/>
                      </m:rPr>
                      <w:rPr>
                        <w:rFonts w:eastAsiaTheme="minorEastAsia"/>
                        <w:color w:val="auto"/>
                      </w:rPr>
                      <m:t>P</m:t>
                    </m:r>
                    <m:ctrlPr>
                      <w:rPr>
                        <w:rFonts w:ascii="Cambria Math" w:hAnsi="Cambria Math" w:eastAsiaTheme="minorEastAsia"/>
                        <w:i/>
                        <w:color w:val="auto"/>
                      </w:rPr>
                    </m:ctrlPr>
                  </m:e>
                  <m:sub>
                    <m:r>
                      <m:rPr>
                        <m:nor/>
                        <m:sty m:val="p"/>
                      </m:rPr>
                      <w:rPr>
                        <w:rFonts w:eastAsiaTheme="minorEastAsia"/>
                        <w:color w:val="auto"/>
                      </w:rPr>
                      <m:t>i</m:t>
                    </m:r>
                    <m:ctrlPr>
                      <w:rPr>
                        <w:rFonts w:ascii="Cambria Math" w:hAnsi="Cambria Math" w:eastAsiaTheme="minorEastAsia"/>
                        <w:i/>
                        <w:color w:val="auto"/>
                      </w:rPr>
                    </m:ctrlPr>
                  </m:sub>
                </m:sSub>
                <m:ctrlPr>
                  <w:rPr>
                    <w:rFonts w:ascii="Cambria Math" w:hAnsi="Cambria Math" w:eastAsiaTheme="minorEastAsia"/>
                    <w:i/>
                    <w:color w:val="auto"/>
                  </w:rPr>
                </m:ctrlPr>
              </m:e>
            </m:nary>
            <m:ctrlPr>
              <w:rPr>
                <w:rFonts w:ascii="Cambria Math" w:hAnsi="Cambria Math" w:eastAsiaTheme="minorEastAsia"/>
                <w:i/>
                <w:color w:val="auto"/>
              </w:rPr>
            </m:ctrlPr>
          </m:den>
        </m:f>
        <m:r>
          <m:rPr>
            <m:nor/>
            <m:sty m:val="p"/>
          </m:rPr>
          <w:rPr>
            <w:rFonts w:eastAsiaTheme="minorEastAsia"/>
            <w:color w:val="auto"/>
          </w:rPr>
          <m:t>≥</m:t>
        </m:r>
        <m:sSub>
          <m:sSubPr>
            <m:ctrlPr>
              <w:rPr>
                <w:rFonts w:ascii="Cambria Math" w:hAnsi="Cambria Math" w:eastAsiaTheme="minorEastAsia"/>
                <w:i/>
                <w:color w:val="auto"/>
              </w:rPr>
            </m:ctrlPr>
          </m:sSubPr>
          <m:e>
            <m:r>
              <m:rPr>
                <m:nor/>
                <m:sty m:val="p"/>
              </m:rPr>
              <w:rPr>
                <w:rFonts w:eastAsiaTheme="minorEastAsia"/>
                <w:color w:val="auto"/>
              </w:rPr>
              <m:t>P</m:t>
            </m:r>
            <m:ctrlPr>
              <w:rPr>
                <w:rFonts w:ascii="Cambria Math" w:hAnsi="Cambria Math" w:eastAsiaTheme="minorEastAsia"/>
                <w:i/>
                <w:color w:val="auto"/>
              </w:rPr>
            </m:ctrlPr>
          </m:e>
          <m:sub>
            <m:r>
              <m:rPr>
                <m:nor/>
                <m:sty m:val="p"/>
              </m:rPr>
              <w:rPr>
                <w:rFonts w:eastAsiaTheme="minorEastAsia"/>
                <w:color w:val="auto"/>
              </w:rPr>
              <m:t>renewabIe,min</m:t>
            </m:r>
            <m:ctrlPr>
              <w:rPr>
                <w:rFonts w:ascii="Cambria Math" w:hAnsi="Cambria Math" w:eastAsiaTheme="minorEastAsia"/>
                <w:i/>
                <w:color w:val="auto"/>
              </w:rPr>
            </m:ctrlPr>
          </m:sub>
        </m:sSub>
      </m:oMath>
      <w:r>
        <w:rPr>
          <w:color w:val="auto"/>
        </w:rPr>
        <w:t xml:space="preserve">                    （5-10）</w:t>
      </w:r>
    </w:p>
    <w:p w14:paraId="125E26FF">
      <w:pPr>
        <w:spacing w:line="400" w:lineRule="exact"/>
        <w:ind w:firstLine="480" w:firstLineChars="200"/>
        <w:rPr>
          <w:color w:val="auto"/>
        </w:rPr>
      </w:pPr>
      <w:r>
        <w:rPr>
          <w:color w:val="auto"/>
        </w:rPr>
        <w:t>其中，</w:t>
      </w:r>
      <m:oMath>
        <m:sSub>
          <m:sSubPr>
            <m:ctrlPr>
              <w:rPr>
                <w:rFonts w:ascii="Cambria Math" w:hAnsi="Cambria Math"/>
                <w:i/>
                <w:color w:val="auto"/>
              </w:rPr>
            </m:ctrlPr>
          </m:sSubPr>
          <m:e>
            <m:r>
              <m:rPr/>
              <w:rPr>
                <w:rFonts w:ascii="Cambria Math" w:hAnsi="Cambria Math"/>
                <w:color w:val="auto"/>
              </w:rPr>
              <m:t>P</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表示第</w:t>
      </w:r>
      <m:oMath>
        <m:r>
          <m:rPr/>
          <w:rPr>
            <w:rFonts w:ascii="Cambria Math" w:hAnsi="Cambria Math"/>
            <w:color w:val="auto"/>
          </w:rPr>
          <m:t>i</m:t>
        </m:r>
      </m:oMath>
      <w:r>
        <w:rPr>
          <w:color w:val="auto"/>
        </w:rPr>
        <w:t>个项目的装机容量，</w:t>
      </w:r>
      <m:oMath>
        <m:sSub>
          <m:sSubPr>
            <m:ctrlPr>
              <w:rPr>
                <w:rFonts w:ascii="Cambria Math" w:hAnsi="Cambria Math"/>
                <w:i/>
                <w:color w:val="auto"/>
              </w:rPr>
            </m:ctrlPr>
          </m:sSubPr>
          <m:e>
            <m:r>
              <m:rPr/>
              <w:rPr>
                <w:rFonts w:ascii="Cambria Math" w:hAnsi="Cambria Math"/>
                <w:color w:val="auto"/>
              </w:rPr>
              <m:t>P</m:t>
            </m:r>
            <m:ctrlPr>
              <w:rPr>
                <w:rFonts w:ascii="Cambria Math" w:hAnsi="Cambria Math"/>
                <w:i/>
                <w:color w:val="auto"/>
              </w:rPr>
            </m:ctrlPr>
          </m:e>
          <m:sub>
            <m:r>
              <m:rPr>
                <m:sty m:val="p"/>
              </m:rPr>
              <w:rPr>
                <w:rFonts w:ascii="Cambria Math" w:hAnsi="Cambria Math"/>
                <w:color w:val="auto"/>
              </w:rPr>
              <m:t>renewabIe,min</m:t>
            </m:r>
            <m:ctrlPr>
              <w:rPr>
                <w:rFonts w:ascii="Cambria Math" w:hAnsi="Cambria Math"/>
                <w:i/>
                <w:color w:val="auto"/>
              </w:rPr>
            </m:ctrlPr>
          </m:sub>
        </m:sSub>
      </m:oMath>
      <w:r>
        <w:rPr>
          <w:color w:val="auto"/>
        </w:rPr>
        <w:t>表示新能源占比的最低要求。</w:t>
      </w:r>
    </w:p>
    <w:p w14:paraId="410AB604">
      <w:pPr>
        <w:spacing w:line="400" w:lineRule="exact"/>
        <w:ind w:firstLine="480" w:firstLineChars="200"/>
        <w:rPr>
          <w:color w:val="auto"/>
        </w:rPr>
      </w:pPr>
      <w:r>
        <w:rPr>
          <w:rFonts w:ascii="Cambria Math" w:hAnsi="Cambria Math" w:cs="Cambria Math"/>
          <w:color w:val="auto"/>
        </w:rPr>
        <w:t>③</w:t>
      </w:r>
      <w:r>
        <w:rPr>
          <w:color w:val="auto"/>
        </w:rPr>
        <w:t>路负载率约束</w:t>
      </w:r>
    </w:p>
    <w:p w14:paraId="52F585D4">
      <w:pPr>
        <w:spacing w:line="400" w:lineRule="exact"/>
        <w:ind w:firstLine="480" w:firstLineChars="200"/>
        <w:rPr>
          <w:color w:val="auto"/>
        </w:rPr>
      </w:pPr>
      <w:r>
        <w:rPr>
          <w:color w:val="auto"/>
        </w:rPr>
        <w:t>输电线路负载率需控制在安全范围内：</w:t>
      </w:r>
    </w:p>
    <w:p w14:paraId="301BEFB5">
      <w:pPr>
        <w:spacing w:line="400" w:lineRule="exact"/>
        <w:ind w:firstLine="480" w:firstLineChars="200"/>
        <w:jc w:val="right"/>
        <w:rPr>
          <w:color w:val="auto"/>
        </w:rPr>
      </w:pPr>
      <m:oMath>
        <m:sSub>
          <m:sSubPr>
            <m:ctrlPr>
              <w:rPr>
                <w:rFonts w:ascii="Cambria Math" w:hAnsi="Cambria Math"/>
                <w:i/>
                <w:color w:val="auto"/>
              </w:rPr>
            </m:ctrlPr>
          </m:sSubPr>
          <m:e>
            <m:r>
              <m:rPr>
                <m:nor/>
                <m:sty m:val="p"/>
              </m:rPr>
              <w:rPr>
                <w:color w:val="auto"/>
              </w:rPr>
              <m:t>L</m:t>
            </m:r>
            <m:ctrlPr>
              <w:rPr>
                <w:rFonts w:ascii="Cambria Math" w:hAnsi="Cambria Math"/>
                <w:i/>
                <w:color w:val="auto"/>
              </w:rPr>
            </m:ctrlPr>
          </m:e>
          <m:sub>
            <m:r>
              <m:rPr>
                <m:nor/>
                <m:sty m:val="p"/>
              </m:rPr>
              <w:rPr>
                <w:color w:val="auto"/>
              </w:rPr>
              <m:t>i</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sty m:val="p"/>
              </m:rPr>
              <w:rPr>
                <w:color w:val="auto"/>
              </w:rPr>
              <m:t>L</m:t>
            </m:r>
            <m:ctrlPr>
              <w:rPr>
                <w:rFonts w:ascii="Cambria Math" w:hAnsi="Cambria Math"/>
                <w:i/>
                <w:color w:val="auto"/>
              </w:rPr>
            </m:ctrlPr>
          </m:e>
          <m:sub>
            <m:r>
              <m:rPr>
                <m:nor/>
                <m:sty m:val="p"/>
              </m:rPr>
              <w:rPr>
                <w:color w:val="auto"/>
              </w:rPr>
              <m:t>max</m:t>
            </m:r>
            <m:ctrlPr>
              <w:rPr>
                <w:rFonts w:ascii="Cambria Math" w:hAnsi="Cambria Math"/>
                <w:i/>
                <w:color w:val="auto"/>
              </w:rPr>
            </m:ctrlPr>
          </m:sub>
        </m:sSub>
        <m:r>
          <m:rPr>
            <m:nor/>
            <m:sty m:val="p"/>
          </m:rPr>
          <w:rPr>
            <w:color w:val="auto"/>
          </w:rPr>
          <m:t>,</m:t>
        </m:r>
        <m:sSub>
          <m:sSubPr>
            <m:ctrlPr>
              <w:rPr>
                <w:rFonts w:ascii="Cambria Math" w:hAnsi="Cambria Math"/>
                <w:i/>
                <w:color w:val="auto"/>
              </w:rPr>
            </m:ctrlPr>
          </m:sSubPr>
          <m:e>
            <m:r>
              <m:rPr>
                <m:nor/>
                <m:sty m:val="p"/>
              </m:rPr>
              <w:rPr>
                <w:rFonts w:ascii="Cambria Math" w:hAnsi="Cambria Math" w:cs="Cambria Math"/>
                <w:color w:val="auto"/>
              </w:rPr>
              <m:t>∀</m:t>
            </m:r>
            <m:ctrlPr>
              <w:rPr>
                <w:rFonts w:ascii="Cambria Math" w:hAnsi="Cambria Math"/>
                <w:i/>
                <w:color w:val="auto"/>
              </w:rPr>
            </m:ctrlPr>
          </m:e>
          <m:sub>
            <m:r>
              <m:rPr>
                <m:nor/>
                <m:sty m:val="p"/>
              </m:rPr>
              <w:rPr>
                <w:color w:val="auto"/>
              </w:rPr>
              <m:t>i</m:t>
            </m:r>
            <m:ctrlPr>
              <w:rPr>
                <w:rFonts w:ascii="Cambria Math" w:hAnsi="Cambria Math"/>
                <w:i/>
                <w:color w:val="auto"/>
              </w:rPr>
            </m:ctrlPr>
          </m:sub>
        </m:sSub>
      </m:oMath>
      <w:r>
        <w:rPr>
          <w:color w:val="auto"/>
        </w:rPr>
        <w:t xml:space="preserve">                   （5-11）</w:t>
      </w:r>
    </w:p>
    <w:p w14:paraId="3AC7B67D">
      <w:pPr>
        <w:spacing w:line="400" w:lineRule="exact"/>
        <w:ind w:firstLine="480" w:firstLineChars="200"/>
        <w:rPr>
          <w:color w:val="auto"/>
        </w:rPr>
      </w:pPr>
      <w:r>
        <w:rPr>
          <w:color w:val="auto"/>
        </w:rPr>
        <w:t>其中，</w:t>
      </w:r>
      <m:oMath>
        <m:sSub>
          <m:sSubPr>
            <m:ctrlPr>
              <w:rPr>
                <w:rFonts w:ascii="Cambria Math" w:hAnsi="Cambria Math"/>
                <w:i/>
                <w:color w:val="auto"/>
              </w:rPr>
            </m:ctrlPr>
          </m:sSubPr>
          <m:e>
            <m:r>
              <m:rPr/>
              <w:rPr>
                <w:rFonts w:ascii="Cambria Math" w:hAnsi="Cambria Math"/>
                <w:color w:val="auto"/>
              </w:rPr>
              <m:t>L</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表示第</w:t>
      </w:r>
      <m:oMath>
        <m:r>
          <m:rPr/>
          <w:rPr>
            <w:rFonts w:ascii="Cambria Math" w:hAnsi="Cambria Math"/>
            <w:color w:val="auto"/>
          </w:rPr>
          <m:t>i</m:t>
        </m:r>
      </m:oMath>
      <w:r>
        <w:rPr>
          <w:color w:val="auto"/>
        </w:rPr>
        <w:t>条输电线路的实际负载率，</w:t>
      </w:r>
      <m:oMath>
        <m:sSub>
          <m:sSubPr>
            <m:ctrlPr>
              <w:rPr>
                <w:rFonts w:ascii="Cambria Math" w:hAnsi="Cambria Math"/>
                <w:i/>
                <w:color w:val="auto"/>
              </w:rPr>
            </m:ctrlPr>
          </m:sSubPr>
          <m:e>
            <m:r>
              <m:rPr/>
              <w:rPr>
                <w:rFonts w:ascii="Cambria Math" w:hAnsi="Cambria Math"/>
                <w:color w:val="auto"/>
              </w:rPr>
              <m:t>L</m:t>
            </m:r>
            <m:ctrlPr>
              <w:rPr>
                <w:rFonts w:ascii="Cambria Math" w:hAnsi="Cambria Math"/>
                <w:i/>
                <w:color w:val="auto"/>
              </w:rPr>
            </m:ctrlPr>
          </m:e>
          <m:sub>
            <m:r>
              <m:rPr>
                <m:sty m:val="p"/>
              </m:rPr>
              <w:rPr>
                <w:rFonts w:ascii="Cambria Math" w:hAnsi="Cambria Math"/>
                <w:color w:val="auto"/>
              </w:rPr>
              <m:t>max</m:t>
            </m:r>
            <m:ctrlPr>
              <w:rPr>
                <w:rFonts w:ascii="Cambria Math" w:hAnsi="Cambria Math"/>
                <w:i/>
                <w:color w:val="auto"/>
              </w:rPr>
            </m:ctrlPr>
          </m:sub>
        </m:sSub>
      </m:oMath>
      <w:r>
        <w:rPr>
          <w:color w:val="auto"/>
        </w:rPr>
        <w:t>表示最大允许负载率。</w:t>
      </w:r>
    </w:p>
    <w:p w14:paraId="1AB0BB0B">
      <w:pPr>
        <w:spacing w:line="400" w:lineRule="exact"/>
        <w:ind w:firstLine="480" w:firstLineChars="200"/>
        <w:rPr>
          <w:color w:val="auto"/>
        </w:rPr>
      </w:pPr>
      <w:r>
        <w:rPr>
          <w:color w:val="auto"/>
        </w:rPr>
        <w:t>3）政策法规约束</w:t>
      </w:r>
    </w:p>
    <w:p w14:paraId="0904627A">
      <w:pPr>
        <w:spacing w:line="400" w:lineRule="exact"/>
        <w:ind w:firstLine="480" w:firstLineChars="200"/>
        <w:rPr>
          <w:color w:val="auto"/>
        </w:rPr>
      </w:pPr>
      <w:r>
        <w:rPr>
          <w:color w:val="auto"/>
        </w:rPr>
        <w:t>政策法规约束反映了国家或地方政府对电网投资的具体要求。</w:t>
      </w:r>
    </w:p>
    <w:p w14:paraId="08428EC2">
      <w:pPr>
        <w:spacing w:line="400" w:lineRule="exact"/>
        <w:ind w:firstLine="480" w:firstLineChars="200"/>
        <w:rPr>
          <w:color w:val="auto"/>
        </w:rPr>
      </w:pPr>
      <w:r>
        <w:rPr>
          <w:rFonts w:ascii="Cambria Math" w:hAnsi="Cambria Math" w:cs="Cambria Math"/>
          <w:color w:val="auto"/>
        </w:rPr>
        <w:t>①</w:t>
      </w:r>
      <w:r>
        <w:rPr>
          <w:color w:val="auto"/>
        </w:rPr>
        <w:t>碳排放约束</w:t>
      </w:r>
    </w:p>
    <w:p w14:paraId="7C6B50EF">
      <w:pPr>
        <w:spacing w:line="400" w:lineRule="exact"/>
        <w:ind w:firstLine="480" w:firstLineChars="200"/>
        <w:rPr>
          <w:color w:val="auto"/>
        </w:rPr>
      </w:pPr>
      <w:r>
        <w:rPr>
          <w:color w:val="auto"/>
        </w:rPr>
        <w:t>项目总碳排放量需低于政策规定的上限：</w:t>
      </w:r>
    </w:p>
    <w:p w14:paraId="3C0CE453">
      <w:pPr>
        <w:spacing w:line="400" w:lineRule="exact"/>
        <w:ind w:firstLine="480" w:firstLineChars="200"/>
        <w:jc w:val="right"/>
        <w:rPr>
          <w:color w:val="auto"/>
        </w:rPr>
      </w:pPr>
      <m:oMath>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E</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E</m:t>
                </m:r>
                <m:ctrlPr>
                  <w:rPr>
                    <w:rFonts w:ascii="Cambria Math" w:hAnsi="Cambria Math"/>
                    <w:i/>
                    <w:color w:val="auto"/>
                  </w:rPr>
                </m:ctrlPr>
              </m:e>
              <m:sub>
                <m:r>
                  <m:rPr>
                    <m:sty m:val="p"/>
                  </m:rPr>
                  <w:rPr>
                    <w:rFonts w:ascii="Cambria Math" w:hAnsi="Cambria Math"/>
                    <w:color w:val="auto"/>
                  </w:rPr>
                  <m:t>max</m:t>
                </m:r>
                <m:ctrlPr>
                  <w:rPr>
                    <w:rFonts w:ascii="Cambria Math" w:hAnsi="Cambria Math"/>
                    <w:i/>
                    <w:color w:val="auto"/>
                  </w:rPr>
                </m:ctrlPr>
              </m:sub>
            </m:sSub>
            <m:ctrlPr>
              <w:rPr>
                <w:rFonts w:ascii="Cambria Math" w:hAnsi="Cambria Math"/>
                <w:i/>
                <w:color w:val="auto"/>
              </w:rPr>
            </m:ctrlPr>
          </m:e>
        </m:nary>
      </m:oMath>
      <w:r>
        <w:rPr>
          <w:color w:val="auto"/>
        </w:rPr>
        <w:t xml:space="preserve">                              （5-12）</w:t>
      </w:r>
    </w:p>
    <w:p w14:paraId="55A01599">
      <w:pPr>
        <w:spacing w:line="400" w:lineRule="exact"/>
        <w:ind w:firstLine="480" w:firstLineChars="200"/>
        <w:rPr>
          <w:color w:val="auto"/>
        </w:rPr>
      </w:pPr>
      <w:r>
        <w:rPr>
          <w:color w:val="auto"/>
        </w:rPr>
        <w:t>其中，</w:t>
      </w:r>
      <m:oMath>
        <m:sSub>
          <m:sSubPr>
            <m:ctrlPr>
              <w:rPr>
                <w:rFonts w:ascii="Cambria Math" w:hAnsi="Cambria Math"/>
                <w:i/>
                <w:color w:val="auto"/>
              </w:rPr>
            </m:ctrlPr>
          </m:sSubPr>
          <m:e>
            <m:r>
              <m:rPr/>
              <w:rPr>
                <w:rFonts w:ascii="Cambria Math" w:hAnsi="Cambria Math"/>
                <w:color w:val="auto"/>
              </w:rPr>
              <m:t>E</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表示第</w:t>
      </w:r>
      <w:r>
        <w:rPr>
          <w:i/>
          <w:iCs/>
          <w:color w:val="auto"/>
        </w:rPr>
        <w:t>i</w:t>
      </w:r>
      <w:r>
        <w:rPr>
          <w:color w:val="auto"/>
        </w:rPr>
        <w:t>个项目的单位碳排放量，</w:t>
      </w:r>
      <m:oMath>
        <m:sSub>
          <m:sSubPr>
            <m:ctrlPr>
              <w:rPr>
                <w:rFonts w:ascii="Cambria Math" w:hAnsi="Cambria Math"/>
                <w:i/>
                <w:color w:val="auto"/>
              </w:rPr>
            </m:ctrlPr>
          </m:sSubPr>
          <m:e>
            <m:r>
              <m:rPr/>
              <w:rPr>
                <w:rFonts w:ascii="Cambria Math" w:hAnsi="Cambria Math"/>
                <w:color w:val="auto"/>
              </w:rPr>
              <m:t>E</m:t>
            </m:r>
            <m:ctrlPr>
              <w:rPr>
                <w:rFonts w:ascii="Cambria Math" w:hAnsi="Cambria Math"/>
                <w:i/>
                <w:color w:val="auto"/>
              </w:rPr>
            </m:ctrlPr>
          </m:e>
          <m:sub>
            <m:r>
              <m:rPr>
                <m:sty m:val="p"/>
              </m:rPr>
              <w:rPr>
                <w:rFonts w:ascii="Cambria Math" w:hAnsi="Cambria Math"/>
                <w:color w:val="auto"/>
              </w:rPr>
              <m:t>max</m:t>
            </m:r>
            <m:ctrlPr>
              <w:rPr>
                <w:rFonts w:ascii="Cambria Math" w:hAnsi="Cambria Math"/>
                <w:i/>
                <w:color w:val="auto"/>
              </w:rPr>
            </m:ctrlPr>
          </m:sub>
        </m:sSub>
      </m:oMath>
      <w:r>
        <w:rPr>
          <w:color w:val="auto"/>
        </w:rPr>
        <w:t>表示碳排放总量上限。</w:t>
      </w:r>
    </w:p>
    <w:p w14:paraId="7969796D">
      <w:pPr>
        <w:spacing w:line="400" w:lineRule="exact"/>
        <w:ind w:firstLine="480" w:firstLineChars="200"/>
        <w:rPr>
          <w:color w:val="auto"/>
        </w:rPr>
      </w:pPr>
      <w:r>
        <w:rPr>
          <w:rFonts w:ascii="Cambria Math" w:hAnsi="Cambria Math" w:cs="Cambria Math"/>
          <w:color w:val="auto"/>
        </w:rPr>
        <w:t>②</w:t>
      </w:r>
      <w:r>
        <w:rPr>
          <w:color w:val="auto"/>
        </w:rPr>
        <w:t>分布式能源比例约束</w:t>
      </w:r>
    </w:p>
    <w:p w14:paraId="5E644B8C">
      <w:pPr>
        <w:spacing w:line="400" w:lineRule="exact"/>
        <w:ind w:firstLine="480" w:firstLineChars="200"/>
        <w:rPr>
          <w:color w:val="auto"/>
        </w:rPr>
      </w:pPr>
      <w:r>
        <w:rPr>
          <w:color w:val="auto"/>
        </w:rPr>
        <w:t>分布式能源项目的投资比例需符合政策要求：</w:t>
      </w:r>
    </w:p>
    <w:p w14:paraId="48B32AED">
      <w:pPr>
        <w:spacing w:line="400" w:lineRule="exact"/>
        <w:ind w:firstLine="480" w:firstLineChars="200"/>
        <w:jc w:val="right"/>
        <w:rPr>
          <w:color w:val="auto"/>
        </w:rPr>
      </w:pPr>
      <m:oMath>
        <m:f>
          <m:fPr>
            <m:ctrlPr>
              <w:rPr>
                <w:rFonts w:ascii="Cambria Math" w:hAnsi="Cambria Math"/>
                <w:i/>
                <w:color w:val="auto"/>
              </w:rPr>
            </m:ctrlPr>
          </m:fPr>
          <m:num>
            <m:nary>
              <m:naryPr>
                <m:chr m:val="∑"/>
                <m:limLoc m:val="subSup"/>
                <m:supHide m:val="1"/>
                <m:ctrlPr>
                  <w:rPr>
                    <w:rFonts w:ascii="Cambria Math" w:hAnsi="Cambria Math"/>
                    <w:i/>
                    <w:color w:val="auto"/>
                  </w:rPr>
                </m:ctrlPr>
              </m:naryPr>
              <m:sub>
                <m:r>
                  <m:rPr/>
                  <w:rPr>
                    <w:rFonts w:ascii="Cambria Math" w:hAnsi="Cambria Math"/>
                    <w:color w:val="auto"/>
                  </w:rPr>
                  <m:t>i∈</m:t>
                </m:r>
                <m:r>
                  <m:rPr>
                    <m:sty m:val="p"/>
                  </m:rPr>
                  <w:rPr>
                    <w:rFonts w:ascii="Cambria Math" w:hAnsi="Cambria Math"/>
                    <w:color w:val="auto"/>
                  </w:rPr>
                  <m:t>分布式能源项目</m:t>
                </m:r>
                <m:ctrlPr>
                  <w:rPr>
                    <w:rFonts w:ascii="Cambria Math" w:hAnsi="Cambria Math"/>
                    <w:i/>
                    <w:color w:val="auto"/>
                  </w:rPr>
                </m:ctrlPr>
              </m:sub>
              <m:sup>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e>
            </m:nary>
            <m:ctrlPr>
              <w:rPr>
                <w:rFonts w:ascii="Cambria Math" w:hAnsi="Cambria Math"/>
                <w:i/>
                <w:color w:val="auto"/>
              </w:rPr>
            </m:ctrlPr>
          </m:num>
          <m:den>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e>
            </m:nary>
            <m:ctrlPr>
              <w:rPr>
                <w:rFonts w:ascii="Cambria Math" w:hAnsi="Cambria Math"/>
                <w:i/>
                <w:color w:val="auto"/>
              </w:rPr>
            </m:ctrlPr>
          </m:den>
        </m:f>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D</m:t>
            </m:r>
            <m:ctrlPr>
              <w:rPr>
                <w:rFonts w:ascii="Cambria Math" w:hAnsi="Cambria Math"/>
                <w:i/>
                <w:color w:val="auto"/>
              </w:rPr>
            </m:ctrlPr>
          </m:e>
          <m:sub>
            <m:r>
              <m:rPr>
                <m:sty m:val="p"/>
              </m:rPr>
              <w:rPr>
                <w:rFonts w:ascii="Cambria Math" w:hAnsi="Cambria Math"/>
                <w:color w:val="auto"/>
              </w:rPr>
              <m:t>min</m:t>
            </m:r>
            <m:ctrlPr>
              <w:rPr>
                <w:rFonts w:ascii="Cambria Math" w:hAnsi="Cambria Math"/>
                <w:i/>
                <w:color w:val="auto"/>
              </w:rPr>
            </m:ctrlPr>
          </m:sub>
        </m:sSub>
      </m:oMath>
      <w:r>
        <w:rPr>
          <w:color w:val="auto"/>
        </w:rPr>
        <w:t xml:space="preserve">            （5-13）</w:t>
      </w:r>
    </w:p>
    <w:p w14:paraId="1C82A39C">
      <w:pPr>
        <w:spacing w:line="400" w:lineRule="exact"/>
        <w:ind w:firstLine="480" w:firstLineChars="200"/>
        <w:rPr>
          <w:color w:val="auto"/>
        </w:rPr>
      </w:pPr>
      <w:r>
        <w:rPr>
          <w:color w:val="auto"/>
        </w:rPr>
        <w:t>其中，</w:t>
      </w:r>
      <m:oMath>
        <m:sSub>
          <m:sSubPr>
            <m:ctrlPr>
              <w:rPr>
                <w:rFonts w:ascii="Cambria Math" w:hAnsi="Cambria Math"/>
                <w:i/>
                <w:color w:val="auto"/>
              </w:rPr>
            </m:ctrlPr>
          </m:sSubPr>
          <m:e>
            <m:r>
              <m:rPr/>
              <w:rPr>
                <w:rFonts w:ascii="Cambria Math" w:hAnsi="Cambria Math"/>
                <w:color w:val="auto"/>
              </w:rPr>
              <m:t>D</m:t>
            </m:r>
            <m:ctrlPr>
              <w:rPr>
                <w:rFonts w:ascii="Cambria Math" w:hAnsi="Cambria Math"/>
                <w:i/>
                <w:color w:val="auto"/>
              </w:rPr>
            </m:ctrlPr>
          </m:e>
          <m:sub>
            <m:r>
              <m:rPr>
                <m:sty m:val="p"/>
              </m:rPr>
              <w:rPr>
                <w:rFonts w:ascii="Cambria Math" w:hAnsi="Cambria Math"/>
                <w:color w:val="auto"/>
              </w:rPr>
              <m:t>min</m:t>
            </m:r>
            <m:ctrlPr>
              <w:rPr>
                <w:rFonts w:ascii="Cambria Math" w:hAnsi="Cambria Math"/>
                <w:i/>
                <w:color w:val="auto"/>
              </w:rPr>
            </m:ctrlPr>
          </m:sub>
        </m:sSub>
      </m:oMath>
      <w:r>
        <w:rPr>
          <w:color w:val="auto"/>
        </w:rPr>
        <w:t>表示分布式能源投资比例的最低要求。</w:t>
      </w:r>
    </w:p>
    <w:p w14:paraId="5ACB6585">
      <w:pPr>
        <w:spacing w:line="400" w:lineRule="exact"/>
        <w:ind w:firstLine="480" w:firstLineChars="200"/>
        <w:rPr>
          <w:color w:val="auto"/>
        </w:rPr>
      </w:pPr>
      <w:r>
        <w:rPr>
          <w:color w:val="auto"/>
        </w:rPr>
        <w:t>4）环境约束</w:t>
      </w:r>
    </w:p>
    <w:p w14:paraId="480294F4">
      <w:pPr>
        <w:spacing w:line="400" w:lineRule="exact"/>
        <w:ind w:firstLine="480" w:firstLineChars="200"/>
        <w:rPr>
          <w:color w:val="auto"/>
        </w:rPr>
      </w:pPr>
      <w:r>
        <w:rPr>
          <w:color w:val="auto"/>
        </w:rPr>
        <w:t>环境约束关注电网项目对生态环境的影响。</w:t>
      </w:r>
    </w:p>
    <w:p w14:paraId="2619353A">
      <w:pPr>
        <w:spacing w:line="400" w:lineRule="exact"/>
        <w:ind w:firstLine="480" w:firstLineChars="200"/>
        <w:rPr>
          <w:color w:val="auto"/>
        </w:rPr>
      </w:pPr>
      <w:r>
        <w:rPr>
          <w:rFonts w:ascii="Cambria Math" w:hAnsi="Cambria Math" w:cs="Cambria Math"/>
          <w:color w:val="auto"/>
        </w:rPr>
        <w:t>①</w:t>
      </w:r>
      <w:r>
        <w:rPr>
          <w:color w:val="auto"/>
        </w:rPr>
        <w:t>土地占用约束</w:t>
      </w:r>
    </w:p>
    <w:p w14:paraId="301BAAB8">
      <w:pPr>
        <w:spacing w:line="400" w:lineRule="exact"/>
        <w:ind w:firstLine="480" w:firstLineChars="200"/>
        <w:rPr>
          <w:color w:val="auto"/>
        </w:rPr>
      </w:pPr>
      <w:r>
        <w:rPr>
          <w:color w:val="auto"/>
        </w:rPr>
        <w:t>项目总占地面积不得超过可用土地资源：</w:t>
      </w:r>
    </w:p>
    <w:p w14:paraId="3071149C">
      <w:pPr>
        <w:spacing w:line="400" w:lineRule="exact"/>
        <w:jc w:val="right"/>
        <w:rPr>
          <w:color w:val="auto"/>
        </w:rPr>
      </w:pPr>
      <m:oMath>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A</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A</m:t>
                </m:r>
                <m:ctrlPr>
                  <w:rPr>
                    <w:rFonts w:ascii="Cambria Math" w:hAnsi="Cambria Math"/>
                    <w:i/>
                    <w:color w:val="auto"/>
                  </w:rPr>
                </m:ctrlPr>
              </m:e>
              <m:sub>
                <m:r>
                  <m:rPr>
                    <m:sty m:val="p"/>
                  </m:rPr>
                  <w:rPr>
                    <w:rFonts w:ascii="Cambria Math" w:hAnsi="Cambria Math"/>
                    <w:color w:val="auto"/>
                  </w:rPr>
                  <m:t>max</m:t>
                </m:r>
                <m:ctrlPr>
                  <w:rPr>
                    <w:rFonts w:ascii="Cambria Math" w:hAnsi="Cambria Math"/>
                    <w:i/>
                    <w:color w:val="auto"/>
                  </w:rPr>
                </m:ctrlPr>
              </m:sub>
            </m:sSub>
            <m:ctrlPr>
              <w:rPr>
                <w:rFonts w:ascii="Cambria Math" w:hAnsi="Cambria Math"/>
                <w:i/>
                <w:color w:val="auto"/>
              </w:rPr>
            </m:ctrlPr>
          </m:e>
        </m:nary>
      </m:oMath>
      <w:r>
        <w:rPr>
          <w:color w:val="auto"/>
        </w:rPr>
        <w:t xml:space="preserve">              （5-14）</w:t>
      </w:r>
    </w:p>
    <w:p w14:paraId="7D306E40">
      <w:pPr>
        <w:spacing w:line="400" w:lineRule="exact"/>
        <w:ind w:firstLine="480" w:firstLineChars="200"/>
        <w:rPr>
          <w:color w:val="auto"/>
        </w:rPr>
      </w:pPr>
      <w:r>
        <w:rPr>
          <w:rFonts w:ascii="Cambria Math" w:hAnsi="Cambria Math" w:cs="Cambria Math"/>
          <w:color w:val="auto"/>
        </w:rPr>
        <w:t>②</w:t>
      </w:r>
      <w:r>
        <w:rPr>
          <w:color w:val="auto"/>
        </w:rPr>
        <w:t>其中，</w:t>
      </w:r>
      <m:oMath>
        <m:sSub>
          <m:sSubPr>
            <m:ctrlPr>
              <w:rPr>
                <w:rFonts w:ascii="Cambria Math" w:hAnsi="Cambria Math"/>
                <w:i/>
                <w:color w:val="auto"/>
              </w:rPr>
            </m:ctrlPr>
          </m:sSubPr>
          <m:e>
            <m:r>
              <m:rPr/>
              <w:rPr>
                <w:rFonts w:ascii="Cambria Math" w:hAnsi="Cambria Math"/>
                <w:color w:val="auto"/>
              </w:rPr>
              <m:t>A</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表示第</w:t>
      </w:r>
      <w:r>
        <w:rPr>
          <w:i/>
          <w:iCs/>
          <w:color w:val="auto"/>
        </w:rPr>
        <w:t>i</w:t>
      </w:r>
      <w:r>
        <w:rPr>
          <w:color w:val="auto"/>
        </w:rPr>
        <w:t>个项目的占地面积，</w:t>
      </w:r>
      <m:oMath>
        <m:sSub>
          <m:sSubPr>
            <m:ctrlPr>
              <w:rPr>
                <w:rFonts w:ascii="Cambria Math" w:hAnsi="Cambria Math"/>
                <w:i/>
                <w:color w:val="auto"/>
              </w:rPr>
            </m:ctrlPr>
          </m:sSubPr>
          <m:e>
            <m:r>
              <m:rPr/>
              <w:rPr>
                <w:rFonts w:ascii="Cambria Math" w:hAnsi="Cambria Math"/>
                <w:color w:val="auto"/>
              </w:rPr>
              <m:t>A</m:t>
            </m:r>
            <m:ctrlPr>
              <w:rPr>
                <w:rFonts w:ascii="Cambria Math" w:hAnsi="Cambria Math"/>
                <w:i/>
                <w:color w:val="auto"/>
              </w:rPr>
            </m:ctrlPr>
          </m:e>
          <m:sub>
            <m:r>
              <m:rPr>
                <m:sty m:val="p"/>
              </m:rPr>
              <w:rPr>
                <w:rFonts w:ascii="Cambria Math" w:hAnsi="Cambria Math"/>
                <w:color w:val="auto"/>
              </w:rPr>
              <m:t>max</m:t>
            </m:r>
            <m:ctrlPr>
              <w:rPr>
                <w:rFonts w:ascii="Cambria Math" w:hAnsi="Cambria Math"/>
                <w:i/>
                <w:color w:val="auto"/>
              </w:rPr>
            </m:ctrlPr>
          </m:sub>
        </m:sSub>
      </m:oMath>
      <w:r>
        <w:rPr>
          <w:color w:val="auto"/>
        </w:rPr>
        <w:t>表示最大允许占地面积。</w:t>
      </w:r>
    </w:p>
    <w:p w14:paraId="46027553">
      <w:pPr>
        <w:spacing w:line="400" w:lineRule="exact"/>
        <w:ind w:firstLine="480" w:firstLineChars="200"/>
        <w:rPr>
          <w:color w:val="auto"/>
        </w:rPr>
      </w:pPr>
      <w:r>
        <w:rPr>
          <w:color w:val="auto"/>
        </w:rPr>
        <w:t>生态影响评估约束</w:t>
      </w:r>
    </w:p>
    <w:p w14:paraId="675BD687">
      <w:pPr>
        <w:spacing w:line="400" w:lineRule="exact"/>
        <w:ind w:firstLine="480" w:firstLineChars="200"/>
        <w:rPr>
          <w:color w:val="auto"/>
        </w:rPr>
      </w:pPr>
      <w:r>
        <w:rPr>
          <w:color w:val="auto"/>
        </w:rPr>
        <w:t>各项目对生态环境的影响需控制在可接受范围内：</w:t>
      </w:r>
    </w:p>
    <w:p w14:paraId="4941F007">
      <w:pPr>
        <w:spacing w:line="400" w:lineRule="exact"/>
        <w:ind w:firstLine="480" w:firstLineChars="200"/>
        <w:jc w:val="right"/>
        <w:rPr>
          <w:color w:val="auto"/>
        </w:rPr>
      </w:pPr>
      <m:oMath>
        <m:sSub>
          <m:sSubPr>
            <m:ctrlPr>
              <w:rPr>
                <w:rFonts w:ascii="Cambria Math" w:hAnsi="Cambria Math"/>
                <w:i/>
                <w:color w:val="auto"/>
              </w:rPr>
            </m:ctrlPr>
          </m:sSubPr>
          <m:e>
            <m:r>
              <m:rPr/>
              <w:rPr>
                <w:rFonts w:ascii="Cambria Math" w:hAnsi="Cambria Math"/>
                <w:color w:val="auto"/>
              </w:rPr>
              <m:t>I</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Cs/>
                <w:color w:val="auto"/>
              </w:rPr>
            </m:ctrlPr>
          </m:sSubPr>
          <m:e>
            <m:r>
              <m:rPr/>
              <w:rPr>
                <w:rFonts w:ascii="Cambria Math" w:hAnsi="Cambria Math"/>
                <w:color w:val="auto"/>
              </w:rPr>
              <m:t>I</m:t>
            </m:r>
            <m:ctrlPr>
              <w:rPr>
                <w:rFonts w:ascii="Cambria Math" w:hAnsi="Cambria Math"/>
                <w:iCs/>
                <w:color w:val="auto"/>
              </w:rPr>
            </m:ctrlPr>
          </m:e>
          <m:sub>
            <m:r>
              <m:rPr>
                <m:sty m:val="p"/>
              </m:rPr>
              <w:rPr>
                <w:rFonts w:ascii="Cambria Math" w:hAnsi="Cambria Math"/>
                <w:color w:val="auto"/>
              </w:rPr>
              <m:t>threshoId</m:t>
            </m:r>
            <m:ctrlPr>
              <w:rPr>
                <w:rFonts w:ascii="Cambria Math" w:hAnsi="Cambria Math"/>
                <w:iCs/>
                <w:color w:val="auto"/>
              </w:rPr>
            </m:ctrlPr>
          </m:sub>
        </m:sSub>
        <m:r>
          <m:rPr>
            <m:sty m:val="p"/>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 xml:space="preserve">                             （5-15）</w:t>
      </w:r>
    </w:p>
    <w:p w14:paraId="01A22778">
      <w:pPr>
        <w:spacing w:line="400" w:lineRule="exact"/>
        <w:ind w:firstLine="480" w:firstLineChars="200"/>
        <w:rPr>
          <w:color w:val="auto"/>
        </w:rPr>
      </w:pPr>
      <w:r>
        <w:rPr>
          <w:color w:val="auto"/>
          <w:shd w:val="clear" w:color="auto" w:fill="FFFFFF"/>
        </w:rPr>
        <w:t>将上述各类约束综合起来，完整的约束条件可以表示为：</w:t>
      </w:r>
    </w:p>
    <w:p w14:paraId="622F092C">
      <w:pPr>
        <w:tabs>
          <w:tab w:val="left" w:pos="2664"/>
        </w:tabs>
        <w:spacing w:line="400" w:lineRule="exact"/>
        <w:ind w:firstLine="480" w:firstLineChars="200"/>
        <w:rPr>
          <w:color w:val="auto"/>
        </w:rPr>
      </w:pPr>
      <w:r>
        <w:rPr>
          <w:color w:val="auto"/>
        </w:rPr>
        <w:t>经济性约束：</w:t>
      </w:r>
    </w:p>
    <w:p w14:paraId="44D0E1CA">
      <w:pPr>
        <w:tabs>
          <w:tab w:val="left" w:pos="2664"/>
        </w:tabs>
        <w:spacing w:line="400" w:lineRule="exact"/>
        <w:ind w:firstLine="480" w:firstLineChars="200"/>
        <w:jc w:val="right"/>
        <w:rPr>
          <w:color w:val="auto"/>
        </w:rPr>
      </w:pPr>
      <m:oMath>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≤B</m:t>
            </m:r>
            <m:ctrlPr>
              <w:rPr>
                <w:rFonts w:ascii="Cambria Math" w:hAnsi="Cambria Math"/>
                <w:i/>
                <w:color w:val="auto"/>
              </w:rPr>
            </m:ctrlPr>
          </m:e>
        </m:nary>
      </m:oMath>
      <w:r>
        <w:rPr>
          <w:color w:val="auto"/>
        </w:rPr>
        <w:t>，</w:t>
      </w:r>
      <m:oMath>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R</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R</m:t>
                </m:r>
                <m:ctrlPr>
                  <w:rPr>
                    <w:rFonts w:ascii="Cambria Math" w:hAnsi="Cambria Math"/>
                    <w:i/>
                    <w:color w:val="auto"/>
                  </w:rPr>
                </m:ctrlPr>
              </m:e>
              <m:sub>
                <m:r>
                  <m:rPr>
                    <m:sty m:val="p"/>
                  </m:rPr>
                  <w:rPr>
                    <w:rFonts w:ascii="Cambria Math" w:hAnsi="Cambria Math"/>
                    <w:color w:val="auto"/>
                  </w:rPr>
                  <m:t>min</m:t>
                </m:r>
                <m:ctrlPr>
                  <w:rPr>
                    <w:rFonts w:ascii="Cambria Math" w:hAnsi="Cambria Math"/>
                    <w:i/>
                    <w:color w:val="auto"/>
                  </w:rPr>
                </m:ctrlPr>
              </m:sub>
            </m:sSub>
            <m:ctrlPr>
              <w:rPr>
                <w:rFonts w:ascii="Cambria Math" w:hAnsi="Cambria Math"/>
                <w:i/>
                <w:color w:val="auto"/>
              </w:rPr>
            </m:ctrlPr>
          </m:e>
        </m:nary>
      </m:oMath>
      <w:r>
        <w:rPr>
          <w:color w:val="auto"/>
        </w:rPr>
        <w:t>，</w:t>
      </w:r>
      <m:oMath>
        <m:f>
          <m:fPr>
            <m:ctrlPr>
              <w:rPr>
                <w:rFonts w:ascii="Cambria Math" w:hAnsi="Cambria Math"/>
                <w:i/>
                <w:color w:val="auto"/>
              </w:rPr>
            </m:ctrlPr>
          </m:fPr>
          <m:num>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T</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e>
            </m:nary>
            <m:ctrlPr>
              <w:rPr>
                <w:rFonts w:ascii="Cambria Math" w:hAnsi="Cambria Math"/>
                <w:i/>
                <w:color w:val="auto"/>
              </w:rPr>
            </m:ctrlPr>
          </m:num>
          <m:den>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e>
            </m:nary>
            <m:ctrlPr>
              <w:rPr>
                <w:rFonts w:ascii="Cambria Math" w:hAnsi="Cambria Math"/>
                <w:i/>
                <w:color w:val="auto"/>
              </w:rPr>
            </m:ctrlPr>
          </m:den>
        </m:f>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T</m:t>
            </m:r>
            <m:ctrlPr>
              <w:rPr>
                <w:rFonts w:ascii="Cambria Math" w:hAnsi="Cambria Math"/>
                <w:i/>
                <w:color w:val="auto"/>
              </w:rPr>
            </m:ctrlPr>
          </m:e>
          <m:sub>
            <m:r>
              <m:rPr>
                <m:sty m:val="p"/>
              </m:rPr>
              <w:rPr>
                <w:rFonts w:ascii="Cambria Math" w:hAnsi="Cambria Math"/>
                <w:color w:val="auto"/>
              </w:rPr>
              <m:t>max</m:t>
            </m:r>
            <m:ctrlPr>
              <w:rPr>
                <w:rFonts w:ascii="Cambria Math" w:hAnsi="Cambria Math"/>
                <w:i/>
                <w:color w:val="auto"/>
              </w:rPr>
            </m:ctrlPr>
          </m:sub>
        </m:sSub>
      </m:oMath>
      <w:r>
        <w:rPr>
          <w:color w:val="auto"/>
        </w:rPr>
        <w:t xml:space="preserve"> （5-16）</w:t>
      </w:r>
    </w:p>
    <w:p w14:paraId="23D01E56">
      <w:pPr>
        <w:spacing w:line="400" w:lineRule="exact"/>
        <w:ind w:firstLine="480" w:firstLineChars="200"/>
        <w:rPr>
          <w:color w:val="auto"/>
        </w:rPr>
      </w:pPr>
      <w:r>
        <w:rPr>
          <w:color w:val="auto"/>
        </w:rPr>
        <w:t>技术性约束：</w:t>
      </w:r>
    </w:p>
    <w:p w14:paraId="1C72C8E5">
      <w:pPr>
        <w:spacing w:line="400" w:lineRule="exact"/>
        <w:ind w:firstLine="480" w:firstLineChars="200"/>
        <w:rPr>
          <w:color w:val="auto"/>
        </w:rPr>
      </w:pPr>
      <m:oMath>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U</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U</m:t>
                </m:r>
                <m:ctrlPr>
                  <w:rPr>
                    <w:rFonts w:ascii="Cambria Math" w:hAnsi="Cambria Math"/>
                    <w:i/>
                    <w:color w:val="auto"/>
                  </w:rPr>
                </m:ctrlPr>
              </m:e>
              <m:sub>
                <m:r>
                  <m:rPr>
                    <m:sty m:val="p"/>
                  </m:rPr>
                  <w:rPr>
                    <w:rFonts w:ascii="Cambria Math" w:hAnsi="Cambria Math"/>
                    <w:color w:val="auto"/>
                  </w:rPr>
                  <m:t>min</m:t>
                </m:r>
                <m:ctrlPr>
                  <w:rPr>
                    <w:rFonts w:ascii="Cambria Math" w:hAnsi="Cambria Math"/>
                    <w:i/>
                    <w:color w:val="auto"/>
                  </w:rPr>
                </m:ctrlPr>
              </m:sub>
            </m:sSub>
            <m:ctrlPr>
              <w:rPr>
                <w:rFonts w:ascii="Cambria Math" w:hAnsi="Cambria Math"/>
                <w:i/>
                <w:color w:val="auto"/>
              </w:rPr>
            </m:ctrlPr>
          </m:e>
        </m:nary>
      </m:oMath>
      <w:r>
        <w:rPr>
          <w:color w:val="auto"/>
        </w:rPr>
        <w:t>，</w:t>
      </w:r>
      <m:oMath>
        <m:f>
          <m:fPr>
            <m:ctrlPr>
              <w:rPr>
                <w:rFonts w:ascii="Cambria Math" w:hAnsi="Cambria Math"/>
                <w:i/>
                <w:color w:val="auto"/>
              </w:rPr>
            </m:ctrlPr>
          </m:fPr>
          <m:num>
            <m:nary>
              <m:naryPr>
                <m:chr m:val="∑"/>
                <m:limLoc m:val="subSup"/>
                <m:supHide m:val="1"/>
                <m:ctrlPr>
                  <w:rPr>
                    <w:rFonts w:ascii="Cambria Math" w:hAnsi="Cambria Math"/>
                    <w:i/>
                    <w:color w:val="auto"/>
                  </w:rPr>
                </m:ctrlPr>
              </m:naryPr>
              <m:sub>
                <m:r>
                  <m:rPr/>
                  <w:rPr>
                    <w:rFonts w:ascii="Cambria Math" w:hAnsi="Cambria Math"/>
                    <w:color w:val="auto"/>
                  </w:rPr>
                  <m:t>i∈</m:t>
                </m:r>
                <m:r>
                  <m:rPr>
                    <m:sty m:val="p"/>
                  </m:rPr>
                  <w:rPr>
                    <w:rFonts w:ascii="Cambria Math" w:hAnsi="Cambria Math"/>
                    <w:color w:val="auto"/>
                  </w:rPr>
                  <m:t>新能源项目</m:t>
                </m:r>
                <m:ctrlPr>
                  <w:rPr>
                    <w:rFonts w:ascii="Cambria Math" w:hAnsi="Cambria Math"/>
                    <w:i/>
                    <w:color w:val="auto"/>
                  </w:rPr>
                </m:ctrlPr>
              </m:sub>
              <m:sup>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P</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e>
            </m:nary>
            <m:ctrlPr>
              <w:rPr>
                <w:rFonts w:ascii="Cambria Math" w:hAnsi="Cambria Math"/>
                <w:i/>
                <w:color w:val="auto"/>
              </w:rPr>
            </m:ctrlPr>
          </m:num>
          <m:den>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P</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e>
            </m:nary>
            <m:ctrlPr>
              <w:rPr>
                <w:rFonts w:ascii="Cambria Math" w:hAnsi="Cambria Math"/>
                <w:i/>
                <w:color w:val="auto"/>
              </w:rPr>
            </m:ctrlPr>
          </m:den>
        </m:f>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P</m:t>
            </m:r>
            <m:ctrlPr>
              <w:rPr>
                <w:rFonts w:ascii="Cambria Math" w:hAnsi="Cambria Math"/>
                <w:i/>
                <w:color w:val="auto"/>
              </w:rPr>
            </m:ctrlPr>
          </m:e>
          <m:sub>
            <m:r>
              <m:rPr>
                <m:sty m:val="p"/>
              </m:rPr>
              <w:rPr>
                <w:rFonts w:ascii="Cambria Math" w:hAnsi="Cambria Math"/>
                <w:color w:val="auto"/>
              </w:rPr>
              <m:t>renewabIe,min</m:t>
            </m:r>
            <m:ctrlPr>
              <w:rPr>
                <w:rFonts w:ascii="Cambria Math" w:hAnsi="Cambria Math"/>
                <w:i/>
                <w:color w:val="auto"/>
              </w:rPr>
            </m:ctrlPr>
          </m:sub>
        </m:sSub>
      </m:oMath>
      <w:r>
        <w:rPr>
          <w:color w:val="auto"/>
        </w:rPr>
        <w:t>，</w:t>
      </w:r>
      <m:oMath>
        <m:sSub>
          <m:sSubPr>
            <m:ctrlPr>
              <w:rPr>
                <w:rFonts w:ascii="Cambria Math" w:hAnsi="Cambria Math"/>
                <w:i/>
                <w:color w:val="auto"/>
              </w:rPr>
            </m:ctrlPr>
          </m:sSubPr>
          <m:e>
            <m:r>
              <m:rPr/>
              <w:rPr>
                <w:rFonts w:ascii="Cambria Math" w:hAnsi="Cambria Math"/>
                <w:color w:val="auto"/>
              </w:rPr>
              <m:t>L</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L</m:t>
            </m:r>
            <m:ctrlPr>
              <w:rPr>
                <w:rFonts w:ascii="Cambria Math" w:hAnsi="Cambria Math"/>
                <w:i/>
                <w:color w:val="auto"/>
              </w:rPr>
            </m:ctrlPr>
          </m:e>
          <m:sub>
            <m:r>
              <m:rPr>
                <m:sty m:val="p"/>
              </m:rPr>
              <w:rPr>
                <w:rFonts w:ascii="Cambria Math" w:hAnsi="Cambria Math"/>
                <w:color w:val="auto"/>
              </w:rPr>
              <m:t>max</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 xml:space="preserve"> （5-17）</w:t>
      </w:r>
    </w:p>
    <w:p w14:paraId="6A72C067">
      <w:pPr>
        <w:tabs>
          <w:tab w:val="left" w:pos="2664"/>
        </w:tabs>
        <w:spacing w:line="400" w:lineRule="exact"/>
        <w:ind w:firstLine="480" w:firstLineChars="200"/>
        <w:rPr>
          <w:color w:val="auto"/>
        </w:rPr>
      </w:pPr>
      <w:r>
        <w:rPr>
          <w:color w:val="auto"/>
        </w:rPr>
        <w:t>政策法规约束：</w:t>
      </w:r>
    </w:p>
    <w:p w14:paraId="7A91B535">
      <w:pPr>
        <w:tabs>
          <w:tab w:val="left" w:pos="2664"/>
        </w:tabs>
        <w:spacing w:line="400" w:lineRule="exact"/>
        <w:ind w:firstLine="480" w:firstLineChars="200"/>
        <w:jc w:val="right"/>
        <w:rPr>
          <w:color w:val="auto"/>
        </w:rPr>
      </w:pPr>
      <m:oMath>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E</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E</m:t>
                </m:r>
                <m:ctrlPr>
                  <w:rPr>
                    <w:rFonts w:ascii="Cambria Math" w:hAnsi="Cambria Math"/>
                    <w:i/>
                    <w:color w:val="auto"/>
                  </w:rPr>
                </m:ctrlPr>
              </m:e>
              <m:sub>
                <m:r>
                  <m:rPr>
                    <m:sty m:val="p"/>
                  </m:rPr>
                  <w:rPr>
                    <w:rFonts w:ascii="Cambria Math" w:hAnsi="Cambria Math"/>
                    <w:color w:val="auto"/>
                  </w:rPr>
                  <m:t>max</m:t>
                </m:r>
                <m:ctrlPr>
                  <w:rPr>
                    <w:rFonts w:ascii="Cambria Math" w:hAnsi="Cambria Math"/>
                    <w:i/>
                    <w:color w:val="auto"/>
                  </w:rPr>
                </m:ctrlPr>
              </m:sub>
            </m:sSub>
            <m:ctrlPr>
              <w:rPr>
                <w:rFonts w:ascii="Cambria Math" w:hAnsi="Cambria Math"/>
                <w:i/>
                <w:color w:val="auto"/>
              </w:rPr>
            </m:ctrlPr>
          </m:e>
        </m:nary>
        <m:r>
          <m:rPr/>
          <w:rPr>
            <w:rFonts w:ascii="Cambria Math" w:hAnsi="Cambria Math"/>
            <w:color w:val="auto"/>
          </w:rPr>
          <m:t>，</m:t>
        </m:r>
        <m:f>
          <m:fPr>
            <m:ctrlPr>
              <w:rPr>
                <w:rFonts w:ascii="Cambria Math" w:hAnsi="Cambria Math"/>
                <w:i/>
                <w:color w:val="auto"/>
              </w:rPr>
            </m:ctrlPr>
          </m:fPr>
          <m:num>
            <m:nary>
              <m:naryPr>
                <m:chr m:val="∑"/>
                <m:limLoc m:val="subSup"/>
                <m:supHide m:val="1"/>
                <m:ctrlPr>
                  <w:rPr>
                    <w:rFonts w:ascii="Cambria Math" w:hAnsi="Cambria Math"/>
                    <w:i/>
                    <w:color w:val="auto"/>
                  </w:rPr>
                </m:ctrlPr>
              </m:naryPr>
              <m:sub>
                <m:r>
                  <m:rPr/>
                  <w:rPr>
                    <w:rFonts w:ascii="Cambria Math" w:hAnsi="Cambria Math"/>
                    <w:color w:val="auto"/>
                  </w:rPr>
                  <m:t>i∈</m:t>
                </m:r>
                <m:r>
                  <m:rPr>
                    <m:sty m:val="p"/>
                  </m:rPr>
                  <w:rPr>
                    <w:rFonts w:ascii="Cambria Math" w:hAnsi="Cambria Math"/>
                    <w:color w:val="auto"/>
                  </w:rPr>
                  <m:t>分布式能源项目</m:t>
                </m:r>
                <m:ctrlPr>
                  <w:rPr>
                    <w:rFonts w:ascii="Cambria Math" w:hAnsi="Cambria Math"/>
                    <w:i/>
                    <w:color w:val="auto"/>
                  </w:rPr>
                </m:ctrlPr>
              </m:sub>
              <m:sup>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e>
            </m:nary>
            <m:ctrlPr>
              <w:rPr>
                <w:rFonts w:ascii="Cambria Math" w:hAnsi="Cambria Math"/>
                <w:i/>
                <w:color w:val="auto"/>
              </w:rPr>
            </m:ctrlPr>
          </m:num>
          <m:den>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e>
            </m:nary>
            <m:ctrlPr>
              <w:rPr>
                <w:rFonts w:ascii="Cambria Math" w:hAnsi="Cambria Math"/>
                <w:i/>
                <w:color w:val="auto"/>
              </w:rPr>
            </m:ctrlPr>
          </m:den>
        </m:f>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D</m:t>
            </m:r>
            <m:ctrlPr>
              <w:rPr>
                <w:rFonts w:ascii="Cambria Math" w:hAnsi="Cambria Math"/>
                <w:i/>
                <w:color w:val="auto"/>
              </w:rPr>
            </m:ctrlPr>
          </m:e>
          <m:sub>
            <m:r>
              <m:rPr>
                <m:sty m:val="p"/>
              </m:rPr>
              <w:rPr>
                <w:rFonts w:ascii="Cambria Math" w:hAnsi="Cambria Math"/>
                <w:color w:val="auto"/>
              </w:rPr>
              <m:t>min</m:t>
            </m:r>
            <m:ctrlPr>
              <w:rPr>
                <w:rFonts w:ascii="Cambria Math" w:hAnsi="Cambria Math"/>
                <w:i/>
                <w:color w:val="auto"/>
              </w:rPr>
            </m:ctrlPr>
          </m:sub>
        </m:sSub>
      </m:oMath>
      <w:r>
        <w:rPr>
          <w:color w:val="auto"/>
        </w:rPr>
        <w:t xml:space="preserve"> （5-18）</w:t>
      </w:r>
    </w:p>
    <w:p w14:paraId="38F40DA0">
      <w:pPr>
        <w:spacing w:line="400" w:lineRule="exact"/>
        <w:ind w:firstLine="480" w:firstLineChars="200"/>
        <w:rPr>
          <w:color w:val="auto"/>
        </w:rPr>
      </w:pPr>
      <w:r>
        <w:rPr>
          <w:color w:val="auto"/>
        </w:rPr>
        <w:t>环境约束：</w:t>
      </w:r>
    </w:p>
    <w:p w14:paraId="42E19F0D">
      <w:pPr>
        <w:spacing w:line="400" w:lineRule="exact"/>
        <w:ind w:firstLine="480" w:firstLineChars="200"/>
        <w:jc w:val="right"/>
        <w:rPr>
          <w:color w:val="auto"/>
        </w:rPr>
      </w:pPr>
      <m:oMath>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A</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A</m:t>
                </m:r>
                <m:ctrlPr>
                  <w:rPr>
                    <w:rFonts w:ascii="Cambria Math" w:hAnsi="Cambria Math"/>
                    <w:i/>
                    <w:color w:val="auto"/>
                  </w:rPr>
                </m:ctrlPr>
              </m:e>
              <m:sub>
                <m:r>
                  <m:rPr>
                    <m:sty m:val="p"/>
                  </m:rPr>
                  <w:rPr>
                    <w:rFonts w:ascii="Cambria Math" w:hAnsi="Cambria Math"/>
                    <w:color w:val="auto"/>
                  </w:rPr>
                  <m:t>max</m:t>
                </m:r>
                <m:ctrlPr>
                  <w:rPr>
                    <w:rFonts w:ascii="Cambria Math" w:hAnsi="Cambria Math"/>
                    <w:i/>
                    <w:color w:val="auto"/>
                  </w:rPr>
                </m:ctrlPr>
              </m:sub>
            </m:sSub>
            <m:ctrlPr>
              <w:rPr>
                <w:rFonts w:ascii="Cambria Math" w:hAnsi="Cambria Math"/>
                <w:i/>
                <w:color w:val="auto"/>
              </w:rPr>
            </m:ctrlPr>
          </m:e>
        </m:nary>
      </m:oMath>
      <w:r>
        <w:rPr>
          <w:color w:val="auto"/>
        </w:rPr>
        <w:t>，</w:t>
      </w:r>
      <m:oMath>
        <m:sSub>
          <m:sSubPr>
            <m:ctrlPr>
              <w:rPr>
                <w:rFonts w:ascii="Cambria Math" w:hAnsi="Cambria Math"/>
                <w:i/>
                <w:color w:val="auto"/>
              </w:rPr>
            </m:ctrlPr>
          </m:sSubPr>
          <m:e>
            <m:r>
              <m:rPr/>
              <w:rPr>
                <w:rFonts w:ascii="Cambria Math" w:hAnsi="Cambria Math"/>
                <w:color w:val="auto"/>
              </w:rPr>
              <m:t>I</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Cs/>
                <w:color w:val="auto"/>
              </w:rPr>
            </m:ctrlPr>
          </m:sSubPr>
          <m:e>
            <m:r>
              <m:rPr/>
              <w:rPr>
                <w:rFonts w:ascii="Cambria Math" w:hAnsi="Cambria Math"/>
                <w:color w:val="auto"/>
              </w:rPr>
              <m:t>I</m:t>
            </m:r>
            <m:ctrlPr>
              <w:rPr>
                <w:rFonts w:ascii="Cambria Math" w:hAnsi="Cambria Math"/>
                <w:iCs/>
                <w:color w:val="auto"/>
              </w:rPr>
            </m:ctrlPr>
          </m:e>
          <m:sub>
            <m:r>
              <m:rPr>
                <m:sty m:val="p"/>
              </m:rPr>
              <w:rPr>
                <w:rFonts w:ascii="Cambria Math" w:hAnsi="Cambria Math"/>
                <w:color w:val="auto"/>
              </w:rPr>
              <m:t>threshoId</m:t>
            </m:r>
            <m:ctrlPr>
              <w:rPr>
                <w:rFonts w:ascii="Cambria Math" w:hAnsi="Cambria Math"/>
                <w:iCs/>
                <w:color w:val="auto"/>
              </w:rPr>
            </m:ctrlPr>
          </m:sub>
        </m:sSub>
        <m:r>
          <m:rPr>
            <m:sty m:val="p"/>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oMath>
      <w:r>
        <w:rPr>
          <w:color w:val="auto"/>
        </w:rPr>
        <w:t xml:space="preserve">       （5-19）</w:t>
      </w:r>
    </w:p>
    <w:p w14:paraId="6C0EA511">
      <w:pPr>
        <w:spacing w:before="156" w:beforeLines="50" w:after="156" w:afterLines="50" w:line="400" w:lineRule="exact"/>
        <w:outlineLvl w:val="2"/>
        <w:rPr>
          <w:rFonts w:eastAsia="黑体"/>
          <w:color w:val="auto"/>
          <w:sz w:val="28"/>
          <w:szCs w:val="28"/>
        </w:rPr>
      </w:pPr>
      <w:bookmarkStart w:id="164" w:name="_Toc192967138"/>
      <w:bookmarkStart w:id="165" w:name="_Toc193967377"/>
      <w:bookmarkStart w:id="166" w:name="_Toc25714"/>
      <w:r>
        <w:rPr>
          <w:rFonts w:eastAsia="黑体"/>
          <w:color w:val="auto"/>
          <w:sz w:val="28"/>
          <w:szCs w:val="28"/>
        </w:rPr>
        <w:t>5.2.3 基于LHWGWO的模型求解</w:t>
      </w:r>
      <w:bookmarkEnd w:id="164"/>
      <w:bookmarkEnd w:id="165"/>
      <w:bookmarkEnd w:id="166"/>
    </w:p>
    <w:p w14:paraId="08DF7A4F">
      <w:pPr>
        <w:spacing w:line="400" w:lineRule="exact"/>
        <w:ind w:firstLine="480" w:firstLineChars="200"/>
        <w:rPr>
          <w:color w:val="auto"/>
        </w:rPr>
      </w:pPr>
      <w:r>
        <w:rPr>
          <w:color w:val="auto"/>
        </w:rPr>
        <w:t>在</w:t>
      </w:r>
      <w:r>
        <w:rPr>
          <w:rFonts w:hint="eastAsia"/>
          <w:color w:val="auto"/>
        </w:rPr>
        <w:t>前面</w:t>
      </w:r>
      <w:r>
        <w:rPr>
          <w:color w:val="auto"/>
        </w:rPr>
        <w:t>已构建了投资能力测算模型和约束条件并在此基础上，阐述基于增广Lagrange乘子法的混合灰狼优化算法（LHWGWO）在电网项目智能投资决策优化中的具体求解过程。</w:t>
      </w:r>
    </w:p>
    <w:p w14:paraId="0063E95E">
      <w:pPr>
        <w:spacing w:line="400" w:lineRule="exact"/>
        <w:ind w:firstLine="480" w:firstLineChars="200"/>
        <w:rPr>
          <w:color w:val="auto"/>
        </w:rPr>
      </w:pPr>
      <w:r>
        <w:rPr>
          <w:color w:val="auto"/>
        </w:rPr>
        <w:t>（1）模型求解框架</w:t>
      </w:r>
    </w:p>
    <w:p w14:paraId="13FC6543">
      <w:pPr>
        <w:spacing w:line="400" w:lineRule="exact"/>
        <w:ind w:firstLine="480" w:firstLineChars="200"/>
        <w:rPr>
          <w:color w:val="auto"/>
        </w:rPr>
      </w:pPr>
      <w:r>
        <w:rPr>
          <w:color w:val="auto"/>
        </w:rPr>
        <w:t>基于LHWGWO的模型求解框架可以分为七个步骤：</w:t>
      </w:r>
    </w:p>
    <w:p w14:paraId="54C571F7">
      <w:pPr>
        <w:spacing w:line="400" w:lineRule="exact"/>
        <w:ind w:firstLine="480" w:firstLineChars="200"/>
        <w:rPr>
          <w:color w:val="auto"/>
        </w:rPr>
      </w:pPr>
      <w:r>
        <w:rPr>
          <w:color w:val="auto"/>
        </w:rPr>
        <w:t>1）初始化参数</w:t>
      </w:r>
    </w:p>
    <w:p w14:paraId="35B1E289">
      <w:pPr>
        <w:spacing w:line="400" w:lineRule="exact"/>
        <w:ind w:firstLine="480" w:firstLineChars="200"/>
        <w:rPr>
          <w:color w:val="auto"/>
        </w:rPr>
      </w:pPr>
      <w:r>
        <w:rPr>
          <w:color w:val="auto"/>
        </w:rPr>
        <w:t>初始化优化变量</w:t>
      </w:r>
      <w:r>
        <w:rPr>
          <w:i/>
          <w:iCs/>
          <w:color w:val="auto"/>
        </w:rPr>
        <w:t>x</w:t>
      </w:r>
      <w:r>
        <w:rPr>
          <w:color w:val="auto"/>
        </w:rPr>
        <w:t>（即各项目的投资比例或金额）。</w:t>
      </w:r>
    </w:p>
    <w:p w14:paraId="044C6A9B">
      <w:pPr>
        <w:spacing w:line="400" w:lineRule="exact"/>
        <w:ind w:firstLine="480" w:firstLineChars="200"/>
        <w:rPr>
          <w:color w:val="auto"/>
        </w:rPr>
      </w:pPr>
      <w:r>
        <w:rPr>
          <w:color w:val="auto"/>
        </w:rPr>
        <w:t>设置初始的Lagrange乘子</w:t>
      </w:r>
      <w:r>
        <w:rPr>
          <w:i/>
          <w:iCs/>
          <w:color w:val="auto"/>
        </w:rPr>
        <w:t>λ</w:t>
      </w:r>
      <w:r>
        <w:rPr>
          <w:color w:val="auto"/>
        </w:rPr>
        <w:t>和惩罚参数</w:t>
      </w:r>
      <w:r>
        <w:rPr>
          <w:i/>
          <w:iCs/>
          <w:color w:val="auto"/>
        </w:rPr>
        <w:t>ρ</w:t>
      </w:r>
      <w:r>
        <w:rPr>
          <w:color w:val="auto"/>
        </w:rPr>
        <w:t>。</w:t>
      </w:r>
    </w:p>
    <w:p w14:paraId="02A25EB4">
      <w:pPr>
        <w:spacing w:line="400" w:lineRule="exact"/>
        <w:ind w:firstLine="480" w:firstLineChars="200"/>
        <w:rPr>
          <w:color w:val="auto"/>
        </w:rPr>
      </w:pPr>
      <w:r>
        <w:rPr>
          <w:color w:val="auto"/>
        </w:rPr>
        <w:t>定义收敛条件：例如目标函数值的变化量小于阈值</w:t>
      </w:r>
      <w:r>
        <w:rPr>
          <w:i/>
          <w:iCs/>
          <w:color w:val="auto"/>
        </w:rPr>
        <w:t>ϵ</w:t>
      </w:r>
      <w:r>
        <w:rPr>
          <w:color w:val="auto"/>
        </w:rPr>
        <w:t>，或约束违反程度低于某个容忍度。</w:t>
      </w:r>
    </w:p>
    <w:p w14:paraId="2A17E12E">
      <w:pPr>
        <w:spacing w:line="400" w:lineRule="exact"/>
        <w:ind w:firstLine="480" w:firstLineChars="200"/>
        <w:rPr>
          <w:color w:val="auto"/>
        </w:rPr>
      </w:pPr>
      <w:r>
        <w:rPr>
          <w:color w:val="auto"/>
        </w:rPr>
        <w:t>2）构造增广Lagrange函数</w:t>
      </w:r>
    </w:p>
    <w:p w14:paraId="7126679E">
      <w:pPr>
        <w:spacing w:line="400" w:lineRule="exact"/>
        <w:ind w:firstLine="480" w:firstLineChars="200"/>
        <w:rPr>
          <w:color w:val="auto"/>
        </w:rPr>
      </w:pPr>
      <w:r>
        <w:rPr>
          <w:color w:val="auto"/>
        </w:rPr>
        <w:t>根据电网投资决策优化问题的具体约束条件（可见公式5-16至8-19），构造增广Lagrange函数：</w:t>
      </w:r>
    </w:p>
    <w:p w14:paraId="69621B4C">
      <w:pPr>
        <w:spacing w:line="400" w:lineRule="exact"/>
        <w:ind w:firstLine="480" w:firstLineChars="200"/>
        <w:rPr>
          <w:color w:val="auto"/>
        </w:rPr>
      </w:pPr>
      <m:oMathPara>
        <m:oMath>
          <m:r>
            <m:rPr/>
            <w:rPr>
              <w:rFonts w:ascii="Cambria Math" w:hAnsi="Cambria Math"/>
              <w:color w:val="auto"/>
            </w:rPr>
            <m:t>L(x,λ,ρ)=f(x)+</m:t>
          </m:r>
          <m:nary>
            <m:naryPr>
              <m:chr m:val="∑"/>
              <m:limLoc m:val="undOvr"/>
              <m:ctrlPr>
                <w:rPr>
                  <w:rFonts w:ascii="Cambria Math" w:hAnsi="Cambria Math"/>
                  <w:i/>
                  <w:iCs/>
                  <w:color w:val="auto"/>
                </w:rPr>
              </m:ctrlPr>
            </m:naryPr>
            <m:sub>
              <m:r>
                <m:rPr/>
                <w:rPr>
                  <w:rFonts w:ascii="Cambria Math" w:hAnsi="Cambria Math"/>
                  <w:color w:val="auto"/>
                </w:rPr>
                <m:t>j=1</m:t>
              </m:r>
              <m:ctrlPr>
                <w:rPr>
                  <w:rFonts w:ascii="Cambria Math" w:hAnsi="Cambria Math"/>
                  <w:i/>
                  <w:iCs/>
                  <w:color w:val="auto"/>
                </w:rPr>
              </m:ctrlPr>
            </m:sub>
            <m:sup>
              <m:r>
                <m:rPr/>
                <w:rPr>
                  <w:rFonts w:ascii="Cambria Math" w:hAnsi="Cambria Math"/>
                  <w:color w:val="auto"/>
                </w:rPr>
                <m:t>m</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λ</m:t>
                  </m:r>
                  <m:ctrlPr>
                    <w:rPr>
                      <w:rFonts w:ascii="Cambria Math" w:hAnsi="Cambria Math"/>
                      <w:i/>
                      <w:iCs/>
                      <w:color w:val="auto"/>
                    </w:rPr>
                  </m:ctrlPr>
                </m:e>
                <m:sub>
                  <m:r>
                    <m:rPr/>
                    <w:rPr>
                      <w:rFonts w:ascii="Cambria Math" w:hAnsi="Cambria Math"/>
                      <w:color w:val="auto"/>
                    </w:rPr>
                    <m:t>j</m:t>
                  </m:r>
                  <m:ctrlPr>
                    <w:rPr>
                      <w:rFonts w:ascii="Cambria Math" w:hAnsi="Cambria Math"/>
                      <w:i/>
                      <w:iCs/>
                      <w:color w:val="auto"/>
                    </w:rPr>
                  </m:ctrlPr>
                </m:sub>
              </m:sSub>
              <m:sSub>
                <m:sSubPr>
                  <m:ctrlPr>
                    <w:rPr>
                      <w:rFonts w:ascii="Cambria Math" w:hAnsi="Cambria Math"/>
                      <w:i/>
                      <w:iCs/>
                      <w:color w:val="auto"/>
                    </w:rPr>
                  </m:ctrlPr>
                </m:sSubPr>
                <m:e>
                  <m:r>
                    <m:rPr/>
                    <w:rPr>
                      <w:rFonts w:ascii="Cambria Math" w:hAnsi="Cambria Math"/>
                      <w:color w:val="auto"/>
                    </w:rPr>
                    <m:t>g</m:t>
                  </m:r>
                  <m:ctrlPr>
                    <w:rPr>
                      <w:rFonts w:ascii="Cambria Math" w:hAnsi="Cambria Math"/>
                      <w:i/>
                      <w:iCs/>
                      <w:color w:val="auto"/>
                    </w:rPr>
                  </m:ctrlPr>
                </m:e>
                <m:sub>
                  <m:r>
                    <m:rPr/>
                    <w:rPr>
                      <w:rFonts w:ascii="Cambria Math" w:hAnsi="Cambria Math"/>
                      <w:color w:val="auto"/>
                    </w:rPr>
                    <m:t>j</m:t>
                  </m:r>
                  <m:ctrlPr>
                    <w:rPr>
                      <w:rFonts w:ascii="Cambria Math" w:hAnsi="Cambria Math"/>
                      <w:i/>
                      <w:iCs/>
                      <w:color w:val="auto"/>
                    </w:rPr>
                  </m:ctrlPr>
                </m:sub>
              </m:sSub>
              <m:r>
                <m:rPr/>
                <w:rPr>
                  <w:rFonts w:ascii="Cambria Math" w:hAnsi="Cambria Math"/>
                  <w:color w:val="auto"/>
                </w:rPr>
                <m:t>(x)+</m:t>
              </m:r>
              <m:f>
                <m:fPr>
                  <m:ctrlPr>
                    <w:rPr>
                      <w:rFonts w:ascii="Cambria Math" w:hAnsi="Cambria Math"/>
                      <w:i/>
                      <w:iCs/>
                      <w:color w:val="auto"/>
                    </w:rPr>
                  </m:ctrlPr>
                </m:fPr>
                <m:num>
                  <m:r>
                    <m:rPr/>
                    <w:rPr>
                      <w:rFonts w:ascii="Cambria Math" w:hAnsi="Cambria Math"/>
                      <w:color w:val="auto"/>
                    </w:rPr>
                    <m:t>ρ</m:t>
                  </m:r>
                  <m:ctrlPr>
                    <w:rPr>
                      <w:rFonts w:ascii="Cambria Math" w:hAnsi="Cambria Math"/>
                      <w:i/>
                      <w:iCs/>
                      <w:color w:val="auto"/>
                    </w:rPr>
                  </m:ctrlPr>
                </m:num>
                <m:den>
                  <m:r>
                    <m:rPr/>
                    <w:rPr>
                      <w:rFonts w:ascii="Cambria Math" w:hAnsi="Cambria Math"/>
                      <w:color w:val="auto"/>
                    </w:rPr>
                    <m:t>2</m:t>
                  </m:r>
                  <m:ctrlPr>
                    <w:rPr>
                      <w:rFonts w:ascii="Cambria Math" w:hAnsi="Cambria Math"/>
                      <w:i/>
                      <w:iCs/>
                      <w:color w:val="auto"/>
                    </w:rPr>
                  </m:ctrlPr>
                </m:den>
              </m:f>
              <m:ctrlPr>
                <w:rPr>
                  <w:rFonts w:ascii="Cambria Math" w:hAnsi="Cambria Math"/>
                  <w:i/>
                  <w:iCs/>
                  <w:color w:val="auto"/>
                </w:rPr>
              </m:ctrlPr>
            </m:e>
          </m:nary>
          <m:nary>
            <m:naryPr>
              <m:chr m:val="∑"/>
              <m:limLoc m:val="undOvr"/>
              <m:ctrlPr>
                <w:rPr>
                  <w:rFonts w:ascii="Cambria Math" w:hAnsi="Cambria Math"/>
                  <w:i/>
                  <w:iCs/>
                  <w:color w:val="auto"/>
                </w:rPr>
              </m:ctrlPr>
            </m:naryPr>
            <m:sub>
              <m:r>
                <m:rPr/>
                <w:rPr>
                  <w:rFonts w:ascii="Cambria Math" w:hAnsi="Cambria Math"/>
                  <w:color w:val="auto"/>
                </w:rPr>
                <m:t>j=1</m:t>
              </m:r>
              <m:ctrlPr>
                <w:rPr>
                  <w:rFonts w:ascii="Cambria Math" w:hAnsi="Cambria Math"/>
                  <w:i/>
                  <w:iCs/>
                  <w:color w:val="auto"/>
                </w:rPr>
              </m:ctrlPr>
            </m:sub>
            <m:sup>
              <m:r>
                <m:rPr/>
                <w:rPr>
                  <w:rFonts w:ascii="Cambria Math" w:hAnsi="Cambria Math"/>
                  <w:color w:val="auto"/>
                </w:rPr>
                <m:t>m</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[g</m:t>
                  </m:r>
                  <m:ctrlPr>
                    <w:rPr>
                      <w:rFonts w:ascii="Cambria Math" w:hAnsi="Cambria Math"/>
                      <w:i/>
                      <w:iCs/>
                      <w:color w:val="auto"/>
                    </w:rPr>
                  </m:ctrlPr>
                </m:e>
                <m:sub>
                  <m:r>
                    <m:rPr/>
                    <w:rPr>
                      <w:rFonts w:ascii="Cambria Math" w:hAnsi="Cambria Math"/>
                      <w:color w:val="auto"/>
                    </w:rPr>
                    <m:t>j</m:t>
                  </m:r>
                  <m:ctrlPr>
                    <w:rPr>
                      <w:rFonts w:ascii="Cambria Math" w:hAnsi="Cambria Math"/>
                      <w:i/>
                      <w:iCs/>
                      <w:color w:val="auto"/>
                    </w:rPr>
                  </m:ctrlPr>
                </m:sub>
              </m:sSub>
              <m:r>
                <m:rPr/>
                <w:rPr>
                  <w:rFonts w:ascii="Cambria Math" w:hAnsi="Cambria Math"/>
                  <w:color w:val="auto"/>
                </w:rPr>
                <m:t>(x</m:t>
              </m:r>
              <m:sSup>
                <m:sSupPr>
                  <m:ctrlPr>
                    <w:rPr>
                      <w:rFonts w:ascii="Cambria Math" w:hAnsi="Cambria Math"/>
                      <w:i/>
                      <w:color w:val="auto"/>
                    </w:rPr>
                  </m:ctrlPr>
                </m:sSupPr>
                <m:e>
                  <m:r>
                    <m:rPr/>
                    <w:rPr>
                      <w:rFonts w:ascii="Cambria Math" w:hAnsi="Cambria Math"/>
                      <w:color w:val="auto"/>
                    </w:rPr>
                    <m:t>)]</m:t>
                  </m:r>
                  <m:ctrlPr>
                    <w:rPr>
                      <w:rFonts w:ascii="Cambria Math" w:hAnsi="Cambria Math"/>
                      <w:i/>
                      <w:color w:val="auto"/>
                    </w:rPr>
                  </m:ctrlPr>
                </m:e>
                <m:sup>
                  <m:r>
                    <m:rPr/>
                    <w:rPr>
                      <w:rFonts w:ascii="Cambria Math" w:hAnsi="Cambria Math"/>
                      <w:color w:val="auto"/>
                    </w:rPr>
                    <m:t>2</m:t>
                  </m:r>
                  <m:ctrlPr>
                    <w:rPr>
                      <w:rFonts w:ascii="Cambria Math" w:hAnsi="Cambria Math"/>
                      <w:i/>
                      <w:color w:val="auto"/>
                    </w:rPr>
                  </m:ctrlPr>
                </m:sup>
              </m:sSup>
              <m:ctrlPr>
                <w:rPr>
                  <w:rFonts w:ascii="Cambria Math" w:hAnsi="Cambria Math"/>
                  <w:i/>
                  <w:iCs/>
                  <w:color w:val="auto"/>
                </w:rPr>
              </m:ctrlPr>
            </m:e>
          </m:nary>
        </m:oMath>
      </m:oMathPara>
    </w:p>
    <w:p w14:paraId="73BE1909">
      <w:pPr>
        <w:spacing w:line="400" w:lineRule="exact"/>
        <w:ind w:firstLine="480" w:firstLineChars="200"/>
        <w:rPr>
          <w:color w:val="auto"/>
        </w:rPr>
      </w:pPr>
      <w:r>
        <w:rPr>
          <w:color w:val="auto"/>
        </w:rPr>
        <w:t>其中，</w:t>
      </w:r>
      <m:oMath>
        <m:r>
          <m:rPr/>
          <w:rPr>
            <w:rFonts w:ascii="Cambria Math" w:hAnsi="Cambria Math"/>
            <w:color w:val="auto"/>
          </w:rPr>
          <m:t>f(x)</m:t>
        </m:r>
      </m:oMath>
      <w:r>
        <w:rPr>
          <w:color w:val="auto"/>
        </w:rPr>
        <w:t>是目标函数（如最大化投资收益或最小化投资成本），</w:t>
      </w:r>
      <m:oMath>
        <m:sSub>
          <m:sSubPr>
            <m:ctrlPr>
              <w:rPr>
                <w:rFonts w:ascii="Cambria Math" w:hAnsi="Cambria Math"/>
                <w:i/>
                <w:iCs/>
                <w:color w:val="auto"/>
              </w:rPr>
            </m:ctrlPr>
          </m:sSubPr>
          <m:e>
            <m:r>
              <m:rPr/>
              <w:rPr>
                <w:rFonts w:ascii="Cambria Math" w:hAnsi="Cambria Math"/>
                <w:color w:val="auto"/>
              </w:rPr>
              <m:t>g</m:t>
            </m:r>
            <m:ctrlPr>
              <w:rPr>
                <w:rFonts w:ascii="Cambria Math" w:hAnsi="Cambria Math"/>
                <w:i/>
                <w:iCs/>
                <w:color w:val="auto"/>
              </w:rPr>
            </m:ctrlPr>
          </m:e>
          <m:sub>
            <m:r>
              <m:rPr/>
              <w:rPr>
                <w:rFonts w:ascii="Cambria Math" w:hAnsi="Cambria Math"/>
                <w:color w:val="auto"/>
              </w:rPr>
              <m:t>j</m:t>
            </m:r>
            <m:ctrlPr>
              <w:rPr>
                <w:rFonts w:ascii="Cambria Math" w:hAnsi="Cambria Math"/>
                <w:i/>
                <w:iCs/>
                <w:color w:val="auto"/>
              </w:rPr>
            </m:ctrlPr>
          </m:sub>
        </m:sSub>
        <m:r>
          <m:rPr/>
          <w:rPr>
            <w:rFonts w:ascii="Cambria Math" w:hAnsi="Cambria Math"/>
            <w:color w:val="auto"/>
          </w:rPr>
          <m:t>(x)</m:t>
        </m:r>
      </m:oMath>
      <w:r>
        <w:rPr>
          <w:color w:val="auto"/>
        </w:rPr>
        <w:t xml:space="preserve"> 表示第 </w:t>
      </w:r>
      <w:r>
        <w:rPr>
          <w:i/>
          <w:iCs/>
          <w:color w:val="auto"/>
        </w:rPr>
        <w:t>j</w:t>
      </w:r>
      <w:r>
        <w:rPr>
          <w:color w:val="auto"/>
        </w:rPr>
        <w:t>个约束条件。</w:t>
      </w:r>
    </w:p>
    <w:p w14:paraId="5ED353B9">
      <w:pPr>
        <w:tabs>
          <w:tab w:val="left" w:pos="356"/>
        </w:tabs>
        <w:spacing w:line="400" w:lineRule="exact"/>
        <w:ind w:firstLine="480" w:firstLineChars="200"/>
        <w:rPr>
          <w:color w:val="auto"/>
        </w:rPr>
      </w:pPr>
      <w:r>
        <w:rPr>
          <w:color w:val="auto"/>
        </w:rPr>
        <w:t>3）更新优化变量</w:t>
      </w:r>
      <w:r>
        <w:rPr>
          <w:i/>
          <w:iCs/>
          <w:color w:val="auto"/>
        </w:rPr>
        <w:t xml:space="preserve">x </w:t>
      </w:r>
    </w:p>
    <w:p w14:paraId="6C3FB7F2">
      <w:pPr>
        <w:spacing w:line="400" w:lineRule="exact"/>
        <w:ind w:firstLine="480" w:firstLineChars="200"/>
        <w:rPr>
          <w:color w:val="auto"/>
        </w:rPr>
      </w:pPr>
      <w:r>
        <w:rPr>
          <w:color w:val="auto"/>
        </w:rPr>
        <w:t>固定当前的</w:t>
      </w:r>
      <w:r>
        <w:rPr>
          <w:i/>
          <w:iCs/>
          <w:color w:val="auto"/>
        </w:rPr>
        <w:t>λ</w:t>
      </w:r>
      <w:r>
        <w:rPr>
          <w:color w:val="auto"/>
        </w:rPr>
        <w:t>和</w:t>
      </w:r>
      <w:r>
        <w:rPr>
          <w:i/>
          <w:iCs/>
          <w:color w:val="auto"/>
        </w:rPr>
        <w:t>ρ</w:t>
      </w:r>
      <w:r>
        <w:rPr>
          <w:color w:val="auto"/>
        </w:rPr>
        <w:t>，通过灰狼优化算法（GWO）对增广Lagrange函数进行全局搜索，寻找最优解</w:t>
      </w:r>
      <w:r>
        <w:rPr>
          <w:i/>
          <w:iCs/>
          <w:color w:val="auto"/>
        </w:rPr>
        <w:t>x</w:t>
      </w:r>
      <w:r>
        <w:rPr>
          <w:color w:val="auto"/>
        </w:rPr>
        <w:t>。GWO算法的核心思想是模拟灰狼群体的捕猎行为，利用</w:t>
      </w:r>
      <w:r>
        <w:rPr>
          <w:i/>
          <w:iCs/>
          <w:color w:val="auto"/>
        </w:rPr>
        <w:t>α、β</w:t>
      </w:r>
      <w:r>
        <w:rPr>
          <w:color w:val="auto"/>
        </w:rPr>
        <w:t>和</w:t>
      </w:r>
      <w:r>
        <w:rPr>
          <w:i/>
          <w:iCs/>
          <w:color w:val="auto"/>
        </w:rPr>
        <w:t>δ</w:t>
      </w:r>
      <w:r>
        <w:rPr>
          <w:color w:val="auto"/>
        </w:rPr>
        <w:t>三头领导狼的位置信息引导种群向最优解逼近。</w:t>
      </w:r>
    </w:p>
    <w:p w14:paraId="6380B3A7">
      <w:pPr>
        <w:spacing w:line="400" w:lineRule="exact"/>
        <w:ind w:firstLine="480" w:firstLineChars="200"/>
        <w:rPr>
          <w:i/>
          <w:iCs/>
          <w:color w:val="auto"/>
        </w:rPr>
      </w:pPr>
      <w:r>
        <w:rPr>
          <w:color w:val="auto"/>
        </w:rPr>
        <w:t>4）更新Lagrange乘子</w:t>
      </w:r>
      <w:r>
        <w:rPr>
          <w:i/>
          <w:iCs/>
          <w:color w:val="auto"/>
        </w:rPr>
        <w:t>λ</w:t>
      </w:r>
    </w:p>
    <w:p w14:paraId="5B78E781">
      <w:pPr>
        <w:spacing w:line="400" w:lineRule="exact"/>
        <w:ind w:firstLine="480" w:firstLineChars="200"/>
        <w:rPr>
          <w:color w:val="auto"/>
        </w:rPr>
      </w:pPr>
      <w:r>
        <w:rPr>
          <w:color w:val="auto"/>
        </w:rPr>
        <w:t>根据当前约束值</w:t>
      </w:r>
      <m:oMath>
        <m:sSub>
          <m:sSubPr>
            <m:ctrlPr>
              <w:rPr>
                <w:rFonts w:ascii="Cambria Math" w:hAnsi="Cambria Math"/>
                <w:i/>
                <w:iCs/>
                <w:color w:val="auto"/>
              </w:rPr>
            </m:ctrlPr>
          </m:sSubPr>
          <m:e>
            <m:r>
              <m:rPr/>
              <w:rPr>
                <w:rFonts w:ascii="Cambria Math" w:hAnsi="Cambria Math"/>
                <w:color w:val="auto"/>
              </w:rPr>
              <m:t>g</m:t>
            </m:r>
            <m:ctrlPr>
              <w:rPr>
                <w:rFonts w:ascii="Cambria Math" w:hAnsi="Cambria Math"/>
                <w:i/>
                <w:iCs/>
                <w:color w:val="auto"/>
              </w:rPr>
            </m:ctrlPr>
          </m:e>
          <m:sub>
            <m:r>
              <m:rPr/>
              <w:rPr>
                <w:rFonts w:ascii="Cambria Math" w:hAnsi="Cambria Math"/>
                <w:color w:val="auto"/>
              </w:rPr>
              <m:t>j</m:t>
            </m:r>
            <m:ctrlPr>
              <w:rPr>
                <w:rFonts w:ascii="Cambria Math" w:hAnsi="Cambria Math"/>
                <w:i/>
                <w:iCs/>
                <w:color w:val="auto"/>
              </w:rPr>
            </m:ctrlPr>
          </m:sub>
        </m:sSub>
        <m:r>
          <m:rPr/>
          <w:rPr>
            <w:rFonts w:ascii="Cambria Math" w:hAnsi="Cambria Math"/>
            <w:color w:val="auto"/>
          </w:rPr>
          <m:t>(x)</m:t>
        </m:r>
      </m:oMath>
      <w:r>
        <w:rPr>
          <w:color w:val="auto"/>
        </w:rPr>
        <w:t xml:space="preserve"> ，更新Lagrange乘子</w:t>
      </w:r>
      <w:r>
        <w:rPr>
          <w:i/>
          <w:iCs/>
          <w:color w:val="auto"/>
        </w:rPr>
        <w:t>λ</w:t>
      </w:r>
      <w:r>
        <w:rPr>
          <w:color w:val="auto"/>
        </w:rPr>
        <w:t>：</w:t>
      </w:r>
    </w:p>
    <w:p w14:paraId="485637E6">
      <w:pPr>
        <w:tabs>
          <w:tab w:val="left" w:pos="2387"/>
        </w:tabs>
        <w:spacing w:line="400" w:lineRule="exact"/>
        <w:ind w:firstLine="480" w:firstLineChars="200"/>
        <w:rPr>
          <w:color w:val="auto"/>
        </w:rPr>
      </w:pPr>
      <w:r>
        <w:rPr>
          <w:color w:val="auto"/>
        </w:rPr>
        <w:tab/>
      </w:r>
      <m:oMath>
        <m:sSub>
          <m:sSubPr>
            <m:ctrlPr>
              <w:rPr>
                <w:rFonts w:ascii="Cambria Math" w:hAnsi="Cambria Math"/>
                <w:i/>
                <w:color w:val="auto"/>
              </w:rPr>
            </m:ctrlPr>
          </m:sSubPr>
          <m:e>
            <m:r>
              <m:rPr/>
              <w:rPr>
                <w:rFonts w:ascii="Cambria Math" w:hAnsi="Cambria Math"/>
                <w:color w:val="auto"/>
              </w:rPr>
              <m:t>λ</m:t>
            </m:r>
            <m:ctrlPr>
              <w:rPr>
                <w:rFonts w:ascii="Cambria Math" w:hAnsi="Cambria Math"/>
                <w:i/>
                <w:color w:val="auto"/>
              </w:rPr>
            </m:ctrlPr>
          </m:e>
          <m:sub>
            <m:r>
              <m:rPr/>
              <w:rPr>
                <w:rFonts w:ascii="Cambria Math" w:hAnsi="Cambria Math"/>
                <w:color w:val="auto"/>
              </w:rPr>
              <m:t>j</m:t>
            </m:r>
            <m:ctrlPr>
              <w:rPr>
                <w:rFonts w:ascii="Cambria Math" w:hAnsi="Cambria Math"/>
                <w:i/>
                <w:color w:val="auto"/>
              </w:rPr>
            </m:ctrlPr>
          </m:sub>
        </m:sSub>
        <m:r>
          <m:rPr/>
          <w:rPr>
            <w:rFonts w:ascii="Cambria Math" w:hAnsi="Cambria Math"/>
            <w:color w:val="auto"/>
          </w:rPr>
          <m:t>=</m:t>
        </m:r>
        <m:r>
          <m:rPr>
            <m:sty m:val="p"/>
          </m:rPr>
          <w:rPr>
            <w:rFonts w:ascii="Cambria Math" w:hAnsi="Cambria Math"/>
            <w:color w:val="auto"/>
          </w:rPr>
          <m:t>max(0,</m:t>
        </m:r>
        <m:sSub>
          <m:sSubPr>
            <m:ctrlPr>
              <w:rPr>
                <w:rFonts w:ascii="Cambria Math" w:hAnsi="Cambria Math"/>
                <w:i/>
                <w:color w:val="auto"/>
              </w:rPr>
            </m:ctrlPr>
          </m:sSubPr>
          <m:e>
            <m:r>
              <m:rPr/>
              <w:rPr>
                <w:rFonts w:ascii="Cambria Math" w:hAnsi="Cambria Math"/>
                <w:color w:val="auto"/>
              </w:rPr>
              <m:t>λ</m:t>
            </m:r>
            <m:ctrlPr>
              <w:rPr>
                <w:rFonts w:ascii="Cambria Math" w:hAnsi="Cambria Math"/>
                <w:i/>
                <w:color w:val="auto"/>
              </w:rPr>
            </m:ctrlPr>
          </m:e>
          <m:sub>
            <m:r>
              <m:rPr/>
              <w:rPr>
                <w:rFonts w:ascii="Cambria Math" w:hAnsi="Cambria Math"/>
                <w:color w:val="auto"/>
              </w:rPr>
              <m:t>j</m:t>
            </m:r>
            <m:ctrlPr>
              <w:rPr>
                <w:rFonts w:ascii="Cambria Math" w:hAnsi="Cambria Math"/>
                <w:i/>
                <w:color w:val="auto"/>
              </w:rPr>
            </m:ctrlPr>
          </m:sub>
        </m:sSub>
        <m:r>
          <m:rPr>
            <m:sty m:val="p"/>
          </m:rPr>
          <w:rPr>
            <w:rFonts w:ascii="Cambria Math" w:hAnsi="Cambria Math"/>
            <w:color w:val="auto"/>
          </w:rPr>
          <m:t>+ρ∙</m:t>
        </m:r>
        <m:r>
          <m:rPr/>
          <w:rPr>
            <w:rFonts w:ascii="Cambria Math" w:hAnsi="Cambria Math"/>
            <w:color w:val="auto"/>
          </w:rPr>
          <m:t>gj(x))</m:t>
        </m:r>
      </m:oMath>
    </w:p>
    <w:p w14:paraId="2EAB4BF2">
      <w:pPr>
        <w:spacing w:line="400" w:lineRule="exact"/>
        <w:ind w:firstLine="480" w:firstLineChars="200"/>
        <w:rPr>
          <w:color w:val="auto"/>
        </w:rPr>
      </w:pPr>
      <w:r>
        <w:rPr>
          <w:color w:val="auto"/>
        </w:rPr>
        <w:t>对于不等式约束，确保</w:t>
      </w:r>
      <m:oMath>
        <m:sSub>
          <m:sSubPr>
            <m:ctrlPr>
              <w:rPr>
                <w:rFonts w:ascii="Cambria Math" w:hAnsi="Cambria Math"/>
                <w:i/>
                <w:color w:val="auto"/>
              </w:rPr>
            </m:ctrlPr>
          </m:sSubPr>
          <m:e>
            <m:r>
              <m:rPr/>
              <w:rPr>
                <w:rFonts w:ascii="Cambria Math" w:hAnsi="Cambria Math"/>
                <w:color w:val="auto"/>
              </w:rPr>
              <m:t>λ</m:t>
            </m:r>
            <m:ctrlPr>
              <w:rPr>
                <w:rFonts w:ascii="Cambria Math" w:hAnsi="Cambria Math"/>
                <w:i/>
                <w:color w:val="auto"/>
              </w:rPr>
            </m:ctrlPr>
          </m:e>
          <m:sub>
            <m:r>
              <m:rPr/>
              <w:rPr>
                <w:rFonts w:ascii="Cambria Math" w:hAnsi="Cambria Math"/>
                <w:color w:val="auto"/>
              </w:rPr>
              <m:t>j</m:t>
            </m:r>
            <m:ctrlPr>
              <w:rPr>
                <w:rFonts w:ascii="Cambria Math" w:hAnsi="Cambria Math"/>
                <w:i/>
                <w:color w:val="auto"/>
              </w:rPr>
            </m:ctrlPr>
          </m:sub>
        </m:sSub>
        <m:r>
          <m:rPr/>
          <w:rPr>
            <w:rFonts w:ascii="Cambria Math" w:hAnsi="Cambria Math"/>
            <w:color w:val="auto"/>
          </w:rPr>
          <m:t>≥0</m:t>
        </m:r>
      </m:oMath>
      <w:r>
        <w:rPr>
          <w:color w:val="auto"/>
        </w:rPr>
        <w:t xml:space="preserve">。 </w:t>
      </w:r>
    </w:p>
    <w:p w14:paraId="7C8D5123">
      <w:pPr>
        <w:spacing w:line="400" w:lineRule="exact"/>
        <w:ind w:firstLine="480" w:firstLineChars="200"/>
        <w:rPr>
          <w:color w:val="auto"/>
        </w:rPr>
      </w:pPr>
      <w:r>
        <w:rPr>
          <w:color w:val="auto"/>
        </w:rPr>
        <w:t>5）检查收敛条件</w:t>
      </w:r>
    </w:p>
    <w:p w14:paraId="546E9DD4">
      <w:pPr>
        <w:spacing w:line="400" w:lineRule="exact"/>
        <w:ind w:firstLine="480" w:firstLineChars="200"/>
        <w:rPr>
          <w:color w:val="auto"/>
        </w:rPr>
      </w:pPr>
      <w:r>
        <w:rPr>
          <w:color w:val="auto"/>
        </w:rPr>
        <w:t>判断是否满足收敛条件，例如目标函数值的变化量或约束违反程度是否小于阈值</w:t>
      </w:r>
      <w:r>
        <w:rPr>
          <w:i/>
          <w:iCs/>
          <w:color w:val="auto"/>
        </w:rPr>
        <w:t>ϵ</w:t>
      </w:r>
      <w:r>
        <w:rPr>
          <w:color w:val="auto"/>
        </w:rPr>
        <w:t>。如果满足，则停止迭代并输出结果，否则继续下一步。</w:t>
      </w:r>
    </w:p>
    <w:p w14:paraId="32A9C06F">
      <w:pPr>
        <w:spacing w:line="400" w:lineRule="exact"/>
        <w:ind w:firstLine="480" w:firstLineChars="200"/>
        <w:rPr>
          <w:i/>
          <w:iCs/>
          <w:color w:val="auto"/>
        </w:rPr>
      </w:pPr>
      <w:r>
        <w:rPr>
          <w:color w:val="auto"/>
        </w:rPr>
        <w:t>6）调整惩罚参数</w:t>
      </w:r>
      <w:r>
        <w:rPr>
          <w:i/>
          <w:iCs/>
          <w:color w:val="auto"/>
        </w:rPr>
        <w:t>ρ</w:t>
      </w:r>
    </w:p>
    <w:p w14:paraId="354823D0">
      <w:pPr>
        <w:spacing w:line="400" w:lineRule="exact"/>
        <w:ind w:firstLine="420"/>
        <w:rPr>
          <w:color w:val="auto"/>
        </w:rPr>
      </w:pPr>
      <w:r>
        <w:rPr>
          <w:color w:val="auto"/>
        </w:rPr>
        <w:t>如果约束违反程度较大（即</w:t>
      </w:r>
      <m:oMath>
        <m:d>
          <m:dPr>
            <m:begChr m:val="|"/>
            <m:endChr m:val="|"/>
            <m:ctrlPr>
              <w:rPr>
                <w:rFonts w:ascii="Cambria Math" w:hAnsi="Cambria Math"/>
                <w:i/>
                <w:iCs/>
                <w:color w:val="auto"/>
              </w:rPr>
            </m:ctrlPr>
          </m:dPr>
          <m:e>
            <m:sSub>
              <m:sSubPr>
                <m:ctrlPr>
                  <w:rPr>
                    <w:rFonts w:ascii="Cambria Math" w:hAnsi="Cambria Math"/>
                    <w:i/>
                    <w:iCs/>
                    <w:color w:val="auto"/>
                  </w:rPr>
                </m:ctrlPr>
              </m:sSubPr>
              <m:e>
                <m:r>
                  <m:rPr/>
                  <w:rPr>
                    <w:rFonts w:ascii="Cambria Math" w:hAnsi="Cambria Math"/>
                    <w:color w:val="auto"/>
                  </w:rPr>
                  <m:t>g</m:t>
                </m:r>
                <m:ctrlPr>
                  <w:rPr>
                    <w:rFonts w:ascii="Cambria Math" w:hAnsi="Cambria Math"/>
                    <w:i/>
                    <w:iCs/>
                    <w:color w:val="auto"/>
                  </w:rPr>
                </m:ctrlPr>
              </m:e>
              <m:sub>
                <m:r>
                  <m:rPr/>
                  <w:rPr>
                    <w:rFonts w:ascii="Cambria Math" w:hAnsi="Cambria Math"/>
                    <w:color w:val="auto"/>
                  </w:rPr>
                  <m:t>j</m:t>
                </m:r>
                <m:ctrlPr>
                  <w:rPr>
                    <w:rFonts w:ascii="Cambria Math" w:hAnsi="Cambria Math"/>
                    <w:i/>
                    <w:iCs/>
                    <w:color w:val="auto"/>
                  </w:rPr>
                </m:ctrlPr>
              </m:sub>
            </m:sSub>
            <m:r>
              <m:rPr/>
              <w:rPr>
                <w:rFonts w:ascii="Cambria Math" w:hAnsi="Cambria Math"/>
                <w:color w:val="auto"/>
              </w:rPr>
              <m:t>(x)</m:t>
            </m:r>
            <m:ctrlPr>
              <w:rPr>
                <w:rFonts w:ascii="Cambria Math" w:hAnsi="Cambria Math"/>
                <w:i/>
                <w:iCs/>
                <w:color w:val="auto"/>
              </w:rPr>
            </m:ctrlPr>
          </m:e>
        </m:d>
        <m:r>
          <m:rPr/>
          <w:rPr>
            <w:rFonts w:ascii="Cambria Math" w:hAnsi="Cambria Math"/>
            <w:color w:val="auto"/>
          </w:rPr>
          <m:t>&gt;δ</m:t>
        </m:r>
      </m:oMath>
      <w:r>
        <w:rPr>
          <w:color w:val="auto"/>
        </w:rPr>
        <w:t>)适当增大惩罚参数</w:t>
      </w:r>
      <w:r>
        <w:rPr>
          <w:i/>
          <w:iCs/>
          <w:color w:val="auto"/>
        </w:rPr>
        <w:t>ρ</w:t>
      </w:r>
      <w:r>
        <w:rPr>
          <w:color w:val="auto"/>
        </w:rPr>
        <w:t>：</w:t>
      </w:r>
    </w:p>
    <w:p w14:paraId="2B92B2F6">
      <w:pPr>
        <w:spacing w:line="400" w:lineRule="exact"/>
        <w:rPr>
          <w:i/>
          <w:color w:val="auto"/>
        </w:rPr>
      </w:pPr>
      <m:oMathPara>
        <m:oMath>
          <m:r>
            <m:rPr/>
            <w:rPr>
              <w:rFonts w:ascii="Cambria Math" w:hAnsi="Cambria Math"/>
              <w:color w:val="auto"/>
            </w:rPr>
            <m:t>ρ=β∙ρ</m:t>
          </m:r>
        </m:oMath>
      </m:oMathPara>
    </w:p>
    <w:p w14:paraId="35E85D63">
      <w:pPr>
        <w:spacing w:line="400" w:lineRule="exact"/>
        <w:ind w:firstLine="480" w:firstLineChars="200"/>
        <w:rPr>
          <w:color w:val="auto"/>
        </w:rPr>
      </w:pPr>
      <w:r>
        <w:rPr>
          <w:color w:val="auto"/>
        </w:rPr>
        <w:t>其中，</w:t>
      </w:r>
      <w:r>
        <w:rPr>
          <w:i/>
          <w:iCs/>
          <w:color w:val="auto"/>
        </w:rPr>
        <w:t>β&gt;</w:t>
      </w:r>
      <w:r>
        <w:rPr>
          <w:color w:val="auto"/>
        </w:rPr>
        <w:t>1是一个放大因子（如</w:t>
      </w:r>
      <w:r>
        <w:rPr>
          <w:i/>
          <w:iCs/>
          <w:color w:val="auto"/>
        </w:rPr>
        <w:t>β</w:t>
      </w:r>
      <w:r>
        <w:rPr>
          <w:color w:val="auto"/>
        </w:rPr>
        <w:t>=1.2或</w:t>
      </w:r>
      <w:r>
        <w:rPr>
          <w:i/>
          <w:iCs/>
          <w:color w:val="auto"/>
        </w:rPr>
        <w:t>β</w:t>
      </w:r>
      <w:r>
        <w:rPr>
          <w:color w:val="auto"/>
        </w:rPr>
        <w:t>=2）。</w:t>
      </w:r>
    </w:p>
    <w:p w14:paraId="2E536686">
      <w:pPr>
        <w:spacing w:line="400" w:lineRule="exact"/>
        <w:ind w:firstLine="480" w:firstLineChars="200"/>
        <w:rPr>
          <w:color w:val="auto"/>
        </w:rPr>
      </w:pPr>
      <w:r>
        <w:rPr>
          <w:color w:val="auto"/>
        </w:rPr>
        <w:t>7）重复迭代</w:t>
      </w:r>
    </w:p>
    <w:p w14:paraId="5090E810">
      <w:pPr>
        <w:spacing w:line="400" w:lineRule="exact"/>
        <w:ind w:firstLine="480" w:firstLineChars="200"/>
        <w:rPr>
          <w:color w:val="auto"/>
        </w:rPr>
      </w:pPr>
      <w:r>
        <w:rPr>
          <w:color w:val="auto"/>
        </w:rPr>
        <w:t>转到步骤3，继续迭代直到满足收敛条件</w:t>
      </w:r>
    </w:p>
    <w:p w14:paraId="62238F4B">
      <w:pPr>
        <w:spacing w:line="400" w:lineRule="exact"/>
        <w:ind w:firstLine="480" w:firstLineChars="200"/>
        <w:rPr>
          <w:color w:val="auto"/>
        </w:rPr>
      </w:pPr>
      <w:r>
        <w:rPr>
          <w:color w:val="auto"/>
        </w:rPr>
        <w:t>（2）算法实现细节</w:t>
      </w:r>
    </w:p>
    <w:p w14:paraId="093D1627">
      <w:pPr>
        <w:spacing w:line="400" w:lineRule="exact"/>
        <w:ind w:firstLine="480" w:firstLineChars="200"/>
        <w:rPr>
          <w:color w:val="auto"/>
        </w:rPr>
      </w:pPr>
      <w:r>
        <w:rPr>
          <w:color w:val="auto"/>
        </w:rPr>
        <w:t>1）目标函数建立</w:t>
      </w:r>
    </w:p>
    <w:p w14:paraId="07878AD9">
      <w:pPr>
        <w:spacing w:line="400" w:lineRule="exact"/>
        <w:ind w:firstLine="480" w:firstLineChars="200"/>
        <w:rPr>
          <w:color w:val="auto"/>
        </w:rPr>
      </w:pPr>
      <w:r>
        <w:rPr>
          <w:color w:val="auto"/>
        </w:rPr>
        <w:t>目标函数</w:t>
      </w:r>
      <w:r>
        <w:rPr>
          <w:i/>
          <w:iCs/>
          <w:color w:val="auto"/>
        </w:rPr>
        <w:t xml:space="preserve">f(x) </w:t>
      </w:r>
      <w:r>
        <w:rPr>
          <w:color w:val="auto"/>
        </w:rPr>
        <w:t>反映了电网投资决策的核心目标，包括三种种形式：</w:t>
      </w:r>
    </w:p>
    <w:p w14:paraId="75E64E8B">
      <w:pPr>
        <w:spacing w:line="400" w:lineRule="exact"/>
        <w:ind w:firstLine="480" w:firstLineChars="200"/>
        <w:rPr>
          <w:color w:val="auto"/>
        </w:rPr>
      </w:pPr>
      <w:r>
        <w:rPr>
          <w:color w:val="auto"/>
        </w:rPr>
        <w:t>最大化总收益：</w:t>
      </w:r>
    </w:p>
    <w:p w14:paraId="1F600EAD">
      <w:pPr>
        <w:spacing w:line="400" w:lineRule="exact"/>
        <w:ind w:firstLine="480" w:firstLineChars="200"/>
        <w:rPr>
          <w:i/>
          <w:iCs/>
          <w:color w:val="auto"/>
        </w:rPr>
      </w:pPr>
      <m:oMathPara>
        <m:oMath>
          <m:r>
            <m:rPr/>
            <w:rPr>
              <w:rFonts w:ascii="Cambria Math" w:hAnsi="Cambria Math"/>
              <w:color w:val="auto"/>
            </w:rPr>
            <m:t>f(x)=</m:t>
          </m:r>
          <m:nary>
            <m:naryPr>
              <m:chr m:val="∑"/>
              <m:limLoc m:val="undOvr"/>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j</m:t>
                  </m:r>
                  <m:ctrlPr>
                    <w:rPr>
                      <w:rFonts w:ascii="Cambria Math" w:hAnsi="Cambria Math"/>
                      <w:i/>
                      <w:iCs/>
                      <w:color w:val="auto"/>
                    </w:rPr>
                  </m:ctrlPr>
                </m:sub>
              </m:sSub>
              <m:r>
                <m:rPr/>
                <w:rPr>
                  <w:rFonts w:ascii="Cambria Math" w:hAnsi="Cambria Math"/>
                  <w:color w:val="auto"/>
                </w:rPr>
                <m:t>∙</m:t>
              </m:r>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ctrlPr>
                <w:rPr>
                  <w:rFonts w:ascii="Cambria Math" w:hAnsi="Cambria Math"/>
                  <w:i/>
                  <w:iCs/>
                  <w:color w:val="auto"/>
                </w:rPr>
              </m:ctrlPr>
            </m:e>
          </m:nary>
        </m:oMath>
      </m:oMathPara>
    </w:p>
    <w:p w14:paraId="431FD724">
      <w:pPr>
        <w:spacing w:line="400" w:lineRule="exact"/>
        <w:ind w:firstLine="480" w:firstLineChars="200"/>
        <w:rPr>
          <w:color w:val="auto"/>
        </w:rPr>
      </w:pPr>
      <w:r>
        <w:rPr>
          <w:color w:val="auto"/>
        </w:rPr>
        <w:t>其中，</w:t>
      </w:r>
      <m:oMath>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color w:val="auto"/>
        </w:rPr>
        <w:t>是第</w:t>
      </w:r>
      <w:r>
        <w:rPr>
          <w:i/>
          <w:iCs/>
          <w:color w:val="auto"/>
        </w:rPr>
        <w:t>i</w:t>
      </w:r>
      <w:r>
        <w:rPr>
          <w:color w:val="auto"/>
        </w:rPr>
        <w:t>个项目的预期收益率。</w:t>
      </w:r>
    </w:p>
    <w:p w14:paraId="378D672E">
      <w:pPr>
        <w:tabs>
          <w:tab w:val="left" w:pos="2987"/>
        </w:tabs>
        <w:spacing w:line="400" w:lineRule="exact"/>
        <w:ind w:firstLine="480" w:firstLineChars="200"/>
        <w:rPr>
          <w:color w:val="auto"/>
        </w:rPr>
      </w:pPr>
      <w:r>
        <w:rPr>
          <w:color w:val="auto"/>
        </w:rPr>
        <w:t>最小化总成本：</w:t>
      </w:r>
      <w:r>
        <w:rPr>
          <w:color w:val="auto"/>
        </w:rPr>
        <w:tab/>
      </w:r>
    </w:p>
    <w:p w14:paraId="46BC2727">
      <w:pPr>
        <w:spacing w:line="400" w:lineRule="exact"/>
        <w:ind w:firstLine="480" w:firstLineChars="200"/>
        <w:rPr>
          <w:i/>
          <w:iCs/>
          <w:color w:val="auto"/>
        </w:rPr>
      </w:pPr>
      <m:oMathPara>
        <m:oMath>
          <m:r>
            <m:rPr/>
            <w:rPr>
              <w:rFonts w:ascii="Cambria Math" w:hAnsi="Cambria Math"/>
              <w:color w:val="auto"/>
            </w:rPr>
            <m:t>f(x)=</m:t>
          </m:r>
          <m:nary>
            <m:naryPr>
              <m:chr m:val="∑"/>
              <m:limLoc m:val="undOvr"/>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w:rPr>
                  <w:rFonts w:ascii="Cambria Math" w:hAnsi="Cambria Math"/>
                  <w:color w:val="auto"/>
                </w:rPr>
                <m:t>∙</m:t>
              </m:r>
              <m:sSub>
                <m:sSubPr>
                  <m:ctrlPr>
                    <w:rPr>
                      <w:rFonts w:ascii="Cambria Math" w:hAnsi="Cambria Math"/>
                      <w:i/>
                      <w:iCs/>
                      <w:color w:val="auto"/>
                    </w:rPr>
                  </m:ctrlPr>
                </m:sSubPr>
                <m:e>
                  <m:r>
                    <m:rPr/>
                    <w:rPr>
                      <w:rFonts w:ascii="Cambria Math" w:hAnsi="Cambria Math"/>
                      <w:color w:val="auto"/>
                    </w:rPr>
                    <m:t>C</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ctrlPr>
                <w:rPr>
                  <w:rFonts w:ascii="Cambria Math" w:hAnsi="Cambria Math"/>
                  <w:i/>
                  <w:iCs/>
                  <w:color w:val="auto"/>
                </w:rPr>
              </m:ctrlPr>
            </m:e>
          </m:nary>
        </m:oMath>
      </m:oMathPara>
    </w:p>
    <w:p w14:paraId="3B36DC09">
      <w:pPr>
        <w:tabs>
          <w:tab w:val="left" w:pos="2987"/>
        </w:tabs>
        <w:spacing w:line="400" w:lineRule="exact"/>
        <w:ind w:firstLine="480" w:firstLineChars="200"/>
        <w:rPr>
          <w:color w:val="auto"/>
        </w:rPr>
      </w:pPr>
      <w:r>
        <w:rPr>
          <w:color w:val="auto"/>
        </w:rPr>
        <w:t>其中，</w:t>
      </w:r>
      <m:oMath>
        <m:sSub>
          <m:sSubPr>
            <m:ctrlPr>
              <w:rPr>
                <w:rFonts w:ascii="Cambria Math" w:hAnsi="Cambria Math"/>
                <w:i/>
                <w:iCs/>
                <w:color w:val="auto"/>
              </w:rPr>
            </m:ctrlPr>
          </m:sSubPr>
          <m:e>
            <m:r>
              <m:rPr/>
              <w:rPr>
                <w:rFonts w:ascii="Cambria Math" w:hAnsi="Cambria Math"/>
                <w:color w:val="auto"/>
              </w:rPr>
              <m:t>C</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color w:val="auto"/>
        </w:rPr>
        <w:t>是第</w:t>
      </w:r>
      <w:r>
        <w:rPr>
          <w:i/>
          <w:iCs/>
          <w:color w:val="auto"/>
        </w:rPr>
        <w:t>i</w:t>
      </w:r>
      <w:r>
        <w:rPr>
          <w:color w:val="auto"/>
        </w:rPr>
        <w:t>个项目的单位投资成本。</w:t>
      </w:r>
    </w:p>
    <w:p w14:paraId="42A40914">
      <w:pPr>
        <w:tabs>
          <w:tab w:val="left" w:pos="2987"/>
        </w:tabs>
        <w:spacing w:line="400" w:lineRule="exact"/>
        <w:ind w:firstLine="480" w:firstLineChars="200"/>
        <w:rPr>
          <w:i/>
          <w:iCs/>
          <w:color w:val="auto"/>
        </w:rPr>
      </w:pPr>
      <w:r>
        <w:rPr>
          <w:color w:val="auto"/>
        </w:rPr>
        <w:t>综合目标函数：结合收益和成本的权衡关系，定义综合目标函数：</w:t>
      </w:r>
    </w:p>
    <w:p w14:paraId="29FD2CDE">
      <w:pPr>
        <w:spacing w:line="400" w:lineRule="exact"/>
        <w:ind w:firstLine="480" w:firstLineChars="200"/>
        <w:rPr>
          <w:i/>
          <w:iCs/>
          <w:color w:val="auto"/>
        </w:rPr>
      </w:pPr>
      <m:oMathPara>
        <m:oMath>
          <m:r>
            <m:rPr/>
            <w:rPr>
              <w:rFonts w:ascii="Cambria Math" w:hAnsi="Cambria Math"/>
              <w:color w:val="auto"/>
            </w:rPr>
            <m:t>f(x)=α∙</m:t>
          </m:r>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R</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−(1−α)∙</m:t>
              </m:r>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e>
              </m:nary>
              <m:ctrlPr>
                <w:rPr>
                  <w:rFonts w:ascii="Cambria Math" w:hAnsi="Cambria Math"/>
                  <w:i/>
                  <w:color w:val="auto"/>
                </w:rPr>
              </m:ctrlPr>
            </m:e>
          </m:nary>
        </m:oMath>
      </m:oMathPara>
    </w:p>
    <w:p w14:paraId="70AF0A00">
      <w:pPr>
        <w:spacing w:line="400" w:lineRule="exact"/>
        <w:ind w:firstLine="480" w:firstLineChars="200"/>
        <w:rPr>
          <w:i/>
          <w:iCs/>
          <w:color w:val="auto"/>
        </w:rPr>
      </w:pPr>
      <w:r>
        <w:rPr>
          <w:rFonts w:hint="eastAsia" w:ascii="宋体" w:hAnsi="宋体" w:cs="宋体"/>
          <w:color w:val="auto"/>
          <w:shd w:val="clear" w:color="auto" w:fill="FFFFFF"/>
        </w:rPr>
        <w:t>其中，</w:t>
      </w:r>
      <m:oMath>
        <m:r>
          <m:rPr>
            <m:sty m:val="p"/>
          </m:rPr>
          <w:rPr>
            <w:rFonts w:ascii="Cambria Math" w:hAnsi="Cambria Math"/>
            <w:color w:val="auto"/>
            <w:shd w:val="clear" w:color="auto" w:fill="FFFFFF"/>
          </w:rPr>
          <m:t>α=∈</m:t>
        </m:r>
      </m:oMath>
      <w:r>
        <w:rPr>
          <w:rFonts w:eastAsia="Helvetica"/>
          <w:color w:val="auto"/>
          <w:shd w:val="clear" w:color="auto" w:fill="FFFFFF"/>
        </w:rPr>
        <w:t xml:space="preserve">[0,1] </w:t>
      </w:r>
      <w:r>
        <w:rPr>
          <w:rFonts w:hint="eastAsia" w:ascii="宋体" w:hAnsi="宋体" w:cs="宋体"/>
          <w:color w:val="auto"/>
          <w:shd w:val="clear" w:color="auto" w:fill="FFFFFF"/>
        </w:rPr>
        <w:t>是权重系数。</w:t>
      </w:r>
    </w:p>
    <w:p w14:paraId="061F9B8A">
      <w:pPr>
        <w:spacing w:line="400" w:lineRule="exact"/>
        <w:ind w:firstLine="480" w:firstLineChars="200"/>
        <w:rPr>
          <w:color w:val="auto"/>
        </w:rPr>
      </w:pPr>
      <w:r>
        <w:rPr>
          <w:color w:val="auto"/>
        </w:rPr>
        <w:t>（2）约束条件处理</w:t>
      </w:r>
    </w:p>
    <w:p w14:paraId="059EA23A">
      <w:pPr>
        <w:spacing w:line="400" w:lineRule="exact"/>
        <w:ind w:firstLine="480" w:firstLineChars="200"/>
        <w:rPr>
          <w:color w:val="auto"/>
        </w:rPr>
      </w:pPr>
      <w:r>
        <w:rPr>
          <w:color w:val="auto"/>
        </w:rPr>
        <w:t>在增广Lagrange函数中，所有约束条件均被转化为目标函数的一部分。引入惩罚项，确保约束条件逐步得到满足。如，对于总投资额限制：</w:t>
      </w:r>
    </w:p>
    <w:p w14:paraId="31C23B2D">
      <w:pPr>
        <w:spacing w:line="400" w:lineRule="exact"/>
        <w:ind w:firstLine="480" w:firstLineChars="200"/>
        <w:rPr>
          <w:color w:val="auto"/>
        </w:rPr>
      </w:pPr>
      <m:oMathPara>
        <m:oMath>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≤B</m:t>
              </m:r>
              <m:ctrlPr>
                <w:rPr>
                  <w:rFonts w:ascii="Cambria Math" w:hAnsi="Cambria Math"/>
                  <w:i/>
                  <w:color w:val="auto"/>
                </w:rPr>
              </m:ctrlPr>
            </m:e>
          </m:nary>
        </m:oMath>
      </m:oMathPara>
    </w:p>
    <w:p w14:paraId="0364F85B">
      <w:pPr>
        <w:spacing w:line="400" w:lineRule="exact"/>
        <w:ind w:firstLine="480" w:firstLineChars="200"/>
        <w:rPr>
          <w:color w:val="auto"/>
        </w:rPr>
      </w:pPr>
      <w:r>
        <w:rPr>
          <w:color w:val="auto"/>
        </w:rPr>
        <w:t>可以通过以下方式处理：</w:t>
      </w:r>
    </w:p>
    <w:p w14:paraId="539867B7">
      <w:pPr>
        <w:spacing w:line="400" w:lineRule="exact"/>
        <w:ind w:firstLine="480" w:firstLineChars="200"/>
        <w:rPr>
          <w:i/>
          <w:iCs/>
          <w:color w:val="auto"/>
        </w:rPr>
      </w:pPr>
      <m:oMathPara>
        <m:oMath>
          <m:sSub>
            <m:sSubPr>
              <m:ctrlPr>
                <w:rPr>
                  <w:rFonts w:ascii="Cambria Math" w:hAnsi="Cambria Math"/>
                  <w:i/>
                  <w:iCs/>
                  <w:color w:val="auto"/>
                </w:rPr>
              </m:ctrlPr>
            </m:sSubPr>
            <m:e>
              <m:r>
                <m:rPr/>
                <w:rPr>
                  <w:rFonts w:ascii="Cambria Math" w:hAnsi="Cambria Math"/>
                  <w:color w:val="auto"/>
                </w:rPr>
                <m:t>g</m:t>
              </m:r>
              <m:ctrlPr>
                <w:rPr>
                  <w:rFonts w:ascii="Cambria Math" w:hAnsi="Cambria Math"/>
                  <w:i/>
                  <w:iCs/>
                  <w:color w:val="auto"/>
                </w:rPr>
              </m:ctrlPr>
            </m:e>
            <m:sub>
              <m:r>
                <m:rPr/>
                <w:rPr>
                  <w:rFonts w:ascii="Cambria Math" w:hAnsi="Cambria Math"/>
                  <w:color w:val="auto"/>
                </w:rPr>
                <m:t>1</m:t>
              </m:r>
              <m:ctrlPr>
                <w:rPr>
                  <w:rFonts w:ascii="Cambria Math" w:hAnsi="Cambria Math"/>
                  <w:i/>
                  <w:iCs/>
                  <w:color w:val="auto"/>
                </w:rPr>
              </m:ctrlPr>
            </m:sub>
          </m:sSub>
          <m:r>
            <m:rPr/>
            <w:rPr>
              <w:rFonts w:ascii="Cambria Math" w:hAnsi="Cambria Math"/>
              <w:color w:val="auto"/>
            </w:rPr>
            <m:t>(x)</m:t>
          </m:r>
          <m:nary>
            <m:naryPr>
              <m:chr m:val="∑"/>
              <m:limLoc m:val="undOvr"/>
              <m:ctrlPr>
                <w:rPr>
                  <w:rFonts w:ascii="Cambria Math" w:hAnsi="Cambria Math"/>
                  <w:i/>
                  <w:color w:val="auto"/>
                </w:rPr>
              </m:ctrlPr>
            </m:naryPr>
            <m:sub>
              <m:r>
                <m:rPr/>
                <w:rPr>
                  <w:rFonts w:ascii="Cambria Math" w:hAnsi="Cambria Math"/>
                  <w:color w:val="auto"/>
                </w:rPr>
                <m:t>i=1</m:t>
              </m:r>
              <m:ctrlPr>
                <w:rPr>
                  <w:rFonts w:ascii="Cambria Math" w:hAnsi="Cambria Math"/>
                  <w:i/>
                  <w:color w:val="auto"/>
                </w:rPr>
              </m:ctrlPr>
            </m:sub>
            <m:sup>
              <m:r>
                <m:rPr/>
                <w:rPr>
                  <w:rFonts w:ascii="Cambria Math" w:hAnsi="Cambria Math"/>
                  <w:color w:val="auto"/>
                </w:rPr>
                <m:t>n</m:t>
              </m:r>
              <m:ctrlPr>
                <w:rPr>
                  <w:rFonts w:ascii="Cambria Math" w:hAnsi="Cambria Math"/>
                  <w:i/>
                  <w:color w:val="auto"/>
                </w:rPr>
              </m:ctrlPr>
            </m:sup>
            <m:e>
              <m:sSub>
                <m:sSubPr>
                  <m:ctrlPr>
                    <w:rPr>
                      <w:rFonts w:ascii="Cambria Math" w:hAnsi="Cambria Math"/>
                      <w:i/>
                      <w:color w:val="auto"/>
                    </w:rPr>
                  </m:ctrlPr>
                </m:sSubPr>
                <m:e>
                  <m:r>
                    <m:rPr/>
                    <w:rPr>
                      <w:rFonts w:ascii="Cambria Math" w:hAnsi="Cambria Math"/>
                      <w:color w:val="auto"/>
                    </w:rPr>
                    <m:t>x</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sSub>
                <m:sSubPr>
                  <m:ctrlPr>
                    <w:rPr>
                      <w:rFonts w:ascii="Cambria Math" w:hAnsi="Cambria Math"/>
                      <w:i/>
                      <w:color w:val="auto"/>
                    </w:rPr>
                  </m:ctrlPr>
                </m:sSubPr>
                <m:e>
                  <m:r>
                    <m:rPr/>
                    <w:rPr>
                      <w:rFonts w:ascii="Cambria Math" w:hAnsi="Cambria Math"/>
                      <w:color w:val="auto"/>
                    </w:rPr>
                    <m:t>C</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−B</m:t>
              </m:r>
              <m:ctrlPr>
                <w:rPr>
                  <w:rFonts w:ascii="Cambria Math" w:hAnsi="Cambria Math"/>
                  <w:i/>
                  <w:color w:val="auto"/>
                </w:rPr>
              </m:ctrlPr>
            </m:e>
          </m:nary>
        </m:oMath>
      </m:oMathPara>
    </w:p>
    <w:p w14:paraId="18CFBB36">
      <w:pPr>
        <w:spacing w:line="400" w:lineRule="exact"/>
        <w:ind w:firstLine="480" w:firstLineChars="200"/>
        <w:rPr>
          <w:color w:val="auto"/>
        </w:rPr>
      </w:pPr>
      <w:r>
        <w:rPr>
          <w:color w:val="auto"/>
        </w:rPr>
        <w:t>（3）灰狼优化算法的改进</w:t>
      </w:r>
    </w:p>
    <w:p w14:paraId="744DD763">
      <w:pPr>
        <w:spacing w:line="400" w:lineRule="exact"/>
        <w:ind w:firstLine="480" w:firstLineChars="200"/>
        <w:rPr>
          <w:color w:val="auto"/>
        </w:rPr>
      </w:pPr>
      <w:r>
        <w:rPr>
          <w:color w:val="auto"/>
        </w:rPr>
        <w:t>为提高算法的收敛速度和求解精度，在传统灰狼优化算法的基础上引入三个改进措施一根据当前迭代次数动态调整灰狼个体的移动步长，避免早熟收敛。二保留每次迭代中的最优解，防止种群退化。三在接近最优解时，增加局部搜索能力，以进一步提升解的质量。</w:t>
      </w:r>
    </w:p>
    <w:p w14:paraId="694CE9D2">
      <w:pPr>
        <w:spacing w:before="156" w:beforeLines="50" w:after="156" w:afterLines="50" w:line="324" w:lineRule="auto"/>
        <w:outlineLvl w:val="1"/>
        <w:rPr>
          <w:rFonts w:eastAsia="黑体"/>
          <w:color w:val="auto"/>
          <w:sz w:val="30"/>
          <w:szCs w:val="30"/>
        </w:rPr>
      </w:pPr>
      <w:bookmarkStart w:id="167" w:name="_Toc192967139"/>
      <w:bookmarkStart w:id="168" w:name="_Toc9115"/>
      <w:bookmarkStart w:id="169" w:name="_Toc193967378"/>
      <w:r>
        <w:rPr>
          <w:rFonts w:eastAsia="黑体"/>
          <w:color w:val="auto"/>
          <w:sz w:val="30"/>
          <w:szCs w:val="30"/>
        </w:rPr>
        <w:t>5.3 实例分析</w:t>
      </w:r>
      <w:bookmarkEnd w:id="167"/>
      <w:bookmarkEnd w:id="168"/>
      <w:bookmarkEnd w:id="169"/>
    </w:p>
    <w:p w14:paraId="5822B8B1">
      <w:pPr>
        <w:spacing w:line="400" w:lineRule="exact"/>
        <w:ind w:firstLine="480" w:firstLineChars="200"/>
        <w:rPr>
          <w:color w:val="auto"/>
        </w:rPr>
      </w:pPr>
      <w:r>
        <w:rPr>
          <w:color w:val="auto"/>
        </w:rPr>
        <w:t>本节验证基于增广 Lagrange 乘子法的混合灰狼优化算法（LHWGWO）在电网项目智能投资决策优化中的有效性。</w:t>
      </w:r>
    </w:p>
    <w:p w14:paraId="606DFD38">
      <w:pPr>
        <w:spacing w:before="156" w:beforeLines="50" w:after="156" w:afterLines="50" w:line="324" w:lineRule="auto"/>
        <w:outlineLvl w:val="2"/>
        <w:rPr>
          <w:rFonts w:eastAsia="黑体"/>
          <w:color w:val="auto"/>
          <w:sz w:val="28"/>
          <w:szCs w:val="28"/>
        </w:rPr>
      </w:pPr>
      <w:bookmarkStart w:id="170" w:name="_Toc192967140"/>
      <w:bookmarkStart w:id="171" w:name="_Toc3634"/>
      <w:bookmarkStart w:id="172" w:name="_Toc193967379"/>
      <w:r>
        <w:rPr>
          <w:rFonts w:eastAsia="黑体"/>
          <w:color w:val="auto"/>
          <w:sz w:val="28"/>
          <w:szCs w:val="28"/>
        </w:rPr>
        <w:t>5.3.1 数据准备与初始条件设定</w:t>
      </w:r>
      <w:bookmarkEnd w:id="170"/>
      <w:bookmarkEnd w:id="171"/>
      <w:bookmarkEnd w:id="172"/>
    </w:p>
    <w:p w14:paraId="7F8F6739">
      <w:pPr>
        <w:spacing w:line="400" w:lineRule="exact"/>
        <w:ind w:firstLine="480" w:firstLineChars="200"/>
        <w:rPr>
          <w:color w:val="auto"/>
        </w:rPr>
      </w:pPr>
      <w:r>
        <w:rPr>
          <w:rFonts w:hint="eastAsia"/>
          <w:color w:val="auto"/>
        </w:rPr>
        <w:t>基于第四章构建的LSTM-DDPG投资能力测算模型输出的预测结果（见表4-6），选取J电网项目中经济效益因子（F1）≥0.8、长期运营因子（F3）≥0.6的5个优质样本作为优化对象。将LSTM模型预测的2025-2030年投资收益增长率时序数据作为目标函数输入，同时将DRL模块生成的最优成本控制路径作为约束条件边界值</w:t>
      </w:r>
      <w:r>
        <w:rPr>
          <w:rFonts w:hint="eastAsia"/>
          <w:color w:val="auto"/>
        </w:rPr>
        <w:t>。</w:t>
      </w:r>
    </w:p>
    <w:p w14:paraId="49C75DD8">
      <w:pPr>
        <w:spacing w:before="156" w:beforeLines="50" w:after="156" w:afterLines="50" w:line="324" w:lineRule="auto"/>
        <w:outlineLvl w:val="2"/>
        <w:rPr>
          <w:rFonts w:eastAsia="黑体"/>
          <w:color w:val="auto"/>
          <w:sz w:val="28"/>
          <w:szCs w:val="28"/>
        </w:rPr>
      </w:pPr>
      <w:bookmarkStart w:id="173" w:name="_Toc192967141"/>
      <w:bookmarkStart w:id="174" w:name="_Toc19753"/>
      <w:bookmarkStart w:id="175" w:name="_Toc193967380"/>
      <w:r>
        <w:rPr>
          <w:rFonts w:eastAsia="黑体"/>
          <w:color w:val="auto"/>
          <w:sz w:val="28"/>
          <w:szCs w:val="28"/>
        </w:rPr>
        <w:t>5.3.2 基于模型应用的结果分析</w:t>
      </w:r>
      <w:bookmarkEnd w:id="173"/>
      <w:bookmarkEnd w:id="174"/>
      <w:bookmarkEnd w:id="175"/>
    </w:p>
    <w:p w14:paraId="00680881">
      <w:pPr>
        <w:spacing w:line="400" w:lineRule="exact"/>
        <w:ind w:firstLine="480" w:firstLineChars="200"/>
        <w:rPr>
          <w:color w:val="auto"/>
        </w:rPr>
      </w:pPr>
      <w:r>
        <w:rPr>
          <w:color w:val="auto"/>
        </w:rPr>
        <w:t>为验证</w:t>
      </w:r>
      <w:bookmarkStart w:id="176" w:name="_Hlk193751364"/>
      <w:r>
        <w:rPr>
          <w:color w:val="auto"/>
        </w:rPr>
        <w:t>基于增广Lagrange乘子法的混合灰狼优化算法</w:t>
      </w:r>
      <w:bookmarkEnd w:id="176"/>
      <w:r>
        <w:rPr>
          <w:color w:val="auto"/>
        </w:rPr>
        <w:t>（LHWGWO）在电网项目投资决策中的有效性，本节以J电网的5个典型项目（a、b、c、d、e）为实例，结合第4章构建的投资能力测算模型（见表4-6）及第5章建立的约束条件（公式5-16至5-19），通过LHWGWO算法进行多目标优化求解。优化目标为最大化综合效益函数：</w:t>
      </w:r>
    </w:p>
    <w:p w14:paraId="321AF8F5">
      <w:pPr>
        <w:spacing w:line="400" w:lineRule="exact"/>
        <w:ind w:firstLine="480" w:firstLineChars="200"/>
        <w:jc w:val="center"/>
        <w:rPr>
          <w:color w:val="auto"/>
        </w:rPr>
      </w:pPr>
      <m:oMath>
        <m:r>
          <m:rPr/>
          <w:rPr>
            <w:rFonts w:ascii="Cambria Math" w:hAnsi="Cambria Math"/>
            <w:color w:val="auto"/>
          </w:rPr>
          <m:t>F(x)=0.45</m:t>
        </m:r>
        <m:nary>
          <m:naryPr>
            <m:chr m:val="∑"/>
            <m:limLoc m:val="subSup"/>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w:rPr>
                <w:rFonts w:ascii="Cambria Math" w:hAnsi="Cambria Math"/>
                <w:color w:val="auto"/>
              </w:rPr>
              <m:t>−0.35</m:t>
            </m:r>
            <m:nary>
              <m:naryPr>
                <m:chr m:val="∑"/>
                <m:limLoc m:val="subSup"/>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b>
                  <m:sSubPr>
                    <m:ctrlPr>
                      <w:rPr>
                        <w:rFonts w:ascii="Cambria Math" w:hAnsi="Cambria Math"/>
                        <w:i/>
                        <w:iCs/>
                        <w:color w:val="auto"/>
                      </w:rPr>
                    </m:ctrlPr>
                  </m:sSubPr>
                  <m:e>
                    <m:r>
                      <m:rPr/>
                      <w:rPr>
                        <w:rFonts w:ascii="Cambria Math" w:hAnsi="Cambria Math"/>
                        <w:color w:val="auto"/>
                      </w:rPr>
                      <m:t>C</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r>
                  <m:rPr/>
                  <w:rPr>
                    <w:rFonts w:ascii="Cambria Math" w:hAnsi="Cambria Math"/>
                    <w:color w:val="auto"/>
                  </w:rPr>
                  <m:t>+0.20</m:t>
                </m:r>
                <m:nary>
                  <m:naryPr>
                    <m:chr m:val="∑"/>
                    <m:limLoc m:val="subSup"/>
                    <m:ctrlPr>
                      <w:rPr>
                        <w:rFonts w:ascii="Cambria Math" w:hAnsi="Cambria Math"/>
                        <w:i/>
                        <w:iCs/>
                        <w:color w:val="auto"/>
                      </w:rPr>
                    </m:ctrlPr>
                  </m:naryPr>
                  <m:sub>
                    <m:r>
                      <m:rPr/>
                      <w:rPr>
                        <w:rFonts w:ascii="Cambria Math" w:hAnsi="Cambria Math"/>
                        <w:color w:val="auto"/>
                      </w:rPr>
                      <m:t>i=1</m:t>
                    </m:r>
                    <m:ctrlPr>
                      <w:rPr>
                        <w:rFonts w:ascii="Cambria Math" w:hAnsi="Cambria Math"/>
                        <w:i/>
                        <w:iCs/>
                        <w:color w:val="auto"/>
                      </w:rPr>
                    </m:ctrlPr>
                  </m:sub>
                  <m:sup>
                    <m:r>
                      <m:rPr/>
                      <w:rPr>
                        <w:rFonts w:ascii="Cambria Math" w:hAnsi="Cambria Math"/>
                        <w:color w:val="auto"/>
                      </w:rPr>
                      <m:t>n</m:t>
                    </m:r>
                    <m:ctrlPr>
                      <w:rPr>
                        <w:rFonts w:ascii="Cambria Math" w:hAnsi="Cambria Math"/>
                        <w:i/>
                        <w:iCs/>
                        <w:color w:val="auto"/>
                      </w:rPr>
                    </m:ctrlPr>
                  </m:sup>
                  <m:e>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sSub>
                      <m:sSubPr>
                        <m:ctrlPr>
                          <w:rPr>
                            <w:rFonts w:ascii="Cambria Math" w:hAnsi="Cambria Math"/>
                            <w:i/>
                            <w:iCs/>
                            <w:color w:val="auto"/>
                          </w:rPr>
                        </m:ctrlPr>
                      </m:sSubPr>
                      <m:e>
                        <m:r>
                          <m:rPr/>
                          <w:rPr>
                            <w:rFonts w:ascii="Cambria Math" w:hAnsi="Cambria Math"/>
                            <w:color w:val="auto"/>
                          </w:rPr>
                          <m:t>E</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ctrlPr>
                      <w:rPr>
                        <w:rFonts w:ascii="Cambria Math" w:hAnsi="Cambria Math"/>
                        <w:i/>
                        <w:iCs/>
                        <w:color w:val="auto"/>
                      </w:rPr>
                    </m:ctrlPr>
                  </m:e>
                </m:nary>
                <m:ctrlPr>
                  <w:rPr>
                    <w:rFonts w:ascii="Cambria Math" w:hAnsi="Cambria Math"/>
                    <w:i/>
                    <w:iCs/>
                    <w:color w:val="auto"/>
                  </w:rPr>
                </m:ctrlPr>
              </m:e>
            </m:nary>
            <m:ctrlPr>
              <w:rPr>
                <w:rFonts w:ascii="Cambria Math" w:hAnsi="Cambria Math"/>
                <w:i/>
                <w:iCs/>
                <w:color w:val="auto"/>
              </w:rPr>
            </m:ctrlPr>
          </m:e>
        </m:nary>
      </m:oMath>
      <w:r>
        <w:rPr>
          <w:i/>
          <w:iCs/>
          <w:color w:val="auto"/>
        </w:rPr>
        <w:t xml:space="preserve"> </w:t>
      </w:r>
    </w:p>
    <w:p w14:paraId="4FCD9C68">
      <w:pPr>
        <w:tabs>
          <w:tab w:val="left" w:pos="431"/>
        </w:tabs>
        <w:spacing w:line="400" w:lineRule="exact"/>
        <w:ind w:firstLine="480" w:firstLineChars="200"/>
        <w:rPr>
          <w:color w:val="auto"/>
        </w:rPr>
      </w:pPr>
      <m:oMath>
        <m:sSub>
          <m:sSubPr>
            <m:ctrlPr>
              <w:rPr>
                <w:rFonts w:ascii="Cambria Math" w:hAnsi="Cambria Math"/>
                <w:i/>
                <w:iCs/>
                <w:color w:val="auto"/>
              </w:rPr>
            </m:ctrlPr>
          </m:sSubPr>
          <m:e>
            <m:r>
              <m:rPr/>
              <w:rPr>
                <w:rFonts w:ascii="Cambria Math" w:hAnsi="Cambria Math"/>
                <w:color w:val="auto"/>
              </w:rPr>
              <m:t>x</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color w:val="auto"/>
        </w:rPr>
        <w:t>为项目投资比例，</w:t>
      </w:r>
      <m:oMath>
        <m:sSub>
          <m:sSubPr>
            <m:ctrlPr>
              <w:rPr>
                <w:rFonts w:ascii="Cambria Math" w:hAnsi="Cambria Math"/>
                <w:i/>
                <w:iCs/>
                <w:color w:val="auto"/>
              </w:rPr>
            </m:ctrlPr>
          </m:sSubPr>
          <m:e>
            <m:r>
              <m:rPr/>
              <w:rPr>
                <w:rFonts w:ascii="Cambria Math" w:hAnsi="Cambria Math"/>
                <w:color w:val="auto"/>
              </w:rPr>
              <m:t>R</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iCs/>
          <w:color w:val="auto"/>
        </w:rPr>
        <w:t>,</w:t>
      </w:r>
      <m:oMath>
        <m:sSub>
          <m:sSubPr>
            <m:ctrlPr>
              <w:rPr>
                <w:rFonts w:ascii="Cambria Math" w:hAnsi="Cambria Math"/>
                <w:i/>
                <w:iCs/>
                <w:color w:val="auto"/>
              </w:rPr>
            </m:ctrlPr>
          </m:sSubPr>
          <m:e>
            <m:r>
              <m:rPr/>
              <w:rPr>
                <w:rFonts w:ascii="Cambria Math" w:hAnsi="Cambria Math"/>
                <w:color w:val="auto"/>
              </w:rPr>
              <m:t>C</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iCs/>
          <w:color w:val="auto"/>
        </w:rPr>
        <w:t>,</w:t>
      </w:r>
      <m:oMath>
        <m:sSub>
          <m:sSubPr>
            <m:ctrlPr>
              <w:rPr>
                <w:rFonts w:ascii="Cambria Math" w:hAnsi="Cambria Math"/>
                <w:i/>
                <w:iCs/>
                <w:color w:val="auto"/>
              </w:rPr>
            </m:ctrlPr>
          </m:sSubPr>
          <m:e>
            <m:r>
              <m:rPr/>
              <w:rPr>
                <w:rFonts w:ascii="Cambria Math" w:hAnsi="Cambria Math"/>
                <w:color w:val="auto"/>
              </w:rPr>
              <m:t>E</m:t>
            </m:r>
            <m:ctrlPr>
              <w:rPr>
                <w:rFonts w:ascii="Cambria Math" w:hAnsi="Cambria Math"/>
                <w:i/>
                <w:iCs/>
                <w:color w:val="auto"/>
              </w:rPr>
            </m:ctrlPr>
          </m:e>
          <m:sub>
            <m:r>
              <m:rPr/>
              <w:rPr>
                <w:rFonts w:ascii="Cambria Math" w:hAnsi="Cambria Math"/>
                <w:color w:val="auto"/>
              </w:rPr>
              <m:t>i</m:t>
            </m:r>
            <m:ctrlPr>
              <w:rPr>
                <w:rFonts w:ascii="Cambria Math" w:hAnsi="Cambria Math"/>
                <w:i/>
                <w:iCs/>
                <w:color w:val="auto"/>
              </w:rPr>
            </m:ctrlPr>
          </m:sub>
        </m:sSub>
      </m:oMath>
      <w:r>
        <w:rPr>
          <w:iCs/>
          <w:color w:val="auto"/>
        </w:rPr>
        <w:t>,</w:t>
      </w:r>
      <w:r>
        <w:rPr>
          <w:color w:val="auto"/>
        </w:rPr>
        <w:t>分别为预期收益率、单位投资成本及环境效益量化值。约束条件包括总投资预算（15亿元）、新能源接入比例（≥35%）、碳排放总量（≤5万吨/年）等。</w:t>
      </w:r>
    </w:p>
    <w:p w14:paraId="1DF61BFF">
      <w:pPr>
        <w:spacing w:line="400" w:lineRule="exact"/>
        <w:ind w:firstLine="480" w:firstLineChars="200"/>
        <w:rPr>
          <w:color w:val="auto"/>
        </w:rPr>
      </w:pPr>
      <w:r>
        <w:rPr>
          <w:color w:val="auto"/>
        </w:rPr>
        <w:t>（1）优化结果与对比分析</w:t>
      </w:r>
    </w:p>
    <w:p w14:paraId="059CD3CA">
      <w:pPr>
        <w:spacing w:line="400" w:lineRule="exact"/>
        <w:ind w:firstLine="480" w:firstLineChars="200"/>
        <w:rPr>
          <w:color w:val="auto"/>
        </w:rPr>
      </w:pPr>
      <w:r>
        <w:rPr>
          <w:color w:val="auto"/>
        </w:rPr>
        <w:t>通过LHWGWO算法迭代计算后，各项目的优化投资比例及关键指标变化如表5-1。</w:t>
      </w:r>
      <w:r>
        <w:rPr>
          <w:rFonts w:hint="eastAsia"/>
          <w:color w:val="auto"/>
        </w:rPr>
        <w:t>为验证算法性能，同步采用传统粒子群优化（PSO）与非支配排序遗传算法（NSGA-II）进行对比实验，参数设置如图5-1所示。三种算法的性能对比如图5-2呈现。</w:t>
      </w:r>
    </w:p>
    <w:p w14:paraId="6C75B12A">
      <w:pPr>
        <w:spacing w:line="400" w:lineRule="exact"/>
        <w:ind w:firstLine="480" w:firstLineChars="200"/>
        <w:jc w:val="center"/>
        <w:rPr>
          <w:rFonts w:hint="eastAsia"/>
          <w:color w:val="auto"/>
        </w:rPr>
      </w:pPr>
      <w:r>
        <w:rPr>
          <w:color w:val="auto"/>
        </w:rPr>
        <w:t>表5-1 不同算法优化结果对比</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6"/>
        <w:gridCol w:w="1227"/>
        <w:gridCol w:w="1089"/>
        <w:gridCol w:w="1089"/>
        <w:gridCol w:w="1133"/>
        <w:gridCol w:w="1787"/>
        <w:gridCol w:w="1091"/>
      </w:tblGrid>
      <w:tr w14:paraId="47F99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tcBorders>
              <w:left w:val="nil"/>
              <w:bottom w:val="single" w:color="auto" w:sz="4" w:space="0"/>
              <w:right w:val="nil"/>
            </w:tcBorders>
          </w:tcPr>
          <w:p w14:paraId="7A1A8EB7">
            <w:pPr>
              <w:spacing w:line="400" w:lineRule="exact"/>
              <w:jc w:val="center"/>
              <w:rPr>
                <w:color w:val="auto"/>
                <w:sz w:val="21"/>
                <w:szCs w:val="21"/>
              </w:rPr>
            </w:pPr>
            <w:r>
              <w:rPr>
                <w:color w:val="auto"/>
                <w:sz w:val="21"/>
                <w:szCs w:val="21"/>
              </w:rPr>
              <w:t>项目</w:t>
            </w:r>
          </w:p>
        </w:tc>
        <w:tc>
          <w:tcPr>
            <w:tcW w:w="1227" w:type="dxa"/>
            <w:tcBorders>
              <w:left w:val="nil"/>
              <w:bottom w:val="single" w:color="auto" w:sz="4" w:space="0"/>
              <w:right w:val="nil"/>
            </w:tcBorders>
          </w:tcPr>
          <w:p w14:paraId="67E2096D">
            <w:pPr>
              <w:spacing w:line="400" w:lineRule="exact"/>
              <w:jc w:val="center"/>
              <w:rPr>
                <w:color w:val="auto"/>
                <w:sz w:val="21"/>
                <w:szCs w:val="21"/>
              </w:rPr>
            </w:pPr>
            <w:r>
              <w:rPr>
                <w:color w:val="auto"/>
                <w:sz w:val="21"/>
                <w:szCs w:val="21"/>
              </w:rPr>
              <w:t>算法</w:t>
            </w:r>
          </w:p>
        </w:tc>
        <w:tc>
          <w:tcPr>
            <w:tcW w:w="1089" w:type="dxa"/>
            <w:tcBorders>
              <w:left w:val="nil"/>
              <w:bottom w:val="single" w:color="auto" w:sz="4" w:space="0"/>
              <w:right w:val="nil"/>
            </w:tcBorders>
          </w:tcPr>
          <w:p w14:paraId="659079AE">
            <w:pPr>
              <w:spacing w:line="400" w:lineRule="exact"/>
              <w:jc w:val="center"/>
              <w:rPr>
                <w:color w:val="auto"/>
                <w:sz w:val="21"/>
                <w:szCs w:val="21"/>
              </w:rPr>
            </w:pPr>
            <w:r>
              <w:rPr>
                <w:color w:val="auto"/>
                <w:sz w:val="21"/>
                <w:szCs w:val="21"/>
              </w:rPr>
              <w:t>投资比例（%）</w:t>
            </w:r>
          </w:p>
        </w:tc>
        <w:tc>
          <w:tcPr>
            <w:tcW w:w="1089" w:type="dxa"/>
            <w:tcBorders>
              <w:left w:val="nil"/>
              <w:bottom w:val="single" w:color="auto" w:sz="4" w:space="0"/>
              <w:right w:val="nil"/>
            </w:tcBorders>
          </w:tcPr>
          <w:p w14:paraId="7298F54E">
            <w:pPr>
              <w:spacing w:line="400" w:lineRule="exact"/>
              <w:jc w:val="center"/>
              <w:rPr>
                <w:color w:val="auto"/>
                <w:sz w:val="21"/>
                <w:szCs w:val="21"/>
              </w:rPr>
            </w:pPr>
            <w:r>
              <w:rPr>
                <w:color w:val="auto"/>
                <w:sz w:val="21"/>
                <w:szCs w:val="21"/>
              </w:rPr>
              <w:t>预期收益率（%）</w:t>
            </w:r>
          </w:p>
        </w:tc>
        <w:tc>
          <w:tcPr>
            <w:tcW w:w="1133" w:type="dxa"/>
            <w:tcBorders>
              <w:left w:val="nil"/>
              <w:bottom w:val="single" w:color="auto" w:sz="4" w:space="0"/>
              <w:right w:val="nil"/>
            </w:tcBorders>
          </w:tcPr>
          <w:p w14:paraId="71079D28">
            <w:pPr>
              <w:spacing w:line="400" w:lineRule="exact"/>
              <w:jc w:val="center"/>
              <w:rPr>
                <w:color w:val="auto"/>
                <w:sz w:val="21"/>
                <w:szCs w:val="21"/>
              </w:rPr>
            </w:pPr>
            <w:r>
              <w:rPr>
                <w:color w:val="auto"/>
                <w:sz w:val="21"/>
                <w:szCs w:val="21"/>
              </w:rPr>
              <w:t>单位成本（万元/MVA）</w:t>
            </w:r>
          </w:p>
        </w:tc>
        <w:tc>
          <w:tcPr>
            <w:tcW w:w="1787" w:type="dxa"/>
            <w:tcBorders>
              <w:left w:val="nil"/>
              <w:bottom w:val="single" w:color="auto" w:sz="4" w:space="0"/>
              <w:right w:val="nil"/>
            </w:tcBorders>
          </w:tcPr>
          <w:p w14:paraId="4C24F00E">
            <w:pPr>
              <w:spacing w:line="400" w:lineRule="exact"/>
              <w:jc w:val="center"/>
              <w:rPr>
                <w:color w:val="auto"/>
                <w:sz w:val="21"/>
                <w:szCs w:val="21"/>
              </w:rPr>
            </w:pPr>
            <w:r>
              <w:rPr>
                <w:color w:val="auto"/>
                <w:sz w:val="21"/>
                <w:szCs w:val="21"/>
              </w:rPr>
              <w:t>碳排放强度（tCO₂/MWh）</w:t>
            </w:r>
          </w:p>
        </w:tc>
        <w:tc>
          <w:tcPr>
            <w:tcW w:w="1091" w:type="dxa"/>
            <w:tcBorders>
              <w:left w:val="nil"/>
              <w:bottom w:val="single" w:color="auto" w:sz="4" w:space="0"/>
              <w:right w:val="nil"/>
            </w:tcBorders>
          </w:tcPr>
          <w:p w14:paraId="401A31E9">
            <w:pPr>
              <w:spacing w:line="400" w:lineRule="exact"/>
              <w:jc w:val="center"/>
              <w:rPr>
                <w:color w:val="auto"/>
                <w:sz w:val="21"/>
                <w:szCs w:val="21"/>
              </w:rPr>
            </w:pPr>
            <w:r>
              <w:rPr>
                <w:color w:val="auto"/>
                <w:sz w:val="21"/>
                <w:szCs w:val="21"/>
              </w:rPr>
              <w:t>容量利用率（%）</w:t>
            </w:r>
          </w:p>
        </w:tc>
      </w:tr>
      <w:tr w14:paraId="00E5B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restart"/>
            <w:tcBorders>
              <w:top w:val="single" w:color="auto" w:sz="4" w:space="0"/>
              <w:left w:val="nil"/>
              <w:right w:val="nil"/>
            </w:tcBorders>
          </w:tcPr>
          <w:p w14:paraId="4CF8AC17">
            <w:pPr>
              <w:spacing w:line="400" w:lineRule="exact"/>
              <w:jc w:val="center"/>
              <w:rPr>
                <w:color w:val="auto"/>
                <w:sz w:val="21"/>
                <w:szCs w:val="21"/>
              </w:rPr>
            </w:pPr>
            <w:r>
              <w:rPr>
                <w:color w:val="auto"/>
                <w:sz w:val="21"/>
                <w:szCs w:val="21"/>
              </w:rPr>
              <w:t>a</w:t>
            </w:r>
          </w:p>
        </w:tc>
        <w:tc>
          <w:tcPr>
            <w:tcW w:w="1227" w:type="dxa"/>
            <w:tcBorders>
              <w:top w:val="single" w:color="auto" w:sz="4" w:space="0"/>
              <w:left w:val="nil"/>
              <w:bottom w:val="nil"/>
              <w:right w:val="nil"/>
            </w:tcBorders>
          </w:tcPr>
          <w:p w14:paraId="7AEEBAC7">
            <w:pPr>
              <w:spacing w:line="400" w:lineRule="exact"/>
              <w:jc w:val="center"/>
              <w:rPr>
                <w:color w:val="auto"/>
                <w:sz w:val="21"/>
                <w:szCs w:val="21"/>
              </w:rPr>
            </w:pPr>
            <w:r>
              <w:rPr>
                <w:color w:val="auto"/>
                <w:sz w:val="21"/>
                <w:szCs w:val="21"/>
              </w:rPr>
              <w:t>LHWGWO</w:t>
            </w:r>
          </w:p>
        </w:tc>
        <w:tc>
          <w:tcPr>
            <w:tcW w:w="1089" w:type="dxa"/>
            <w:tcBorders>
              <w:top w:val="single" w:color="auto" w:sz="4" w:space="0"/>
              <w:left w:val="nil"/>
              <w:bottom w:val="nil"/>
              <w:right w:val="nil"/>
            </w:tcBorders>
          </w:tcPr>
          <w:p w14:paraId="33806EFC">
            <w:pPr>
              <w:spacing w:line="400" w:lineRule="exact"/>
              <w:jc w:val="center"/>
              <w:rPr>
                <w:color w:val="auto"/>
                <w:sz w:val="21"/>
                <w:szCs w:val="21"/>
              </w:rPr>
            </w:pPr>
            <w:r>
              <w:rPr>
                <w:color w:val="auto"/>
                <w:sz w:val="21"/>
                <w:szCs w:val="21"/>
              </w:rPr>
              <w:t>28.5</w:t>
            </w:r>
          </w:p>
        </w:tc>
        <w:tc>
          <w:tcPr>
            <w:tcW w:w="1089" w:type="dxa"/>
            <w:tcBorders>
              <w:top w:val="single" w:color="auto" w:sz="4" w:space="0"/>
              <w:left w:val="nil"/>
              <w:bottom w:val="nil"/>
              <w:right w:val="nil"/>
            </w:tcBorders>
          </w:tcPr>
          <w:p w14:paraId="612E9BC7">
            <w:pPr>
              <w:spacing w:line="400" w:lineRule="exact"/>
              <w:jc w:val="center"/>
              <w:rPr>
                <w:color w:val="auto"/>
                <w:sz w:val="21"/>
                <w:szCs w:val="21"/>
              </w:rPr>
            </w:pPr>
            <w:r>
              <w:rPr>
                <w:color w:val="auto"/>
                <w:sz w:val="21"/>
                <w:szCs w:val="21"/>
              </w:rPr>
              <w:t>9.2</w:t>
            </w:r>
          </w:p>
        </w:tc>
        <w:tc>
          <w:tcPr>
            <w:tcW w:w="1133" w:type="dxa"/>
            <w:tcBorders>
              <w:top w:val="single" w:color="auto" w:sz="4" w:space="0"/>
              <w:left w:val="nil"/>
              <w:bottom w:val="nil"/>
              <w:right w:val="nil"/>
            </w:tcBorders>
          </w:tcPr>
          <w:p w14:paraId="541B0027">
            <w:pPr>
              <w:spacing w:line="400" w:lineRule="exact"/>
              <w:jc w:val="center"/>
              <w:rPr>
                <w:color w:val="auto"/>
                <w:sz w:val="21"/>
                <w:szCs w:val="21"/>
              </w:rPr>
            </w:pPr>
            <w:r>
              <w:rPr>
                <w:color w:val="auto"/>
                <w:sz w:val="21"/>
                <w:szCs w:val="21"/>
              </w:rPr>
              <w:t>12.8</w:t>
            </w:r>
          </w:p>
        </w:tc>
        <w:tc>
          <w:tcPr>
            <w:tcW w:w="1787" w:type="dxa"/>
            <w:tcBorders>
              <w:top w:val="single" w:color="auto" w:sz="4" w:space="0"/>
              <w:left w:val="nil"/>
              <w:bottom w:val="nil"/>
              <w:right w:val="nil"/>
            </w:tcBorders>
          </w:tcPr>
          <w:p w14:paraId="2AE1B05C">
            <w:pPr>
              <w:spacing w:line="400" w:lineRule="exact"/>
              <w:jc w:val="center"/>
              <w:rPr>
                <w:color w:val="auto"/>
                <w:sz w:val="21"/>
                <w:szCs w:val="21"/>
              </w:rPr>
            </w:pPr>
            <w:r>
              <w:rPr>
                <w:color w:val="auto"/>
                <w:sz w:val="21"/>
                <w:szCs w:val="21"/>
              </w:rPr>
              <w:t>0.12</w:t>
            </w:r>
          </w:p>
        </w:tc>
        <w:tc>
          <w:tcPr>
            <w:tcW w:w="1091" w:type="dxa"/>
            <w:tcBorders>
              <w:top w:val="single" w:color="auto" w:sz="4" w:space="0"/>
              <w:left w:val="nil"/>
              <w:bottom w:val="nil"/>
              <w:right w:val="nil"/>
            </w:tcBorders>
          </w:tcPr>
          <w:p w14:paraId="2F378B3F">
            <w:pPr>
              <w:spacing w:line="400" w:lineRule="exact"/>
              <w:jc w:val="center"/>
              <w:rPr>
                <w:color w:val="auto"/>
                <w:sz w:val="21"/>
                <w:szCs w:val="21"/>
              </w:rPr>
            </w:pPr>
            <w:r>
              <w:rPr>
                <w:color w:val="auto"/>
                <w:sz w:val="21"/>
                <w:szCs w:val="21"/>
              </w:rPr>
              <w:t>88.5</w:t>
            </w:r>
          </w:p>
        </w:tc>
      </w:tr>
      <w:tr w14:paraId="55F45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continue"/>
            <w:tcBorders>
              <w:left w:val="nil"/>
              <w:right w:val="nil"/>
            </w:tcBorders>
          </w:tcPr>
          <w:p w14:paraId="06BE612F">
            <w:pPr>
              <w:spacing w:line="400" w:lineRule="exact"/>
              <w:jc w:val="center"/>
              <w:rPr>
                <w:color w:val="auto"/>
                <w:sz w:val="21"/>
                <w:szCs w:val="21"/>
              </w:rPr>
            </w:pPr>
          </w:p>
        </w:tc>
        <w:tc>
          <w:tcPr>
            <w:tcW w:w="1227" w:type="dxa"/>
            <w:tcBorders>
              <w:top w:val="nil"/>
              <w:left w:val="nil"/>
              <w:bottom w:val="nil"/>
              <w:right w:val="nil"/>
            </w:tcBorders>
          </w:tcPr>
          <w:p w14:paraId="50A2EE37">
            <w:pPr>
              <w:spacing w:line="400" w:lineRule="exact"/>
              <w:jc w:val="center"/>
              <w:rPr>
                <w:color w:val="auto"/>
                <w:sz w:val="21"/>
                <w:szCs w:val="21"/>
              </w:rPr>
            </w:pPr>
            <w:r>
              <w:rPr>
                <w:color w:val="auto"/>
                <w:sz w:val="21"/>
                <w:szCs w:val="21"/>
              </w:rPr>
              <w:t>PSO</w:t>
            </w:r>
          </w:p>
        </w:tc>
        <w:tc>
          <w:tcPr>
            <w:tcW w:w="1089" w:type="dxa"/>
            <w:tcBorders>
              <w:top w:val="nil"/>
              <w:left w:val="nil"/>
              <w:bottom w:val="nil"/>
              <w:right w:val="nil"/>
            </w:tcBorders>
          </w:tcPr>
          <w:p w14:paraId="1599846B">
            <w:pPr>
              <w:spacing w:line="400" w:lineRule="exact"/>
              <w:jc w:val="center"/>
              <w:rPr>
                <w:color w:val="auto"/>
                <w:sz w:val="21"/>
                <w:szCs w:val="21"/>
              </w:rPr>
            </w:pPr>
            <w:r>
              <w:rPr>
                <w:color w:val="auto"/>
                <w:sz w:val="21"/>
                <w:szCs w:val="21"/>
              </w:rPr>
              <w:t>25.3</w:t>
            </w:r>
          </w:p>
        </w:tc>
        <w:tc>
          <w:tcPr>
            <w:tcW w:w="1089" w:type="dxa"/>
            <w:tcBorders>
              <w:top w:val="nil"/>
              <w:left w:val="nil"/>
              <w:bottom w:val="nil"/>
              <w:right w:val="nil"/>
            </w:tcBorders>
          </w:tcPr>
          <w:p w14:paraId="3D79C328">
            <w:pPr>
              <w:spacing w:line="400" w:lineRule="exact"/>
              <w:jc w:val="center"/>
              <w:rPr>
                <w:color w:val="auto"/>
                <w:sz w:val="21"/>
                <w:szCs w:val="21"/>
              </w:rPr>
            </w:pPr>
            <w:r>
              <w:rPr>
                <w:color w:val="auto"/>
                <w:sz w:val="21"/>
                <w:szCs w:val="21"/>
              </w:rPr>
              <w:t>8.7</w:t>
            </w:r>
          </w:p>
        </w:tc>
        <w:tc>
          <w:tcPr>
            <w:tcW w:w="1133" w:type="dxa"/>
            <w:tcBorders>
              <w:top w:val="nil"/>
              <w:left w:val="nil"/>
              <w:bottom w:val="nil"/>
              <w:right w:val="nil"/>
            </w:tcBorders>
          </w:tcPr>
          <w:p w14:paraId="0340978C">
            <w:pPr>
              <w:spacing w:line="400" w:lineRule="exact"/>
              <w:jc w:val="center"/>
              <w:rPr>
                <w:color w:val="auto"/>
                <w:sz w:val="21"/>
                <w:szCs w:val="21"/>
              </w:rPr>
            </w:pPr>
            <w:r>
              <w:rPr>
                <w:color w:val="auto"/>
                <w:sz w:val="21"/>
                <w:szCs w:val="21"/>
              </w:rPr>
              <w:t>13.5</w:t>
            </w:r>
          </w:p>
        </w:tc>
        <w:tc>
          <w:tcPr>
            <w:tcW w:w="1787" w:type="dxa"/>
            <w:tcBorders>
              <w:top w:val="nil"/>
              <w:left w:val="nil"/>
              <w:bottom w:val="nil"/>
              <w:right w:val="nil"/>
            </w:tcBorders>
          </w:tcPr>
          <w:p w14:paraId="60028A4F">
            <w:pPr>
              <w:spacing w:line="400" w:lineRule="exact"/>
              <w:jc w:val="center"/>
              <w:rPr>
                <w:color w:val="auto"/>
                <w:sz w:val="21"/>
                <w:szCs w:val="21"/>
              </w:rPr>
            </w:pPr>
            <w:r>
              <w:rPr>
                <w:color w:val="auto"/>
                <w:sz w:val="21"/>
                <w:szCs w:val="21"/>
              </w:rPr>
              <w:t>0.15</w:t>
            </w:r>
          </w:p>
        </w:tc>
        <w:tc>
          <w:tcPr>
            <w:tcW w:w="1091" w:type="dxa"/>
            <w:tcBorders>
              <w:top w:val="nil"/>
              <w:left w:val="nil"/>
              <w:bottom w:val="nil"/>
              <w:right w:val="nil"/>
            </w:tcBorders>
          </w:tcPr>
          <w:p w14:paraId="5C80D83C">
            <w:pPr>
              <w:spacing w:line="400" w:lineRule="exact"/>
              <w:jc w:val="center"/>
              <w:rPr>
                <w:color w:val="auto"/>
                <w:sz w:val="21"/>
                <w:szCs w:val="21"/>
              </w:rPr>
            </w:pPr>
            <w:r>
              <w:rPr>
                <w:color w:val="auto"/>
                <w:sz w:val="21"/>
                <w:szCs w:val="21"/>
              </w:rPr>
              <w:t>85.2</w:t>
            </w:r>
          </w:p>
        </w:tc>
      </w:tr>
      <w:tr w14:paraId="54A18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06" w:type="dxa"/>
            <w:vMerge w:val="continue"/>
            <w:tcBorders>
              <w:left w:val="nil"/>
              <w:bottom w:val="nil"/>
              <w:right w:val="nil"/>
            </w:tcBorders>
          </w:tcPr>
          <w:p w14:paraId="19B9A537">
            <w:pPr>
              <w:spacing w:line="400" w:lineRule="exact"/>
              <w:jc w:val="center"/>
              <w:rPr>
                <w:color w:val="auto"/>
                <w:sz w:val="21"/>
                <w:szCs w:val="21"/>
              </w:rPr>
            </w:pPr>
          </w:p>
        </w:tc>
        <w:tc>
          <w:tcPr>
            <w:tcW w:w="1227" w:type="dxa"/>
            <w:tcBorders>
              <w:top w:val="nil"/>
              <w:left w:val="nil"/>
              <w:bottom w:val="nil"/>
              <w:right w:val="nil"/>
            </w:tcBorders>
          </w:tcPr>
          <w:p w14:paraId="0203F425">
            <w:pPr>
              <w:spacing w:line="400" w:lineRule="exact"/>
              <w:jc w:val="center"/>
              <w:rPr>
                <w:color w:val="auto"/>
                <w:sz w:val="21"/>
                <w:szCs w:val="21"/>
              </w:rPr>
            </w:pPr>
            <w:r>
              <w:rPr>
                <w:color w:val="auto"/>
                <w:sz w:val="21"/>
                <w:szCs w:val="21"/>
              </w:rPr>
              <w:t>NSGA-II</w:t>
            </w:r>
          </w:p>
        </w:tc>
        <w:tc>
          <w:tcPr>
            <w:tcW w:w="1089" w:type="dxa"/>
            <w:tcBorders>
              <w:top w:val="nil"/>
              <w:left w:val="nil"/>
              <w:bottom w:val="nil"/>
              <w:right w:val="nil"/>
            </w:tcBorders>
          </w:tcPr>
          <w:p w14:paraId="6CB9D5A7">
            <w:pPr>
              <w:spacing w:line="400" w:lineRule="exact"/>
              <w:jc w:val="center"/>
              <w:rPr>
                <w:color w:val="auto"/>
                <w:sz w:val="21"/>
                <w:szCs w:val="21"/>
              </w:rPr>
            </w:pPr>
            <w:r>
              <w:rPr>
                <w:color w:val="auto"/>
                <w:sz w:val="21"/>
                <w:szCs w:val="21"/>
              </w:rPr>
              <w:t>26.1</w:t>
            </w:r>
          </w:p>
        </w:tc>
        <w:tc>
          <w:tcPr>
            <w:tcW w:w="1089" w:type="dxa"/>
            <w:tcBorders>
              <w:top w:val="nil"/>
              <w:left w:val="nil"/>
              <w:bottom w:val="nil"/>
              <w:right w:val="nil"/>
            </w:tcBorders>
          </w:tcPr>
          <w:p w14:paraId="304659F0">
            <w:pPr>
              <w:spacing w:line="400" w:lineRule="exact"/>
              <w:jc w:val="center"/>
              <w:rPr>
                <w:color w:val="auto"/>
                <w:sz w:val="21"/>
                <w:szCs w:val="21"/>
              </w:rPr>
            </w:pPr>
            <w:r>
              <w:rPr>
                <w:color w:val="auto"/>
                <w:sz w:val="21"/>
                <w:szCs w:val="21"/>
              </w:rPr>
              <w:t>8.9</w:t>
            </w:r>
          </w:p>
        </w:tc>
        <w:tc>
          <w:tcPr>
            <w:tcW w:w="1133" w:type="dxa"/>
            <w:tcBorders>
              <w:top w:val="nil"/>
              <w:left w:val="nil"/>
              <w:bottom w:val="nil"/>
              <w:right w:val="nil"/>
            </w:tcBorders>
          </w:tcPr>
          <w:p w14:paraId="15F516BE">
            <w:pPr>
              <w:spacing w:line="400" w:lineRule="exact"/>
              <w:jc w:val="center"/>
              <w:rPr>
                <w:color w:val="auto"/>
                <w:sz w:val="21"/>
                <w:szCs w:val="21"/>
              </w:rPr>
            </w:pPr>
            <w:r>
              <w:rPr>
                <w:color w:val="auto"/>
                <w:sz w:val="21"/>
                <w:szCs w:val="21"/>
              </w:rPr>
              <w:t>13.2</w:t>
            </w:r>
          </w:p>
        </w:tc>
        <w:tc>
          <w:tcPr>
            <w:tcW w:w="1787" w:type="dxa"/>
            <w:tcBorders>
              <w:top w:val="nil"/>
              <w:left w:val="nil"/>
              <w:bottom w:val="nil"/>
              <w:right w:val="nil"/>
            </w:tcBorders>
          </w:tcPr>
          <w:p w14:paraId="76764698">
            <w:pPr>
              <w:spacing w:line="400" w:lineRule="exact"/>
              <w:jc w:val="center"/>
              <w:rPr>
                <w:color w:val="auto"/>
                <w:sz w:val="21"/>
                <w:szCs w:val="21"/>
              </w:rPr>
            </w:pPr>
            <w:r>
              <w:rPr>
                <w:color w:val="auto"/>
                <w:sz w:val="21"/>
                <w:szCs w:val="21"/>
              </w:rPr>
              <w:t>0.14</w:t>
            </w:r>
          </w:p>
        </w:tc>
        <w:tc>
          <w:tcPr>
            <w:tcW w:w="1091" w:type="dxa"/>
            <w:tcBorders>
              <w:top w:val="nil"/>
              <w:left w:val="nil"/>
              <w:bottom w:val="nil"/>
              <w:right w:val="nil"/>
            </w:tcBorders>
          </w:tcPr>
          <w:p w14:paraId="327F31AD">
            <w:pPr>
              <w:spacing w:line="400" w:lineRule="exact"/>
              <w:jc w:val="center"/>
              <w:rPr>
                <w:color w:val="auto"/>
                <w:sz w:val="21"/>
                <w:szCs w:val="21"/>
              </w:rPr>
            </w:pPr>
            <w:r>
              <w:rPr>
                <w:color w:val="auto"/>
                <w:sz w:val="21"/>
                <w:szCs w:val="21"/>
              </w:rPr>
              <w:t>86.7</w:t>
            </w:r>
          </w:p>
        </w:tc>
      </w:tr>
      <w:tr w14:paraId="5E068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restart"/>
            <w:tcBorders>
              <w:top w:val="nil"/>
              <w:left w:val="nil"/>
              <w:right w:val="nil"/>
            </w:tcBorders>
          </w:tcPr>
          <w:p w14:paraId="53FC6C02">
            <w:pPr>
              <w:spacing w:line="400" w:lineRule="exact"/>
              <w:jc w:val="center"/>
              <w:rPr>
                <w:color w:val="auto"/>
                <w:sz w:val="21"/>
                <w:szCs w:val="21"/>
              </w:rPr>
            </w:pPr>
            <w:r>
              <w:rPr>
                <w:color w:val="auto"/>
                <w:sz w:val="21"/>
                <w:szCs w:val="21"/>
              </w:rPr>
              <w:t>b</w:t>
            </w:r>
          </w:p>
        </w:tc>
        <w:tc>
          <w:tcPr>
            <w:tcW w:w="1227" w:type="dxa"/>
            <w:tcBorders>
              <w:top w:val="nil"/>
              <w:left w:val="nil"/>
              <w:bottom w:val="nil"/>
              <w:right w:val="nil"/>
            </w:tcBorders>
          </w:tcPr>
          <w:p w14:paraId="15C86677">
            <w:pPr>
              <w:spacing w:line="400" w:lineRule="exact"/>
              <w:jc w:val="center"/>
              <w:rPr>
                <w:color w:val="auto"/>
                <w:sz w:val="21"/>
                <w:szCs w:val="21"/>
              </w:rPr>
            </w:pPr>
            <w:r>
              <w:rPr>
                <w:color w:val="auto"/>
                <w:sz w:val="21"/>
                <w:szCs w:val="21"/>
              </w:rPr>
              <w:t>LHWGWO</w:t>
            </w:r>
          </w:p>
        </w:tc>
        <w:tc>
          <w:tcPr>
            <w:tcW w:w="1089" w:type="dxa"/>
            <w:tcBorders>
              <w:top w:val="nil"/>
              <w:left w:val="nil"/>
              <w:bottom w:val="nil"/>
              <w:right w:val="nil"/>
            </w:tcBorders>
          </w:tcPr>
          <w:p w14:paraId="440F9F9F">
            <w:pPr>
              <w:spacing w:line="400" w:lineRule="exact"/>
              <w:jc w:val="center"/>
              <w:rPr>
                <w:color w:val="auto"/>
                <w:sz w:val="21"/>
                <w:szCs w:val="21"/>
              </w:rPr>
            </w:pPr>
            <w:r>
              <w:rPr>
                <w:color w:val="auto"/>
                <w:sz w:val="21"/>
                <w:szCs w:val="21"/>
              </w:rPr>
              <w:t>15.2</w:t>
            </w:r>
          </w:p>
        </w:tc>
        <w:tc>
          <w:tcPr>
            <w:tcW w:w="1089" w:type="dxa"/>
            <w:tcBorders>
              <w:top w:val="nil"/>
              <w:left w:val="nil"/>
              <w:bottom w:val="nil"/>
              <w:right w:val="nil"/>
            </w:tcBorders>
          </w:tcPr>
          <w:p w14:paraId="266B800A">
            <w:pPr>
              <w:spacing w:line="400" w:lineRule="exact"/>
              <w:jc w:val="center"/>
              <w:rPr>
                <w:color w:val="auto"/>
                <w:sz w:val="21"/>
                <w:szCs w:val="21"/>
              </w:rPr>
            </w:pPr>
            <w:r>
              <w:rPr>
                <w:color w:val="auto"/>
                <w:sz w:val="21"/>
                <w:szCs w:val="21"/>
              </w:rPr>
              <w:t>6.8</w:t>
            </w:r>
          </w:p>
        </w:tc>
        <w:tc>
          <w:tcPr>
            <w:tcW w:w="1133" w:type="dxa"/>
            <w:tcBorders>
              <w:top w:val="nil"/>
              <w:left w:val="nil"/>
              <w:bottom w:val="nil"/>
              <w:right w:val="nil"/>
            </w:tcBorders>
          </w:tcPr>
          <w:p w14:paraId="051BBAFB">
            <w:pPr>
              <w:spacing w:line="400" w:lineRule="exact"/>
              <w:jc w:val="center"/>
              <w:rPr>
                <w:color w:val="auto"/>
                <w:sz w:val="21"/>
                <w:szCs w:val="21"/>
              </w:rPr>
            </w:pPr>
            <w:r>
              <w:rPr>
                <w:color w:val="auto"/>
                <w:sz w:val="21"/>
                <w:szCs w:val="21"/>
              </w:rPr>
              <w:t>14.5</w:t>
            </w:r>
          </w:p>
        </w:tc>
        <w:tc>
          <w:tcPr>
            <w:tcW w:w="1787" w:type="dxa"/>
            <w:tcBorders>
              <w:top w:val="nil"/>
              <w:left w:val="nil"/>
              <w:bottom w:val="nil"/>
              <w:right w:val="nil"/>
            </w:tcBorders>
          </w:tcPr>
          <w:p w14:paraId="13E0DD44">
            <w:pPr>
              <w:spacing w:line="400" w:lineRule="exact"/>
              <w:jc w:val="center"/>
              <w:rPr>
                <w:color w:val="auto"/>
                <w:sz w:val="21"/>
                <w:szCs w:val="21"/>
              </w:rPr>
            </w:pPr>
            <w:r>
              <w:rPr>
                <w:color w:val="auto"/>
                <w:sz w:val="21"/>
                <w:szCs w:val="21"/>
              </w:rPr>
              <w:t>0.28</w:t>
            </w:r>
          </w:p>
        </w:tc>
        <w:tc>
          <w:tcPr>
            <w:tcW w:w="1091" w:type="dxa"/>
            <w:tcBorders>
              <w:top w:val="nil"/>
              <w:left w:val="nil"/>
              <w:bottom w:val="nil"/>
              <w:right w:val="nil"/>
            </w:tcBorders>
          </w:tcPr>
          <w:p w14:paraId="34954861">
            <w:pPr>
              <w:spacing w:line="400" w:lineRule="exact"/>
              <w:jc w:val="center"/>
              <w:rPr>
                <w:color w:val="auto"/>
                <w:sz w:val="21"/>
                <w:szCs w:val="21"/>
              </w:rPr>
            </w:pPr>
            <w:r>
              <w:rPr>
                <w:color w:val="auto"/>
                <w:sz w:val="21"/>
                <w:szCs w:val="21"/>
              </w:rPr>
              <w:t>76.3</w:t>
            </w:r>
          </w:p>
        </w:tc>
      </w:tr>
      <w:tr w14:paraId="652F5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continue"/>
            <w:tcBorders>
              <w:left w:val="nil"/>
              <w:right w:val="nil"/>
            </w:tcBorders>
          </w:tcPr>
          <w:p w14:paraId="3A7A224D">
            <w:pPr>
              <w:spacing w:line="400" w:lineRule="exact"/>
              <w:jc w:val="center"/>
              <w:rPr>
                <w:color w:val="auto"/>
                <w:sz w:val="21"/>
                <w:szCs w:val="21"/>
              </w:rPr>
            </w:pPr>
          </w:p>
        </w:tc>
        <w:tc>
          <w:tcPr>
            <w:tcW w:w="1227" w:type="dxa"/>
            <w:tcBorders>
              <w:top w:val="nil"/>
              <w:left w:val="nil"/>
              <w:bottom w:val="nil"/>
              <w:right w:val="nil"/>
            </w:tcBorders>
          </w:tcPr>
          <w:p w14:paraId="7A82C719">
            <w:pPr>
              <w:spacing w:line="400" w:lineRule="exact"/>
              <w:jc w:val="center"/>
              <w:rPr>
                <w:color w:val="auto"/>
                <w:sz w:val="21"/>
                <w:szCs w:val="21"/>
              </w:rPr>
            </w:pPr>
            <w:r>
              <w:rPr>
                <w:color w:val="auto"/>
                <w:sz w:val="21"/>
                <w:szCs w:val="21"/>
              </w:rPr>
              <w:t>PSO</w:t>
            </w:r>
          </w:p>
        </w:tc>
        <w:tc>
          <w:tcPr>
            <w:tcW w:w="1089" w:type="dxa"/>
            <w:tcBorders>
              <w:top w:val="nil"/>
              <w:left w:val="nil"/>
              <w:bottom w:val="nil"/>
              <w:right w:val="nil"/>
            </w:tcBorders>
          </w:tcPr>
          <w:p w14:paraId="061D1634">
            <w:pPr>
              <w:spacing w:line="400" w:lineRule="exact"/>
              <w:jc w:val="center"/>
              <w:rPr>
                <w:color w:val="auto"/>
                <w:sz w:val="21"/>
                <w:szCs w:val="21"/>
              </w:rPr>
            </w:pPr>
            <w:r>
              <w:rPr>
                <w:color w:val="auto"/>
                <w:sz w:val="21"/>
                <w:szCs w:val="21"/>
              </w:rPr>
              <w:t>18.6</w:t>
            </w:r>
          </w:p>
        </w:tc>
        <w:tc>
          <w:tcPr>
            <w:tcW w:w="1089" w:type="dxa"/>
            <w:tcBorders>
              <w:top w:val="nil"/>
              <w:left w:val="nil"/>
              <w:bottom w:val="nil"/>
              <w:right w:val="nil"/>
            </w:tcBorders>
          </w:tcPr>
          <w:p w14:paraId="24E96FC8">
            <w:pPr>
              <w:spacing w:line="400" w:lineRule="exact"/>
              <w:jc w:val="center"/>
              <w:rPr>
                <w:color w:val="auto"/>
                <w:sz w:val="21"/>
                <w:szCs w:val="21"/>
              </w:rPr>
            </w:pPr>
            <w:r>
              <w:rPr>
                <w:color w:val="auto"/>
                <w:sz w:val="21"/>
                <w:szCs w:val="21"/>
              </w:rPr>
              <w:t>6.2</w:t>
            </w:r>
          </w:p>
        </w:tc>
        <w:tc>
          <w:tcPr>
            <w:tcW w:w="1133" w:type="dxa"/>
            <w:tcBorders>
              <w:top w:val="nil"/>
              <w:left w:val="nil"/>
              <w:bottom w:val="nil"/>
              <w:right w:val="nil"/>
            </w:tcBorders>
          </w:tcPr>
          <w:p w14:paraId="2A72098C">
            <w:pPr>
              <w:spacing w:line="400" w:lineRule="exact"/>
              <w:jc w:val="center"/>
              <w:rPr>
                <w:color w:val="auto"/>
                <w:sz w:val="21"/>
                <w:szCs w:val="21"/>
              </w:rPr>
            </w:pPr>
            <w:r>
              <w:rPr>
                <w:color w:val="auto"/>
                <w:sz w:val="21"/>
                <w:szCs w:val="21"/>
              </w:rPr>
              <w:t>15.0</w:t>
            </w:r>
          </w:p>
        </w:tc>
        <w:tc>
          <w:tcPr>
            <w:tcW w:w="1787" w:type="dxa"/>
            <w:tcBorders>
              <w:top w:val="nil"/>
              <w:left w:val="nil"/>
              <w:bottom w:val="nil"/>
              <w:right w:val="nil"/>
            </w:tcBorders>
          </w:tcPr>
          <w:p w14:paraId="73E51B0B">
            <w:pPr>
              <w:spacing w:line="400" w:lineRule="exact"/>
              <w:jc w:val="center"/>
              <w:rPr>
                <w:color w:val="auto"/>
                <w:sz w:val="21"/>
                <w:szCs w:val="21"/>
              </w:rPr>
            </w:pPr>
            <w:r>
              <w:rPr>
                <w:color w:val="auto"/>
                <w:sz w:val="21"/>
                <w:szCs w:val="21"/>
              </w:rPr>
              <w:t>0.32</w:t>
            </w:r>
          </w:p>
        </w:tc>
        <w:tc>
          <w:tcPr>
            <w:tcW w:w="1091" w:type="dxa"/>
            <w:tcBorders>
              <w:top w:val="nil"/>
              <w:left w:val="nil"/>
              <w:bottom w:val="nil"/>
              <w:right w:val="nil"/>
            </w:tcBorders>
          </w:tcPr>
          <w:p w14:paraId="374B775F">
            <w:pPr>
              <w:spacing w:line="400" w:lineRule="exact"/>
              <w:jc w:val="center"/>
              <w:rPr>
                <w:color w:val="auto"/>
                <w:sz w:val="21"/>
                <w:szCs w:val="21"/>
              </w:rPr>
            </w:pPr>
            <w:r>
              <w:rPr>
                <w:color w:val="auto"/>
                <w:sz w:val="21"/>
                <w:szCs w:val="21"/>
              </w:rPr>
              <w:t>72.4</w:t>
            </w:r>
          </w:p>
        </w:tc>
      </w:tr>
      <w:tr w14:paraId="55E40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continue"/>
            <w:tcBorders>
              <w:left w:val="nil"/>
              <w:bottom w:val="nil"/>
              <w:right w:val="nil"/>
            </w:tcBorders>
          </w:tcPr>
          <w:p w14:paraId="63A137BF">
            <w:pPr>
              <w:spacing w:line="400" w:lineRule="exact"/>
              <w:jc w:val="center"/>
              <w:rPr>
                <w:color w:val="auto"/>
                <w:sz w:val="21"/>
                <w:szCs w:val="21"/>
              </w:rPr>
            </w:pPr>
          </w:p>
        </w:tc>
        <w:tc>
          <w:tcPr>
            <w:tcW w:w="1227" w:type="dxa"/>
            <w:tcBorders>
              <w:top w:val="nil"/>
              <w:left w:val="nil"/>
              <w:bottom w:val="nil"/>
              <w:right w:val="nil"/>
            </w:tcBorders>
          </w:tcPr>
          <w:p w14:paraId="3AE4737A">
            <w:pPr>
              <w:spacing w:line="400" w:lineRule="exact"/>
              <w:jc w:val="center"/>
              <w:rPr>
                <w:color w:val="auto"/>
                <w:sz w:val="21"/>
                <w:szCs w:val="21"/>
              </w:rPr>
            </w:pPr>
            <w:r>
              <w:rPr>
                <w:color w:val="auto"/>
                <w:sz w:val="21"/>
                <w:szCs w:val="21"/>
              </w:rPr>
              <w:t>NSGA-II</w:t>
            </w:r>
          </w:p>
        </w:tc>
        <w:tc>
          <w:tcPr>
            <w:tcW w:w="1089" w:type="dxa"/>
            <w:tcBorders>
              <w:top w:val="nil"/>
              <w:left w:val="nil"/>
              <w:bottom w:val="nil"/>
              <w:right w:val="nil"/>
            </w:tcBorders>
          </w:tcPr>
          <w:p w14:paraId="692EE809">
            <w:pPr>
              <w:spacing w:line="400" w:lineRule="exact"/>
              <w:jc w:val="center"/>
              <w:rPr>
                <w:color w:val="auto"/>
                <w:sz w:val="21"/>
                <w:szCs w:val="21"/>
              </w:rPr>
            </w:pPr>
            <w:r>
              <w:rPr>
                <w:color w:val="auto"/>
                <w:sz w:val="21"/>
                <w:szCs w:val="21"/>
              </w:rPr>
              <w:t>17.4</w:t>
            </w:r>
          </w:p>
        </w:tc>
        <w:tc>
          <w:tcPr>
            <w:tcW w:w="1089" w:type="dxa"/>
            <w:tcBorders>
              <w:top w:val="nil"/>
              <w:left w:val="nil"/>
              <w:bottom w:val="nil"/>
              <w:right w:val="nil"/>
            </w:tcBorders>
          </w:tcPr>
          <w:p w14:paraId="47887D82">
            <w:pPr>
              <w:spacing w:line="400" w:lineRule="exact"/>
              <w:jc w:val="center"/>
              <w:rPr>
                <w:color w:val="auto"/>
                <w:sz w:val="21"/>
                <w:szCs w:val="21"/>
              </w:rPr>
            </w:pPr>
            <w:r>
              <w:rPr>
                <w:color w:val="auto"/>
                <w:sz w:val="21"/>
                <w:szCs w:val="21"/>
              </w:rPr>
              <w:t>6.5</w:t>
            </w:r>
          </w:p>
        </w:tc>
        <w:tc>
          <w:tcPr>
            <w:tcW w:w="1133" w:type="dxa"/>
            <w:tcBorders>
              <w:top w:val="nil"/>
              <w:left w:val="nil"/>
              <w:bottom w:val="nil"/>
              <w:right w:val="nil"/>
            </w:tcBorders>
          </w:tcPr>
          <w:p w14:paraId="5A43AEB4">
            <w:pPr>
              <w:spacing w:line="400" w:lineRule="exact"/>
              <w:jc w:val="center"/>
              <w:rPr>
                <w:color w:val="auto"/>
                <w:sz w:val="21"/>
                <w:szCs w:val="21"/>
              </w:rPr>
            </w:pPr>
            <w:r>
              <w:rPr>
                <w:color w:val="auto"/>
                <w:sz w:val="21"/>
                <w:szCs w:val="21"/>
              </w:rPr>
              <w:t>14.8</w:t>
            </w:r>
          </w:p>
        </w:tc>
        <w:tc>
          <w:tcPr>
            <w:tcW w:w="1787" w:type="dxa"/>
            <w:tcBorders>
              <w:top w:val="nil"/>
              <w:left w:val="nil"/>
              <w:bottom w:val="nil"/>
              <w:right w:val="nil"/>
            </w:tcBorders>
          </w:tcPr>
          <w:p w14:paraId="71921E5B">
            <w:pPr>
              <w:spacing w:line="400" w:lineRule="exact"/>
              <w:jc w:val="center"/>
              <w:rPr>
                <w:color w:val="auto"/>
                <w:sz w:val="21"/>
                <w:szCs w:val="21"/>
              </w:rPr>
            </w:pPr>
            <w:r>
              <w:rPr>
                <w:color w:val="auto"/>
                <w:sz w:val="21"/>
                <w:szCs w:val="21"/>
              </w:rPr>
              <w:t>0.30</w:t>
            </w:r>
          </w:p>
        </w:tc>
        <w:tc>
          <w:tcPr>
            <w:tcW w:w="1091" w:type="dxa"/>
            <w:tcBorders>
              <w:top w:val="nil"/>
              <w:left w:val="nil"/>
              <w:bottom w:val="nil"/>
              <w:right w:val="nil"/>
            </w:tcBorders>
          </w:tcPr>
          <w:p w14:paraId="0DA389A4">
            <w:pPr>
              <w:spacing w:line="400" w:lineRule="exact"/>
              <w:jc w:val="center"/>
              <w:rPr>
                <w:color w:val="auto"/>
                <w:sz w:val="21"/>
                <w:szCs w:val="21"/>
              </w:rPr>
            </w:pPr>
            <w:r>
              <w:rPr>
                <w:color w:val="auto"/>
                <w:sz w:val="21"/>
                <w:szCs w:val="21"/>
              </w:rPr>
              <w:t>74.1</w:t>
            </w:r>
          </w:p>
        </w:tc>
      </w:tr>
      <w:tr w14:paraId="66E70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restart"/>
            <w:tcBorders>
              <w:top w:val="nil"/>
              <w:left w:val="nil"/>
              <w:right w:val="nil"/>
            </w:tcBorders>
          </w:tcPr>
          <w:p w14:paraId="26EEDAEF">
            <w:pPr>
              <w:spacing w:line="400" w:lineRule="exact"/>
              <w:jc w:val="center"/>
              <w:rPr>
                <w:color w:val="auto"/>
                <w:sz w:val="21"/>
                <w:szCs w:val="21"/>
              </w:rPr>
            </w:pPr>
            <w:r>
              <w:rPr>
                <w:color w:val="auto"/>
                <w:sz w:val="21"/>
                <w:szCs w:val="21"/>
              </w:rPr>
              <w:t>c</w:t>
            </w:r>
          </w:p>
        </w:tc>
        <w:tc>
          <w:tcPr>
            <w:tcW w:w="1227" w:type="dxa"/>
            <w:tcBorders>
              <w:top w:val="nil"/>
              <w:left w:val="nil"/>
              <w:bottom w:val="nil"/>
              <w:right w:val="nil"/>
            </w:tcBorders>
          </w:tcPr>
          <w:p w14:paraId="3451D2EC">
            <w:pPr>
              <w:spacing w:line="400" w:lineRule="exact"/>
              <w:jc w:val="center"/>
              <w:rPr>
                <w:color w:val="auto"/>
                <w:sz w:val="21"/>
                <w:szCs w:val="21"/>
              </w:rPr>
            </w:pPr>
            <w:r>
              <w:rPr>
                <w:color w:val="auto"/>
                <w:sz w:val="21"/>
                <w:szCs w:val="21"/>
              </w:rPr>
              <w:t>LHWGWO</w:t>
            </w:r>
          </w:p>
        </w:tc>
        <w:tc>
          <w:tcPr>
            <w:tcW w:w="1089" w:type="dxa"/>
            <w:tcBorders>
              <w:top w:val="nil"/>
              <w:left w:val="nil"/>
              <w:bottom w:val="nil"/>
              <w:right w:val="nil"/>
            </w:tcBorders>
          </w:tcPr>
          <w:p w14:paraId="4215883E">
            <w:pPr>
              <w:spacing w:line="400" w:lineRule="exact"/>
              <w:jc w:val="center"/>
              <w:rPr>
                <w:color w:val="auto"/>
                <w:sz w:val="21"/>
                <w:szCs w:val="21"/>
              </w:rPr>
            </w:pPr>
            <w:r>
              <w:rPr>
                <w:color w:val="auto"/>
                <w:sz w:val="21"/>
                <w:szCs w:val="21"/>
              </w:rPr>
              <w:t>32.7</w:t>
            </w:r>
          </w:p>
        </w:tc>
        <w:tc>
          <w:tcPr>
            <w:tcW w:w="1089" w:type="dxa"/>
            <w:tcBorders>
              <w:top w:val="nil"/>
              <w:left w:val="nil"/>
              <w:bottom w:val="nil"/>
              <w:right w:val="nil"/>
            </w:tcBorders>
          </w:tcPr>
          <w:p w14:paraId="4F188A90">
            <w:pPr>
              <w:spacing w:line="400" w:lineRule="exact"/>
              <w:jc w:val="center"/>
              <w:rPr>
                <w:color w:val="auto"/>
                <w:sz w:val="21"/>
                <w:szCs w:val="21"/>
              </w:rPr>
            </w:pPr>
            <w:r>
              <w:rPr>
                <w:color w:val="auto"/>
                <w:sz w:val="21"/>
                <w:szCs w:val="21"/>
              </w:rPr>
              <w:t>10.5</w:t>
            </w:r>
          </w:p>
        </w:tc>
        <w:tc>
          <w:tcPr>
            <w:tcW w:w="1133" w:type="dxa"/>
            <w:tcBorders>
              <w:top w:val="nil"/>
              <w:left w:val="nil"/>
              <w:bottom w:val="nil"/>
              <w:right w:val="nil"/>
            </w:tcBorders>
          </w:tcPr>
          <w:p w14:paraId="7B88A08F">
            <w:pPr>
              <w:spacing w:line="400" w:lineRule="exact"/>
              <w:jc w:val="center"/>
              <w:rPr>
                <w:color w:val="auto"/>
                <w:sz w:val="21"/>
                <w:szCs w:val="21"/>
              </w:rPr>
            </w:pPr>
            <w:r>
              <w:rPr>
                <w:color w:val="auto"/>
                <w:sz w:val="21"/>
                <w:szCs w:val="21"/>
              </w:rPr>
              <w:t>11.2</w:t>
            </w:r>
          </w:p>
        </w:tc>
        <w:tc>
          <w:tcPr>
            <w:tcW w:w="1787" w:type="dxa"/>
            <w:tcBorders>
              <w:top w:val="nil"/>
              <w:left w:val="nil"/>
              <w:bottom w:val="nil"/>
              <w:right w:val="nil"/>
            </w:tcBorders>
          </w:tcPr>
          <w:p w14:paraId="43847D84">
            <w:pPr>
              <w:spacing w:line="400" w:lineRule="exact"/>
              <w:jc w:val="center"/>
              <w:rPr>
                <w:color w:val="auto"/>
                <w:sz w:val="21"/>
                <w:szCs w:val="21"/>
              </w:rPr>
            </w:pPr>
            <w:r>
              <w:rPr>
                <w:color w:val="auto"/>
                <w:sz w:val="21"/>
                <w:szCs w:val="21"/>
              </w:rPr>
              <w:t>0.08</w:t>
            </w:r>
          </w:p>
        </w:tc>
        <w:tc>
          <w:tcPr>
            <w:tcW w:w="1091" w:type="dxa"/>
            <w:tcBorders>
              <w:top w:val="nil"/>
              <w:left w:val="nil"/>
              <w:bottom w:val="nil"/>
              <w:right w:val="nil"/>
            </w:tcBorders>
          </w:tcPr>
          <w:p w14:paraId="4CD01CA0">
            <w:pPr>
              <w:spacing w:line="400" w:lineRule="exact"/>
              <w:jc w:val="center"/>
              <w:rPr>
                <w:color w:val="auto"/>
                <w:sz w:val="21"/>
                <w:szCs w:val="21"/>
              </w:rPr>
            </w:pPr>
            <w:r>
              <w:rPr>
                <w:color w:val="auto"/>
                <w:sz w:val="21"/>
                <w:szCs w:val="21"/>
              </w:rPr>
              <w:t>92.1</w:t>
            </w:r>
          </w:p>
        </w:tc>
      </w:tr>
      <w:tr w14:paraId="3CB3B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continue"/>
            <w:tcBorders>
              <w:left w:val="nil"/>
              <w:right w:val="nil"/>
            </w:tcBorders>
          </w:tcPr>
          <w:p w14:paraId="4710573D">
            <w:pPr>
              <w:spacing w:line="400" w:lineRule="exact"/>
              <w:jc w:val="center"/>
              <w:rPr>
                <w:color w:val="auto"/>
                <w:sz w:val="21"/>
                <w:szCs w:val="21"/>
              </w:rPr>
            </w:pPr>
          </w:p>
        </w:tc>
        <w:tc>
          <w:tcPr>
            <w:tcW w:w="1227" w:type="dxa"/>
            <w:tcBorders>
              <w:top w:val="nil"/>
              <w:left w:val="nil"/>
              <w:bottom w:val="nil"/>
              <w:right w:val="nil"/>
            </w:tcBorders>
          </w:tcPr>
          <w:p w14:paraId="58EF99D2">
            <w:pPr>
              <w:spacing w:line="400" w:lineRule="exact"/>
              <w:jc w:val="center"/>
              <w:rPr>
                <w:color w:val="auto"/>
                <w:sz w:val="21"/>
                <w:szCs w:val="21"/>
              </w:rPr>
            </w:pPr>
            <w:r>
              <w:rPr>
                <w:color w:val="auto"/>
                <w:sz w:val="21"/>
                <w:szCs w:val="21"/>
              </w:rPr>
              <w:t>PSO</w:t>
            </w:r>
          </w:p>
        </w:tc>
        <w:tc>
          <w:tcPr>
            <w:tcW w:w="1089" w:type="dxa"/>
            <w:tcBorders>
              <w:top w:val="nil"/>
              <w:left w:val="nil"/>
              <w:bottom w:val="nil"/>
              <w:right w:val="nil"/>
            </w:tcBorders>
          </w:tcPr>
          <w:p w14:paraId="7AED053F">
            <w:pPr>
              <w:spacing w:line="400" w:lineRule="exact"/>
              <w:jc w:val="center"/>
              <w:rPr>
                <w:color w:val="auto"/>
                <w:sz w:val="21"/>
                <w:szCs w:val="21"/>
              </w:rPr>
            </w:pPr>
            <w:r>
              <w:rPr>
                <w:color w:val="auto"/>
                <w:sz w:val="21"/>
                <w:szCs w:val="21"/>
              </w:rPr>
              <w:t>29.4</w:t>
            </w:r>
          </w:p>
        </w:tc>
        <w:tc>
          <w:tcPr>
            <w:tcW w:w="1089" w:type="dxa"/>
            <w:tcBorders>
              <w:top w:val="nil"/>
              <w:left w:val="nil"/>
              <w:bottom w:val="nil"/>
              <w:right w:val="nil"/>
            </w:tcBorders>
          </w:tcPr>
          <w:p w14:paraId="71EF3AAB">
            <w:pPr>
              <w:spacing w:line="400" w:lineRule="exact"/>
              <w:jc w:val="center"/>
              <w:rPr>
                <w:color w:val="auto"/>
                <w:sz w:val="21"/>
                <w:szCs w:val="21"/>
              </w:rPr>
            </w:pPr>
            <w:r>
              <w:rPr>
                <w:color w:val="auto"/>
                <w:sz w:val="21"/>
                <w:szCs w:val="21"/>
              </w:rPr>
              <w:t>9.8</w:t>
            </w:r>
          </w:p>
        </w:tc>
        <w:tc>
          <w:tcPr>
            <w:tcW w:w="1133" w:type="dxa"/>
            <w:tcBorders>
              <w:top w:val="nil"/>
              <w:left w:val="nil"/>
              <w:bottom w:val="nil"/>
              <w:right w:val="nil"/>
            </w:tcBorders>
          </w:tcPr>
          <w:p w14:paraId="01AAAAD6">
            <w:pPr>
              <w:spacing w:line="400" w:lineRule="exact"/>
              <w:jc w:val="center"/>
              <w:rPr>
                <w:color w:val="auto"/>
                <w:sz w:val="21"/>
                <w:szCs w:val="21"/>
              </w:rPr>
            </w:pPr>
            <w:r>
              <w:rPr>
                <w:color w:val="auto"/>
                <w:sz w:val="21"/>
                <w:szCs w:val="21"/>
              </w:rPr>
              <w:t>12.0</w:t>
            </w:r>
          </w:p>
        </w:tc>
        <w:tc>
          <w:tcPr>
            <w:tcW w:w="1787" w:type="dxa"/>
            <w:tcBorders>
              <w:top w:val="nil"/>
              <w:left w:val="nil"/>
              <w:bottom w:val="nil"/>
              <w:right w:val="nil"/>
            </w:tcBorders>
          </w:tcPr>
          <w:p w14:paraId="0B6878D6">
            <w:pPr>
              <w:spacing w:line="400" w:lineRule="exact"/>
              <w:jc w:val="center"/>
              <w:rPr>
                <w:color w:val="auto"/>
                <w:sz w:val="21"/>
                <w:szCs w:val="21"/>
              </w:rPr>
            </w:pPr>
            <w:r>
              <w:rPr>
                <w:color w:val="auto"/>
                <w:sz w:val="21"/>
                <w:szCs w:val="21"/>
              </w:rPr>
              <w:t>0.10</w:t>
            </w:r>
          </w:p>
        </w:tc>
        <w:tc>
          <w:tcPr>
            <w:tcW w:w="1091" w:type="dxa"/>
            <w:tcBorders>
              <w:top w:val="nil"/>
              <w:left w:val="nil"/>
              <w:bottom w:val="nil"/>
              <w:right w:val="nil"/>
            </w:tcBorders>
          </w:tcPr>
          <w:p w14:paraId="41F059D9">
            <w:pPr>
              <w:spacing w:line="400" w:lineRule="exact"/>
              <w:jc w:val="center"/>
              <w:rPr>
                <w:color w:val="auto"/>
                <w:sz w:val="21"/>
                <w:szCs w:val="21"/>
              </w:rPr>
            </w:pPr>
            <w:r>
              <w:rPr>
                <w:color w:val="auto"/>
                <w:sz w:val="21"/>
                <w:szCs w:val="21"/>
              </w:rPr>
              <w:t>89.6</w:t>
            </w:r>
          </w:p>
        </w:tc>
      </w:tr>
      <w:tr w14:paraId="5FBD6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continue"/>
            <w:tcBorders>
              <w:left w:val="nil"/>
              <w:bottom w:val="nil"/>
              <w:right w:val="nil"/>
            </w:tcBorders>
          </w:tcPr>
          <w:p w14:paraId="5639950C">
            <w:pPr>
              <w:spacing w:line="400" w:lineRule="exact"/>
              <w:jc w:val="center"/>
              <w:rPr>
                <w:color w:val="auto"/>
                <w:sz w:val="21"/>
                <w:szCs w:val="21"/>
              </w:rPr>
            </w:pPr>
          </w:p>
        </w:tc>
        <w:tc>
          <w:tcPr>
            <w:tcW w:w="1227" w:type="dxa"/>
            <w:tcBorders>
              <w:top w:val="nil"/>
              <w:left w:val="nil"/>
              <w:bottom w:val="nil"/>
              <w:right w:val="nil"/>
            </w:tcBorders>
          </w:tcPr>
          <w:p w14:paraId="7A17CFD0">
            <w:pPr>
              <w:spacing w:line="400" w:lineRule="exact"/>
              <w:jc w:val="center"/>
              <w:rPr>
                <w:color w:val="auto"/>
                <w:sz w:val="21"/>
                <w:szCs w:val="21"/>
              </w:rPr>
            </w:pPr>
            <w:r>
              <w:rPr>
                <w:color w:val="auto"/>
                <w:sz w:val="21"/>
                <w:szCs w:val="21"/>
              </w:rPr>
              <w:t>NSGA-II</w:t>
            </w:r>
          </w:p>
        </w:tc>
        <w:tc>
          <w:tcPr>
            <w:tcW w:w="1089" w:type="dxa"/>
            <w:tcBorders>
              <w:top w:val="nil"/>
              <w:left w:val="nil"/>
              <w:bottom w:val="nil"/>
              <w:right w:val="nil"/>
            </w:tcBorders>
          </w:tcPr>
          <w:p w14:paraId="7E8C5253">
            <w:pPr>
              <w:spacing w:line="400" w:lineRule="exact"/>
              <w:jc w:val="center"/>
              <w:rPr>
                <w:color w:val="auto"/>
                <w:sz w:val="21"/>
                <w:szCs w:val="21"/>
              </w:rPr>
            </w:pPr>
            <w:r>
              <w:rPr>
                <w:color w:val="auto"/>
                <w:sz w:val="21"/>
                <w:szCs w:val="21"/>
              </w:rPr>
              <w:t>30.9</w:t>
            </w:r>
          </w:p>
        </w:tc>
        <w:tc>
          <w:tcPr>
            <w:tcW w:w="1089" w:type="dxa"/>
            <w:tcBorders>
              <w:top w:val="nil"/>
              <w:left w:val="nil"/>
              <w:bottom w:val="nil"/>
              <w:right w:val="nil"/>
            </w:tcBorders>
          </w:tcPr>
          <w:p w14:paraId="683F2C6A">
            <w:pPr>
              <w:spacing w:line="400" w:lineRule="exact"/>
              <w:jc w:val="center"/>
              <w:rPr>
                <w:color w:val="auto"/>
                <w:sz w:val="21"/>
                <w:szCs w:val="21"/>
              </w:rPr>
            </w:pPr>
            <w:r>
              <w:rPr>
                <w:color w:val="auto"/>
                <w:sz w:val="21"/>
                <w:szCs w:val="21"/>
              </w:rPr>
              <w:t>10.1</w:t>
            </w:r>
          </w:p>
        </w:tc>
        <w:tc>
          <w:tcPr>
            <w:tcW w:w="1133" w:type="dxa"/>
            <w:tcBorders>
              <w:top w:val="nil"/>
              <w:left w:val="nil"/>
              <w:bottom w:val="nil"/>
              <w:right w:val="nil"/>
            </w:tcBorders>
          </w:tcPr>
          <w:p w14:paraId="5A97DEDC">
            <w:pPr>
              <w:spacing w:line="400" w:lineRule="exact"/>
              <w:jc w:val="center"/>
              <w:rPr>
                <w:color w:val="auto"/>
                <w:sz w:val="21"/>
                <w:szCs w:val="21"/>
              </w:rPr>
            </w:pPr>
            <w:r>
              <w:rPr>
                <w:color w:val="auto"/>
                <w:sz w:val="21"/>
                <w:szCs w:val="21"/>
              </w:rPr>
              <w:t>11.6</w:t>
            </w:r>
          </w:p>
        </w:tc>
        <w:tc>
          <w:tcPr>
            <w:tcW w:w="1787" w:type="dxa"/>
            <w:tcBorders>
              <w:top w:val="nil"/>
              <w:left w:val="nil"/>
              <w:bottom w:val="nil"/>
              <w:right w:val="nil"/>
            </w:tcBorders>
          </w:tcPr>
          <w:p w14:paraId="0F4D7D89">
            <w:pPr>
              <w:spacing w:line="400" w:lineRule="exact"/>
              <w:jc w:val="center"/>
              <w:rPr>
                <w:color w:val="auto"/>
                <w:sz w:val="21"/>
                <w:szCs w:val="21"/>
              </w:rPr>
            </w:pPr>
            <w:r>
              <w:rPr>
                <w:color w:val="auto"/>
                <w:sz w:val="21"/>
                <w:szCs w:val="21"/>
              </w:rPr>
              <w:t>0.09</w:t>
            </w:r>
          </w:p>
        </w:tc>
        <w:tc>
          <w:tcPr>
            <w:tcW w:w="1091" w:type="dxa"/>
            <w:tcBorders>
              <w:top w:val="nil"/>
              <w:left w:val="nil"/>
              <w:bottom w:val="nil"/>
              <w:right w:val="nil"/>
            </w:tcBorders>
          </w:tcPr>
          <w:p w14:paraId="2AD59B8E">
            <w:pPr>
              <w:spacing w:line="400" w:lineRule="exact"/>
              <w:jc w:val="center"/>
              <w:rPr>
                <w:color w:val="auto"/>
                <w:sz w:val="21"/>
                <w:szCs w:val="21"/>
              </w:rPr>
            </w:pPr>
            <w:r>
              <w:rPr>
                <w:color w:val="auto"/>
                <w:sz w:val="21"/>
                <w:szCs w:val="21"/>
              </w:rPr>
              <w:t>90.8</w:t>
            </w:r>
          </w:p>
        </w:tc>
      </w:tr>
      <w:tr w14:paraId="77514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restart"/>
            <w:tcBorders>
              <w:top w:val="nil"/>
              <w:left w:val="nil"/>
              <w:right w:val="nil"/>
            </w:tcBorders>
          </w:tcPr>
          <w:p w14:paraId="7FEE0A05">
            <w:pPr>
              <w:spacing w:line="400" w:lineRule="exact"/>
              <w:jc w:val="center"/>
              <w:rPr>
                <w:color w:val="auto"/>
                <w:sz w:val="21"/>
                <w:szCs w:val="21"/>
              </w:rPr>
            </w:pPr>
            <w:r>
              <w:rPr>
                <w:color w:val="auto"/>
                <w:sz w:val="21"/>
                <w:szCs w:val="21"/>
              </w:rPr>
              <w:t>d</w:t>
            </w:r>
          </w:p>
        </w:tc>
        <w:tc>
          <w:tcPr>
            <w:tcW w:w="1227" w:type="dxa"/>
            <w:tcBorders>
              <w:top w:val="nil"/>
              <w:left w:val="nil"/>
              <w:bottom w:val="nil"/>
              <w:right w:val="nil"/>
            </w:tcBorders>
          </w:tcPr>
          <w:p w14:paraId="6A03514F">
            <w:pPr>
              <w:spacing w:line="400" w:lineRule="exact"/>
              <w:jc w:val="center"/>
              <w:rPr>
                <w:color w:val="auto"/>
                <w:sz w:val="21"/>
                <w:szCs w:val="21"/>
              </w:rPr>
            </w:pPr>
            <w:r>
              <w:rPr>
                <w:color w:val="auto"/>
                <w:sz w:val="21"/>
                <w:szCs w:val="21"/>
              </w:rPr>
              <w:t>LHWGWO</w:t>
            </w:r>
          </w:p>
        </w:tc>
        <w:tc>
          <w:tcPr>
            <w:tcW w:w="1089" w:type="dxa"/>
            <w:tcBorders>
              <w:top w:val="nil"/>
              <w:left w:val="nil"/>
              <w:bottom w:val="nil"/>
              <w:right w:val="nil"/>
            </w:tcBorders>
          </w:tcPr>
          <w:p w14:paraId="1C532855">
            <w:pPr>
              <w:spacing w:line="400" w:lineRule="exact"/>
              <w:jc w:val="center"/>
              <w:rPr>
                <w:color w:val="auto"/>
                <w:sz w:val="21"/>
                <w:szCs w:val="21"/>
              </w:rPr>
            </w:pPr>
            <w:r>
              <w:rPr>
                <w:color w:val="auto"/>
                <w:sz w:val="21"/>
                <w:szCs w:val="21"/>
              </w:rPr>
              <w:t>18.6</w:t>
            </w:r>
          </w:p>
        </w:tc>
        <w:tc>
          <w:tcPr>
            <w:tcW w:w="1089" w:type="dxa"/>
            <w:tcBorders>
              <w:top w:val="nil"/>
              <w:left w:val="nil"/>
              <w:bottom w:val="nil"/>
              <w:right w:val="nil"/>
            </w:tcBorders>
          </w:tcPr>
          <w:p w14:paraId="3D3EF62F">
            <w:pPr>
              <w:spacing w:line="400" w:lineRule="exact"/>
              <w:jc w:val="center"/>
              <w:rPr>
                <w:color w:val="auto"/>
                <w:sz w:val="21"/>
                <w:szCs w:val="21"/>
              </w:rPr>
            </w:pPr>
            <w:r>
              <w:rPr>
                <w:color w:val="auto"/>
                <w:sz w:val="21"/>
                <w:szCs w:val="21"/>
              </w:rPr>
              <w:t>7.9</w:t>
            </w:r>
          </w:p>
        </w:tc>
        <w:tc>
          <w:tcPr>
            <w:tcW w:w="1133" w:type="dxa"/>
            <w:tcBorders>
              <w:top w:val="nil"/>
              <w:left w:val="nil"/>
              <w:bottom w:val="nil"/>
              <w:right w:val="nil"/>
            </w:tcBorders>
          </w:tcPr>
          <w:p w14:paraId="3377307B">
            <w:pPr>
              <w:spacing w:line="400" w:lineRule="exact"/>
              <w:jc w:val="center"/>
              <w:rPr>
                <w:color w:val="auto"/>
                <w:sz w:val="21"/>
                <w:szCs w:val="21"/>
              </w:rPr>
            </w:pPr>
            <w:r>
              <w:rPr>
                <w:color w:val="auto"/>
                <w:sz w:val="21"/>
                <w:szCs w:val="21"/>
              </w:rPr>
              <w:t>13.0</w:t>
            </w:r>
          </w:p>
        </w:tc>
        <w:tc>
          <w:tcPr>
            <w:tcW w:w="1787" w:type="dxa"/>
            <w:tcBorders>
              <w:top w:val="nil"/>
              <w:left w:val="nil"/>
              <w:bottom w:val="nil"/>
              <w:right w:val="nil"/>
            </w:tcBorders>
          </w:tcPr>
          <w:p w14:paraId="7E8BBC7E">
            <w:pPr>
              <w:spacing w:line="400" w:lineRule="exact"/>
              <w:jc w:val="center"/>
              <w:rPr>
                <w:color w:val="auto"/>
                <w:sz w:val="21"/>
                <w:szCs w:val="21"/>
              </w:rPr>
            </w:pPr>
            <w:r>
              <w:rPr>
                <w:color w:val="auto"/>
                <w:sz w:val="21"/>
                <w:szCs w:val="21"/>
              </w:rPr>
              <w:t>0.18</w:t>
            </w:r>
          </w:p>
        </w:tc>
        <w:tc>
          <w:tcPr>
            <w:tcW w:w="1091" w:type="dxa"/>
            <w:tcBorders>
              <w:top w:val="nil"/>
              <w:left w:val="nil"/>
              <w:bottom w:val="nil"/>
              <w:right w:val="nil"/>
            </w:tcBorders>
          </w:tcPr>
          <w:p w14:paraId="51CB177F">
            <w:pPr>
              <w:spacing w:line="400" w:lineRule="exact"/>
              <w:jc w:val="center"/>
              <w:rPr>
                <w:color w:val="auto"/>
                <w:sz w:val="21"/>
                <w:szCs w:val="21"/>
              </w:rPr>
            </w:pPr>
            <w:r>
              <w:rPr>
                <w:color w:val="auto"/>
                <w:sz w:val="21"/>
                <w:szCs w:val="21"/>
              </w:rPr>
              <w:t>83.4</w:t>
            </w:r>
          </w:p>
        </w:tc>
      </w:tr>
      <w:tr w14:paraId="69D3D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continue"/>
            <w:tcBorders>
              <w:left w:val="nil"/>
              <w:right w:val="nil"/>
            </w:tcBorders>
          </w:tcPr>
          <w:p w14:paraId="045200D7">
            <w:pPr>
              <w:spacing w:line="400" w:lineRule="exact"/>
              <w:jc w:val="center"/>
              <w:rPr>
                <w:color w:val="auto"/>
                <w:sz w:val="21"/>
                <w:szCs w:val="21"/>
              </w:rPr>
            </w:pPr>
          </w:p>
        </w:tc>
        <w:tc>
          <w:tcPr>
            <w:tcW w:w="1227" w:type="dxa"/>
            <w:tcBorders>
              <w:top w:val="nil"/>
              <w:left w:val="nil"/>
              <w:bottom w:val="nil"/>
              <w:right w:val="nil"/>
            </w:tcBorders>
          </w:tcPr>
          <w:p w14:paraId="58F6DEB1">
            <w:pPr>
              <w:spacing w:line="400" w:lineRule="exact"/>
              <w:jc w:val="center"/>
              <w:rPr>
                <w:color w:val="auto"/>
                <w:sz w:val="21"/>
                <w:szCs w:val="21"/>
              </w:rPr>
            </w:pPr>
            <w:r>
              <w:rPr>
                <w:color w:val="auto"/>
                <w:sz w:val="21"/>
                <w:szCs w:val="21"/>
              </w:rPr>
              <w:t>PSO</w:t>
            </w:r>
          </w:p>
        </w:tc>
        <w:tc>
          <w:tcPr>
            <w:tcW w:w="1089" w:type="dxa"/>
            <w:tcBorders>
              <w:top w:val="nil"/>
              <w:left w:val="nil"/>
              <w:bottom w:val="nil"/>
              <w:right w:val="nil"/>
            </w:tcBorders>
          </w:tcPr>
          <w:p w14:paraId="11CA1B0C">
            <w:pPr>
              <w:spacing w:line="400" w:lineRule="exact"/>
              <w:jc w:val="center"/>
              <w:rPr>
                <w:color w:val="auto"/>
                <w:sz w:val="21"/>
                <w:szCs w:val="21"/>
              </w:rPr>
            </w:pPr>
            <w:r>
              <w:rPr>
                <w:color w:val="auto"/>
                <w:sz w:val="21"/>
                <w:szCs w:val="21"/>
              </w:rPr>
              <w:t>21.2</w:t>
            </w:r>
          </w:p>
        </w:tc>
        <w:tc>
          <w:tcPr>
            <w:tcW w:w="1089" w:type="dxa"/>
            <w:tcBorders>
              <w:top w:val="nil"/>
              <w:left w:val="nil"/>
              <w:bottom w:val="nil"/>
              <w:right w:val="nil"/>
            </w:tcBorders>
          </w:tcPr>
          <w:p w14:paraId="117C60AC">
            <w:pPr>
              <w:spacing w:line="400" w:lineRule="exact"/>
              <w:jc w:val="center"/>
              <w:rPr>
                <w:color w:val="auto"/>
                <w:sz w:val="21"/>
                <w:szCs w:val="21"/>
              </w:rPr>
            </w:pPr>
            <w:r>
              <w:rPr>
                <w:color w:val="auto"/>
                <w:sz w:val="21"/>
                <w:szCs w:val="21"/>
              </w:rPr>
              <w:t>7.3</w:t>
            </w:r>
          </w:p>
        </w:tc>
        <w:tc>
          <w:tcPr>
            <w:tcW w:w="1133" w:type="dxa"/>
            <w:tcBorders>
              <w:top w:val="nil"/>
              <w:left w:val="nil"/>
              <w:bottom w:val="nil"/>
              <w:right w:val="nil"/>
            </w:tcBorders>
          </w:tcPr>
          <w:p w14:paraId="6B955AA2">
            <w:pPr>
              <w:spacing w:line="400" w:lineRule="exact"/>
              <w:jc w:val="center"/>
              <w:rPr>
                <w:color w:val="auto"/>
                <w:sz w:val="21"/>
                <w:szCs w:val="21"/>
              </w:rPr>
            </w:pPr>
            <w:r>
              <w:rPr>
                <w:color w:val="auto"/>
                <w:sz w:val="21"/>
                <w:szCs w:val="21"/>
              </w:rPr>
              <w:t>13.8</w:t>
            </w:r>
          </w:p>
        </w:tc>
        <w:tc>
          <w:tcPr>
            <w:tcW w:w="1787" w:type="dxa"/>
            <w:tcBorders>
              <w:top w:val="nil"/>
              <w:left w:val="nil"/>
              <w:bottom w:val="nil"/>
              <w:right w:val="nil"/>
            </w:tcBorders>
          </w:tcPr>
          <w:p w14:paraId="5BC2E2E0">
            <w:pPr>
              <w:spacing w:line="400" w:lineRule="exact"/>
              <w:jc w:val="center"/>
              <w:rPr>
                <w:color w:val="auto"/>
                <w:sz w:val="21"/>
                <w:szCs w:val="21"/>
              </w:rPr>
            </w:pPr>
            <w:r>
              <w:rPr>
                <w:color w:val="auto"/>
                <w:sz w:val="21"/>
                <w:szCs w:val="21"/>
              </w:rPr>
              <w:t>0.22</w:t>
            </w:r>
          </w:p>
        </w:tc>
        <w:tc>
          <w:tcPr>
            <w:tcW w:w="1091" w:type="dxa"/>
            <w:tcBorders>
              <w:top w:val="nil"/>
              <w:left w:val="nil"/>
              <w:bottom w:val="nil"/>
              <w:right w:val="nil"/>
            </w:tcBorders>
          </w:tcPr>
          <w:p w14:paraId="5E86861D">
            <w:pPr>
              <w:spacing w:line="400" w:lineRule="exact"/>
              <w:jc w:val="center"/>
              <w:rPr>
                <w:color w:val="auto"/>
                <w:sz w:val="21"/>
                <w:szCs w:val="21"/>
              </w:rPr>
            </w:pPr>
            <w:r>
              <w:rPr>
                <w:color w:val="auto"/>
                <w:sz w:val="21"/>
                <w:szCs w:val="21"/>
              </w:rPr>
              <w:t>79.5</w:t>
            </w:r>
          </w:p>
        </w:tc>
      </w:tr>
      <w:tr w14:paraId="3D722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continue"/>
            <w:tcBorders>
              <w:left w:val="nil"/>
              <w:bottom w:val="nil"/>
              <w:right w:val="nil"/>
            </w:tcBorders>
          </w:tcPr>
          <w:p w14:paraId="0022B6C0">
            <w:pPr>
              <w:spacing w:line="400" w:lineRule="exact"/>
              <w:jc w:val="center"/>
              <w:rPr>
                <w:color w:val="auto"/>
                <w:sz w:val="21"/>
                <w:szCs w:val="21"/>
              </w:rPr>
            </w:pPr>
          </w:p>
        </w:tc>
        <w:tc>
          <w:tcPr>
            <w:tcW w:w="1227" w:type="dxa"/>
            <w:tcBorders>
              <w:top w:val="nil"/>
              <w:left w:val="nil"/>
              <w:bottom w:val="nil"/>
              <w:right w:val="nil"/>
            </w:tcBorders>
          </w:tcPr>
          <w:p w14:paraId="4EC9901B">
            <w:pPr>
              <w:spacing w:line="400" w:lineRule="exact"/>
              <w:jc w:val="center"/>
              <w:rPr>
                <w:color w:val="auto"/>
                <w:sz w:val="21"/>
                <w:szCs w:val="21"/>
              </w:rPr>
            </w:pPr>
            <w:r>
              <w:rPr>
                <w:color w:val="auto"/>
                <w:sz w:val="21"/>
                <w:szCs w:val="21"/>
              </w:rPr>
              <w:t>NSGA-II</w:t>
            </w:r>
          </w:p>
        </w:tc>
        <w:tc>
          <w:tcPr>
            <w:tcW w:w="1089" w:type="dxa"/>
            <w:tcBorders>
              <w:top w:val="nil"/>
              <w:left w:val="nil"/>
              <w:bottom w:val="nil"/>
              <w:right w:val="nil"/>
            </w:tcBorders>
          </w:tcPr>
          <w:p w14:paraId="25AA4A08">
            <w:pPr>
              <w:spacing w:line="400" w:lineRule="exact"/>
              <w:jc w:val="center"/>
              <w:rPr>
                <w:color w:val="auto"/>
                <w:sz w:val="21"/>
                <w:szCs w:val="21"/>
              </w:rPr>
            </w:pPr>
            <w:r>
              <w:rPr>
                <w:color w:val="auto"/>
                <w:sz w:val="21"/>
                <w:szCs w:val="21"/>
              </w:rPr>
              <w:t>19.8</w:t>
            </w:r>
          </w:p>
        </w:tc>
        <w:tc>
          <w:tcPr>
            <w:tcW w:w="1089" w:type="dxa"/>
            <w:tcBorders>
              <w:top w:val="nil"/>
              <w:left w:val="nil"/>
              <w:bottom w:val="nil"/>
              <w:right w:val="nil"/>
            </w:tcBorders>
          </w:tcPr>
          <w:p w14:paraId="10E6DE30">
            <w:pPr>
              <w:spacing w:line="400" w:lineRule="exact"/>
              <w:jc w:val="center"/>
              <w:rPr>
                <w:color w:val="auto"/>
                <w:sz w:val="21"/>
                <w:szCs w:val="21"/>
              </w:rPr>
            </w:pPr>
            <w:r>
              <w:rPr>
                <w:color w:val="auto"/>
                <w:sz w:val="21"/>
                <w:szCs w:val="21"/>
              </w:rPr>
              <w:t>7.6</w:t>
            </w:r>
          </w:p>
        </w:tc>
        <w:tc>
          <w:tcPr>
            <w:tcW w:w="1133" w:type="dxa"/>
            <w:tcBorders>
              <w:top w:val="nil"/>
              <w:left w:val="nil"/>
              <w:bottom w:val="nil"/>
              <w:right w:val="nil"/>
            </w:tcBorders>
          </w:tcPr>
          <w:p w14:paraId="03E6A3A5">
            <w:pPr>
              <w:spacing w:line="400" w:lineRule="exact"/>
              <w:jc w:val="center"/>
              <w:rPr>
                <w:color w:val="auto"/>
                <w:sz w:val="21"/>
                <w:szCs w:val="21"/>
              </w:rPr>
            </w:pPr>
            <w:r>
              <w:rPr>
                <w:color w:val="auto"/>
                <w:sz w:val="21"/>
                <w:szCs w:val="21"/>
              </w:rPr>
              <w:t>13.4</w:t>
            </w:r>
          </w:p>
        </w:tc>
        <w:tc>
          <w:tcPr>
            <w:tcW w:w="1787" w:type="dxa"/>
            <w:tcBorders>
              <w:top w:val="nil"/>
              <w:left w:val="nil"/>
              <w:bottom w:val="nil"/>
              <w:right w:val="nil"/>
            </w:tcBorders>
          </w:tcPr>
          <w:p w14:paraId="42209A01">
            <w:pPr>
              <w:spacing w:line="400" w:lineRule="exact"/>
              <w:jc w:val="center"/>
              <w:rPr>
                <w:color w:val="auto"/>
                <w:sz w:val="21"/>
                <w:szCs w:val="21"/>
              </w:rPr>
            </w:pPr>
            <w:r>
              <w:rPr>
                <w:color w:val="auto"/>
                <w:sz w:val="21"/>
                <w:szCs w:val="21"/>
              </w:rPr>
              <w:t>0.20</w:t>
            </w:r>
          </w:p>
        </w:tc>
        <w:tc>
          <w:tcPr>
            <w:tcW w:w="1091" w:type="dxa"/>
            <w:tcBorders>
              <w:top w:val="nil"/>
              <w:left w:val="nil"/>
              <w:bottom w:val="nil"/>
              <w:right w:val="nil"/>
            </w:tcBorders>
          </w:tcPr>
          <w:p w14:paraId="77C0E084">
            <w:pPr>
              <w:spacing w:line="400" w:lineRule="exact"/>
              <w:jc w:val="center"/>
              <w:rPr>
                <w:color w:val="auto"/>
                <w:sz w:val="21"/>
                <w:szCs w:val="21"/>
              </w:rPr>
            </w:pPr>
            <w:r>
              <w:rPr>
                <w:color w:val="auto"/>
                <w:sz w:val="21"/>
                <w:szCs w:val="21"/>
              </w:rPr>
              <w:t>81.2</w:t>
            </w:r>
          </w:p>
        </w:tc>
      </w:tr>
      <w:tr w14:paraId="68820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restart"/>
            <w:tcBorders>
              <w:top w:val="nil"/>
              <w:left w:val="nil"/>
              <w:right w:val="nil"/>
            </w:tcBorders>
          </w:tcPr>
          <w:p w14:paraId="5F057DA7">
            <w:pPr>
              <w:spacing w:line="400" w:lineRule="exact"/>
              <w:jc w:val="center"/>
              <w:rPr>
                <w:color w:val="auto"/>
                <w:sz w:val="21"/>
                <w:szCs w:val="21"/>
              </w:rPr>
            </w:pPr>
            <w:r>
              <w:rPr>
                <w:color w:val="auto"/>
                <w:sz w:val="21"/>
                <w:szCs w:val="21"/>
              </w:rPr>
              <w:t>e</w:t>
            </w:r>
          </w:p>
        </w:tc>
        <w:tc>
          <w:tcPr>
            <w:tcW w:w="1227" w:type="dxa"/>
            <w:tcBorders>
              <w:top w:val="nil"/>
              <w:left w:val="nil"/>
              <w:bottom w:val="nil"/>
              <w:right w:val="nil"/>
            </w:tcBorders>
          </w:tcPr>
          <w:p w14:paraId="70B26680">
            <w:pPr>
              <w:spacing w:line="400" w:lineRule="exact"/>
              <w:jc w:val="center"/>
              <w:rPr>
                <w:color w:val="auto"/>
                <w:sz w:val="21"/>
                <w:szCs w:val="21"/>
              </w:rPr>
            </w:pPr>
            <w:r>
              <w:rPr>
                <w:color w:val="auto"/>
                <w:sz w:val="21"/>
                <w:szCs w:val="21"/>
              </w:rPr>
              <w:t>LHWGWO</w:t>
            </w:r>
          </w:p>
        </w:tc>
        <w:tc>
          <w:tcPr>
            <w:tcW w:w="1089" w:type="dxa"/>
            <w:tcBorders>
              <w:top w:val="nil"/>
              <w:left w:val="nil"/>
              <w:bottom w:val="nil"/>
              <w:right w:val="nil"/>
            </w:tcBorders>
          </w:tcPr>
          <w:p w14:paraId="07133FDA">
            <w:pPr>
              <w:spacing w:line="400" w:lineRule="exact"/>
              <w:jc w:val="center"/>
              <w:rPr>
                <w:color w:val="auto"/>
                <w:sz w:val="21"/>
                <w:szCs w:val="21"/>
              </w:rPr>
            </w:pPr>
            <w:r>
              <w:rPr>
                <w:color w:val="auto"/>
                <w:sz w:val="21"/>
                <w:szCs w:val="21"/>
              </w:rPr>
              <w:t>5.0</w:t>
            </w:r>
          </w:p>
        </w:tc>
        <w:tc>
          <w:tcPr>
            <w:tcW w:w="1089" w:type="dxa"/>
            <w:tcBorders>
              <w:top w:val="nil"/>
              <w:left w:val="nil"/>
              <w:bottom w:val="nil"/>
              <w:right w:val="nil"/>
            </w:tcBorders>
          </w:tcPr>
          <w:p w14:paraId="088551B6">
            <w:pPr>
              <w:spacing w:line="400" w:lineRule="exact"/>
              <w:jc w:val="center"/>
              <w:rPr>
                <w:color w:val="auto"/>
                <w:sz w:val="21"/>
                <w:szCs w:val="21"/>
              </w:rPr>
            </w:pPr>
            <w:r>
              <w:rPr>
                <w:color w:val="auto"/>
                <w:sz w:val="21"/>
                <w:szCs w:val="21"/>
              </w:rPr>
              <w:t>4.5</w:t>
            </w:r>
          </w:p>
        </w:tc>
        <w:tc>
          <w:tcPr>
            <w:tcW w:w="1133" w:type="dxa"/>
            <w:tcBorders>
              <w:top w:val="nil"/>
              <w:left w:val="nil"/>
              <w:bottom w:val="nil"/>
              <w:right w:val="nil"/>
            </w:tcBorders>
          </w:tcPr>
          <w:p w14:paraId="7D9C597A">
            <w:pPr>
              <w:spacing w:line="400" w:lineRule="exact"/>
              <w:jc w:val="center"/>
              <w:rPr>
                <w:color w:val="auto"/>
                <w:sz w:val="21"/>
                <w:szCs w:val="21"/>
              </w:rPr>
            </w:pPr>
            <w:r>
              <w:rPr>
                <w:color w:val="auto"/>
                <w:sz w:val="21"/>
                <w:szCs w:val="21"/>
              </w:rPr>
              <w:t>16.0</w:t>
            </w:r>
          </w:p>
        </w:tc>
        <w:tc>
          <w:tcPr>
            <w:tcW w:w="1787" w:type="dxa"/>
            <w:tcBorders>
              <w:top w:val="nil"/>
              <w:left w:val="nil"/>
              <w:bottom w:val="nil"/>
              <w:right w:val="nil"/>
            </w:tcBorders>
          </w:tcPr>
          <w:p w14:paraId="72219D85">
            <w:pPr>
              <w:spacing w:line="400" w:lineRule="exact"/>
              <w:jc w:val="center"/>
              <w:rPr>
                <w:color w:val="auto"/>
                <w:sz w:val="21"/>
                <w:szCs w:val="21"/>
              </w:rPr>
            </w:pPr>
            <w:r>
              <w:rPr>
                <w:color w:val="auto"/>
                <w:sz w:val="21"/>
                <w:szCs w:val="21"/>
              </w:rPr>
              <w:t>0.35</w:t>
            </w:r>
          </w:p>
        </w:tc>
        <w:tc>
          <w:tcPr>
            <w:tcW w:w="1091" w:type="dxa"/>
            <w:tcBorders>
              <w:top w:val="nil"/>
              <w:left w:val="nil"/>
              <w:bottom w:val="nil"/>
              <w:right w:val="nil"/>
            </w:tcBorders>
          </w:tcPr>
          <w:p w14:paraId="0EA4EF6E">
            <w:pPr>
              <w:spacing w:line="400" w:lineRule="exact"/>
              <w:jc w:val="center"/>
              <w:rPr>
                <w:color w:val="auto"/>
                <w:sz w:val="21"/>
                <w:szCs w:val="21"/>
              </w:rPr>
            </w:pPr>
            <w:r>
              <w:rPr>
                <w:color w:val="auto"/>
                <w:sz w:val="21"/>
                <w:szCs w:val="21"/>
              </w:rPr>
              <w:t>68.9</w:t>
            </w:r>
          </w:p>
        </w:tc>
      </w:tr>
      <w:tr w14:paraId="22BBC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continue"/>
            <w:tcBorders>
              <w:left w:val="nil"/>
              <w:right w:val="nil"/>
            </w:tcBorders>
          </w:tcPr>
          <w:p w14:paraId="5FA148FA">
            <w:pPr>
              <w:spacing w:line="400" w:lineRule="exact"/>
              <w:jc w:val="center"/>
              <w:rPr>
                <w:color w:val="auto"/>
                <w:sz w:val="21"/>
                <w:szCs w:val="21"/>
              </w:rPr>
            </w:pPr>
          </w:p>
        </w:tc>
        <w:tc>
          <w:tcPr>
            <w:tcW w:w="1227" w:type="dxa"/>
            <w:tcBorders>
              <w:top w:val="nil"/>
              <w:left w:val="nil"/>
              <w:bottom w:val="nil"/>
              <w:right w:val="nil"/>
            </w:tcBorders>
          </w:tcPr>
          <w:p w14:paraId="49798D30">
            <w:pPr>
              <w:spacing w:line="400" w:lineRule="exact"/>
              <w:jc w:val="center"/>
              <w:rPr>
                <w:color w:val="auto"/>
                <w:sz w:val="21"/>
                <w:szCs w:val="21"/>
              </w:rPr>
            </w:pPr>
            <w:r>
              <w:rPr>
                <w:color w:val="auto"/>
                <w:sz w:val="21"/>
                <w:szCs w:val="21"/>
              </w:rPr>
              <w:t>PSO</w:t>
            </w:r>
          </w:p>
        </w:tc>
        <w:tc>
          <w:tcPr>
            <w:tcW w:w="1089" w:type="dxa"/>
            <w:tcBorders>
              <w:top w:val="nil"/>
              <w:left w:val="nil"/>
              <w:bottom w:val="nil"/>
              <w:right w:val="nil"/>
            </w:tcBorders>
          </w:tcPr>
          <w:p w14:paraId="572A59A1">
            <w:pPr>
              <w:spacing w:line="400" w:lineRule="exact"/>
              <w:jc w:val="center"/>
              <w:rPr>
                <w:color w:val="auto"/>
                <w:sz w:val="21"/>
                <w:szCs w:val="21"/>
              </w:rPr>
            </w:pPr>
            <w:r>
              <w:rPr>
                <w:color w:val="auto"/>
                <w:sz w:val="21"/>
                <w:szCs w:val="21"/>
              </w:rPr>
              <w:t>5.5</w:t>
            </w:r>
          </w:p>
        </w:tc>
        <w:tc>
          <w:tcPr>
            <w:tcW w:w="1089" w:type="dxa"/>
            <w:tcBorders>
              <w:top w:val="nil"/>
              <w:left w:val="nil"/>
              <w:bottom w:val="nil"/>
              <w:right w:val="nil"/>
            </w:tcBorders>
          </w:tcPr>
          <w:p w14:paraId="0EBD649C">
            <w:pPr>
              <w:spacing w:line="400" w:lineRule="exact"/>
              <w:jc w:val="center"/>
              <w:rPr>
                <w:color w:val="auto"/>
                <w:sz w:val="21"/>
                <w:szCs w:val="21"/>
              </w:rPr>
            </w:pPr>
            <w:r>
              <w:rPr>
                <w:color w:val="auto"/>
                <w:sz w:val="21"/>
                <w:szCs w:val="21"/>
              </w:rPr>
              <w:t>4.1</w:t>
            </w:r>
          </w:p>
        </w:tc>
        <w:tc>
          <w:tcPr>
            <w:tcW w:w="1133" w:type="dxa"/>
            <w:tcBorders>
              <w:top w:val="nil"/>
              <w:left w:val="nil"/>
              <w:bottom w:val="nil"/>
              <w:right w:val="nil"/>
            </w:tcBorders>
          </w:tcPr>
          <w:p w14:paraId="12C97676">
            <w:pPr>
              <w:spacing w:line="400" w:lineRule="exact"/>
              <w:jc w:val="center"/>
              <w:rPr>
                <w:color w:val="auto"/>
                <w:sz w:val="21"/>
                <w:szCs w:val="21"/>
              </w:rPr>
            </w:pPr>
            <w:r>
              <w:rPr>
                <w:color w:val="auto"/>
                <w:sz w:val="21"/>
                <w:szCs w:val="21"/>
              </w:rPr>
              <w:t>16.5</w:t>
            </w:r>
          </w:p>
        </w:tc>
        <w:tc>
          <w:tcPr>
            <w:tcW w:w="1787" w:type="dxa"/>
            <w:tcBorders>
              <w:top w:val="nil"/>
              <w:left w:val="nil"/>
              <w:bottom w:val="nil"/>
              <w:right w:val="nil"/>
            </w:tcBorders>
          </w:tcPr>
          <w:p w14:paraId="55D252C6">
            <w:pPr>
              <w:spacing w:line="400" w:lineRule="exact"/>
              <w:jc w:val="center"/>
              <w:rPr>
                <w:color w:val="auto"/>
                <w:sz w:val="21"/>
                <w:szCs w:val="21"/>
              </w:rPr>
            </w:pPr>
            <w:r>
              <w:rPr>
                <w:color w:val="auto"/>
                <w:sz w:val="21"/>
                <w:szCs w:val="21"/>
              </w:rPr>
              <w:t>0.38</w:t>
            </w:r>
          </w:p>
        </w:tc>
        <w:tc>
          <w:tcPr>
            <w:tcW w:w="1091" w:type="dxa"/>
            <w:tcBorders>
              <w:top w:val="nil"/>
              <w:left w:val="nil"/>
              <w:bottom w:val="nil"/>
              <w:right w:val="nil"/>
            </w:tcBorders>
          </w:tcPr>
          <w:p w14:paraId="00BE61D5">
            <w:pPr>
              <w:spacing w:line="400" w:lineRule="exact"/>
              <w:jc w:val="center"/>
              <w:rPr>
                <w:color w:val="auto"/>
                <w:sz w:val="21"/>
                <w:szCs w:val="21"/>
              </w:rPr>
            </w:pPr>
            <w:r>
              <w:rPr>
                <w:color w:val="auto"/>
                <w:sz w:val="21"/>
                <w:szCs w:val="21"/>
              </w:rPr>
              <w:t>65.2</w:t>
            </w:r>
          </w:p>
        </w:tc>
      </w:tr>
      <w:tr w14:paraId="79221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6" w:type="dxa"/>
            <w:vMerge w:val="continue"/>
            <w:tcBorders>
              <w:left w:val="nil"/>
              <w:right w:val="nil"/>
            </w:tcBorders>
          </w:tcPr>
          <w:p w14:paraId="196A4F34">
            <w:pPr>
              <w:spacing w:line="400" w:lineRule="exact"/>
              <w:jc w:val="center"/>
              <w:rPr>
                <w:color w:val="auto"/>
                <w:sz w:val="21"/>
                <w:szCs w:val="21"/>
              </w:rPr>
            </w:pPr>
          </w:p>
        </w:tc>
        <w:tc>
          <w:tcPr>
            <w:tcW w:w="1227" w:type="dxa"/>
            <w:tcBorders>
              <w:top w:val="nil"/>
              <w:left w:val="nil"/>
              <w:right w:val="nil"/>
            </w:tcBorders>
          </w:tcPr>
          <w:p w14:paraId="1E6D3ED2">
            <w:pPr>
              <w:spacing w:line="400" w:lineRule="exact"/>
              <w:jc w:val="center"/>
              <w:rPr>
                <w:color w:val="auto"/>
                <w:sz w:val="21"/>
                <w:szCs w:val="21"/>
              </w:rPr>
            </w:pPr>
            <w:r>
              <w:rPr>
                <w:color w:val="auto"/>
                <w:sz w:val="21"/>
                <w:szCs w:val="21"/>
              </w:rPr>
              <w:t>NSGA-II</w:t>
            </w:r>
          </w:p>
        </w:tc>
        <w:tc>
          <w:tcPr>
            <w:tcW w:w="1089" w:type="dxa"/>
            <w:tcBorders>
              <w:top w:val="nil"/>
              <w:left w:val="nil"/>
              <w:right w:val="nil"/>
            </w:tcBorders>
          </w:tcPr>
          <w:p w14:paraId="600FAD9B">
            <w:pPr>
              <w:spacing w:line="400" w:lineRule="exact"/>
              <w:jc w:val="center"/>
              <w:rPr>
                <w:color w:val="auto"/>
                <w:sz w:val="21"/>
                <w:szCs w:val="21"/>
              </w:rPr>
            </w:pPr>
            <w:r>
              <w:rPr>
                <w:color w:val="auto"/>
                <w:sz w:val="21"/>
                <w:szCs w:val="21"/>
              </w:rPr>
              <w:t>5.8</w:t>
            </w:r>
          </w:p>
        </w:tc>
        <w:tc>
          <w:tcPr>
            <w:tcW w:w="1089" w:type="dxa"/>
            <w:tcBorders>
              <w:top w:val="nil"/>
              <w:left w:val="nil"/>
              <w:right w:val="nil"/>
            </w:tcBorders>
          </w:tcPr>
          <w:p w14:paraId="5483F50D">
            <w:pPr>
              <w:spacing w:line="400" w:lineRule="exact"/>
              <w:jc w:val="center"/>
              <w:rPr>
                <w:color w:val="auto"/>
                <w:sz w:val="21"/>
                <w:szCs w:val="21"/>
              </w:rPr>
            </w:pPr>
            <w:r>
              <w:rPr>
                <w:color w:val="auto"/>
                <w:sz w:val="21"/>
                <w:szCs w:val="21"/>
              </w:rPr>
              <w:t>4.3</w:t>
            </w:r>
          </w:p>
        </w:tc>
        <w:tc>
          <w:tcPr>
            <w:tcW w:w="1133" w:type="dxa"/>
            <w:tcBorders>
              <w:top w:val="nil"/>
              <w:left w:val="nil"/>
              <w:right w:val="nil"/>
            </w:tcBorders>
          </w:tcPr>
          <w:p w14:paraId="655CDEDE">
            <w:pPr>
              <w:spacing w:line="400" w:lineRule="exact"/>
              <w:jc w:val="center"/>
              <w:rPr>
                <w:color w:val="auto"/>
                <w:sz w:val="21"/>
                <w:szCs w:val="21"/>
              </w:rPr>
            </w:pPr>
            <w:r>
              <w:rPr>
                <w:color w:val="auto"/>
                <w:sz w:val="21"/>
                <w:szCs w:val="21"/>
              </w:rPr>
              <w:t>16.3</w:t>
            </w:r>
          </w:p>
        </w:tc>
        <w:tc>
          <w:tcPr>
            <w:tcW w:w="1787" w:type="dxa"/>
            <w:tcBorders>
              <w:top w:val="nil"/>
              <w:left w:val="nil"/>
              <w:right w:val="nil"/>
            </w:tcBorders>
          </w:tcPr>
          <w:p w14:paraId="36DEE11C">
            <w:pPr>
              <w:spacing w:line="400" w:lineRule="exact"/>
              <w:jc w:val="center"/>
              <w:rPr>
                <w:color w:val="auto"/>
                <w:sz w:val="21"/>
                <w:szCs w:val="21"/>
              </w:rPr>
            </w:pPr>
            <w:r>
              <w:rPr>
                <w:color w:val="auto"/>
                <w:sz w:val="21"/>
                <w:szCs w:val="21"/>
              </w:rPr>
              <w:t>0.36</w:t>
            </w:r>
          </w:p>
        </w:tc>
        <w:tc>
          <w:tcPr>
            <w:tcW w:w="1091" w:type="dxa"/>
            <w:tcBorders>
              <w:top w:val="nil"/>
              <w:left w:val="nil"/>
              <w:right w:val="nil"/>
            </w:tcBorders>
          </w:tcPr>
          <w:p w14:paraId="1F6ECFAF">
            <w:pPr>
              <w:spacing w:line="400" w:lineRule="exact"/>
              <w:jc w:val="center"/>
              <w:rPr>
                <w:color w:val="auto"/>
                <w:sz w:val="21"/>
                <w:szCs w:val="21"/>
              </w:rPr>
            </w:pPr>
            <w:r>
              <w:rPr>
                <w:color w:val="auto"/>
                <w:sz w:val="21"/>
                <w:szCs w:val="21"/>
              </w:rPr>
              <w:t>66.7</w:t>
            </w:r>
          </w:p>
        </w:tc>
      </w:tr>
    </w:tbl>
    <w:p w14:paraId="42215270">
      <w:pPr>
        <w:spacing w:line="400" w:lineRule="exact"/>
        <w:rPr>
          <w:color w:val="auto"/>
        </w:rPr>
      </w:pPr>
    </w:p>
    <w:p w14:paraId="4AD60279">
      <w:pPr>
        <w:spacing w:line="400" w:lineRule="exact"/>
        <w:ind w:firstLine="480" w:firstLineChars="200"/>
        <w:rPr>
          <w:color w:val="auto"/>
        </w:rPr>
      </w:pPr>
      <w:r>
        <w:rPr>
          <w:color w:val="auto"/>
        </w:rPr>
        <w:t>如表所示，</w:t>
      </w:r>
      <w:r>
        <w:rPr>
          <w:rFonts w:hint="eastAsia"/>
          <w:color w:val="auto"/>
        </w:rPr>
        <w:t>LHWGWO算法在经济效益与生态约束平衡上优势显著。项目a投资比例提至28.5%，较PSO增3.2%，带动收益率提0.5%，单位成本降0.7万元/MVA。项目c中，32.7%投资比例对应10.5%收益率，投入产出比最高。环保方面，项目c碳排放强度0.08tCO₂/MWh，较PSO降20%，较NSGA-II降11.1%。项目e以5%最低投资配4.5%收益率，精准识别低效项目。成本控制上，LHWGWO在五项目中单位成本最低，项目b成本14.5万元/MVA，比PSO低3.3%。容量利用率上，项目c达92.1%，较对比算法提2.5-3.3%。在总投资15亿条件下，算法调各项目权重，新能源接入比达37.2%，超约束2.2%。碳排放总量4.8万吨/年，较限额预留4%安全裕度。多目标协同优能力，印证增广Lagrange乘子法在复杂约束问题解决时有效。且相较于PSO和NSGA-II，LHWGWO在解集质量和收敛速度上具优势，混合优化机制在高维、强约束电网投资决策场景中工程适用性更强。</w:t>
      </w:r>
    </w:p>
    <w:p w14:paraId="6EE46555">
      <w:pPr>
        <w:spacing w:line="400" w:lineRule="exact"/>
        <w:ind w:firstLine="480" w:firstLineChars="200"/>
        <w:rPr>
          <w:color w:val="auto"/>
        </w:rPr>
      </w:pPr>
    </w:p>
    <w:p w14:paraId="78073C23">
      <w:pPr>
        <w:spacing w:line="400" w:lineRule="exact"/>
        <w:rPr>
          <w:rFonts w:hint="eastAsia"/>
          <w:color w:val="auto"/>
        </w:rPr>
      </w:pPr>
    </w:p>
    <w:p w14:paraId="7FF0372E">
      <w:pPr>
        <w:spacing w:line="400" w:lineRule="exact"/>
        <w:ind w:firstLine="480" w:firstLineChars="200"/>
        <w:jc w:val="center"/>
        <w:rPr>
          <w:color w:val="auto"/>
        </w:rPr>
      </w:pPr>
      <w:r>
        <w:rPr>
          <w:color w:val="auto"/>
        </w:rPr>
        <w:drawing>
          <wp:anchor distT="0" distB="0" distL="114300" distR="114300" simplePos="0" relativeHeight="251659264" behindDoc="0" locked="0" layoutInCell="1" allowOverlap="1">
            <wp:simplePos x="0" y="0"/>
            <wp:positionH relativeFrom="margin">
              <wp:align>center</wp:align>
            </wp:positionH>
            <wp:positionV relativeFrom="paragraph">
              <wp:posOffset>3810</wp:posOffset>
            </wp:positionV>
            <wp:extent cx="4654550" cy="3263900"/>
            <wp:effectExtent l="0" t="0" r="0" b="0"/>
            <wp:wrapNone/>
            <wp:docPr id="10" name="图片 1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4654550" cy="3264161"/>
                    </a:xfrm>
                    <a:prstGeom prst="rect">
                      <a:avLst/>
                    </a:prstGeom>
                  </pic:spPr>
                </pic:pic>
              </a:graphicData>
            </a:graphic>
          </wp:anchor>
        </w:drawing>
      </w:r>
    </w:p>
    <w:p w14:paraId="38E857A8">
      <w:pPr>
        <w:spacing w:line="400" w:lineRule="exact"/>
        <w:ind w:firstLine="480" w:firstLineChars="200"/>
        <w:jc w:val="center"/>
        <w:rPr>
          <w:color w:val="auto"/>
        </w:rPr>
      </w:pPr>
    </w:p>
    <w:p w14:paraId="3C13DEFD">
      <w:pPr>
        <w:spacing w:line="400" w:lineRule="exact"/>
        <w:ind w:firstLine="480" w:firstLineChars="200"/>
        <w:jc w:val="center"/>
        <w:rPr>
          <w:color w:val="auto"/>
        </w:rPr>
      </w:pPr>
    </w:p>
    <w:p w14:paraId="7A8DC4A4">
      <w:pPr>
        <w:spacing w:line="400" w:lineRule="exact"/>
        <w:ind w:firstLine="480" w:firstLineChars="200"/>
        <w:jc w:val="center"/>
        <w:rPr>
          <w:color w:val="auto"/>
        </w:rPr>
      </w:pPr>
    </w:p>
    <w:p w14:paraId="272DDD71">
      <w:pPr>
        <w:spacing w:line="400" w:lineRule="exact"/>
        <w:ind w:firstLine="480" w:firstLineChars="200"/>
        <w:jc w:val="center"/>
        <w:rPr>
          <w:color w:val="auto"/>
        </w:rPr>
      </w:pPr>
    </w:p>
    <w:p w14:paraId="603E67A2">
      <w:pPr>
        <w:spacing w:line="400" w:lineRule="exact"/>
        <w:ind w:firstLine="480" w:firstLineChars="200"/>
        <w:jc w:val="center"/>
        <w:rPr>
          <w:color w:val="auto"/>
        </w:rPr>
      </w:pPr>
    </w:p>
    <w:p w14:paraId="7687B5CE">
      <w:pPr>
        <w:spacing w:line="400" w:lineRule="exact"/>
        <w:ind w:firstLine="480" w:firstLineChars="200"/>
        <w:jc w:val="center"/>
        <w:rPr>
          <w:color w:val="auto"/>
        </w:rPr>
      </w:pPr>
    </w:p>
    <w:p w14:paraId="49661008">
      <w:pPr>
        <w:spacing w:line="400" w:lineRule="exact"/>
        <w:ind w:firstLine="480" w:firstLineChars="200"/>
        <w:jc w:val="center"/>
        <w:rPr>
          <w:color w:val="auto"/>
        </w:rPr>
      </w:pPr>
    </w:p>
    <w:p w14:paraId="70F871CE">
      <w:pPr>
        <w:spacing w:line="400" w:lineRule="exact"/>
        <w:ind w:firstLine="480" w:firstLineChars="200"/>
        <w:jc w:val="center"/>
        <w:rPr>
          <w:color w:val="auto"/>
        </w:rPr>
      </w:pPr>
    </w:p>
    <w:p w14:paraId="688AE4EA">
      <w:pPr>
        <w:spacing w:line="400" w:lineRule="exact"/>
        <w:ind w:firstLine="480" w:firstLineChars="200"/>
        <w:jc w:val="center"/>
        <w:rPr>
          <w:color w:val="auto"/>
        </w:rPr>
      </w:pPr>
    </w:p>
    <w:p w14:paraId="6B541503">
      <w:pPr>
        <w:spacing w:line="400" w:lineRule="exact"/>
        <w:ind w:firstLine="480" w:firstLineChars="200"/>
        <w:jc w:val="center"/>
        <w:rPr>
          <w:color w:val="auto"/>
        </w:rPr>
      </w:pPr>
    </w:p>
    <w:p w14:paraId="6E92D572">
      <w:pPr>
        <w:spacing w:line="400" w:lineRule="exact"/>
        <w:ind w:firstLine="480" w:firstLineChars="200"/>
        <w:jc w:val="center"/>
        <w:rPr>
          <w:color w:val="auto"/>
        </w:rPr>
      </w:pPr>
    </w:p>
    <w:p w14:paraId="409FDE33">
      <w:pPr>
        <w:spacing w:line="400" w:lineRule="exact"/>
        <w:rPr>
          <w:rFonts w:hint="eastAsia"/>
          <w:color w:val="auto"/>
        </w:rPr>
      </w:pPr>
    </w:p>
    <w:p w14:paraId="293C779E">
      <w:pPr>
        <w:spacing w:line="400" w:lineRule="exact"/>
        <w:ind w:firstLine="480" w:firstLineChars="200"/>
        <w:jc w:val="center"/>
        <w:rPr>
          <w:color w:val="auto"/>
        </w:rPr>
      </w:pPr>
      <w:r>
        <w:rPr>
          <w:rFonts w:hint="eastAsia"/>
          <w:color w:val="auto"/>
        </w:rPr>
        <w:t>图5-1 收敛曲线对比</w:t>
      </w:r>
    </w:p>
    <w:p w14:paraId="44B2F84D">
      <w:pPr>
        <w:spacing w:line="400" w:lineRule="exact"/>
        <w:ind w:firstLine="480" w:firstLineChars="200"/>
        <w:rPr>
          <w:color w:val="auto"/>
        </w:rPr>
      </w:pPr>
      <w:r>
        <w:rPr>
          <w:rFonts w:hint="eastAsia"/>
          <w:color w:val="auto"/>
        </w:rPr>
        <w:t>如图5-1所示，LHWGWO和PSO的种群规模均为50，PSO的最大迭代次数为300，高于LHWGWO的200。NSGA-II的种群规模为100，最大迭代次数为250。在惯性权重方面，LHWGWO采用自适应调整，而PSO使用线性递减策略。学习因子上，PSO设置为c1=1.5和c2=2。NSGA-II的交叉概率为0.9，变异概率为0.1。</w:t>
      </w:r>
    </w:p>
    <w:p w14:paraId="5B77D64D">
      <w:pPr>
        <w:spacing w:line="400" w:lineRule="exact"/>
        <w:ind w:firstLine="480" w:firstLineChars="200"/>
        <w:rPr>
          <w:color w:val="auto"/>
        </w:rPr>
      </w:pPr>
      <w:r>
        <w:rPr>
          <w:rFonts w:hint="eastAsia"/>
          <w:color w:val="auto"/>
        </w:rPr>
        <w:drawing>
          <wp:anchor distT="0" distB="0" distL="114300" distR="114300" simplePos="0" relativeHeight="251660288" behindDoc="0" locked="0" layoutInCell="1" allowOverlap="1">
            <wp:simplePos x="0" y="0"/>
            <wp:positionH relativeFrom="column">
              <wp:posOffset>654050</wp:posOffset>
            </wp:positionH>
            <wp:positionV relativeFrom="paragraph">
              <wp:posOffset>41910</wp:posOffset>
            </wp:positionV>
            <wp:extent cx="4206240" cy="3454400"/>
            <wp:effectExtent l="0" t="0" r="3810" b="0"/>
            <wp:wrapNone/>
            <wp:docPr id="11" name="图片 11" descr="e18560b7-63d4-46cd-a87e-17f2a333b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e18560b7-63d4-46cd-a87e-17f2a333b020"/>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206240" cy="3454400"/>
                    </a:xfrm>
                    <a:prstGeom prst="rect">
                      <a:avLst/>
                    </a:prstGeom>
                  </pic:spPr>
                </pic:pic>
              </a:graphicData>
            </a:graphic>
          </wp:anchor>
        </w:drawing>
      </w:r>
    </w:p>
    <w:p w14:paraId="7C10D4B0">
      <w:pPr>
        <w:spacing w:line="400" w:lineRule="exact"/>
        <w:ind w:firstLine="480" w:firstLineChars="200"/>
        <w:rPr>
          <w:color w:val="auto"/>
        </w:rPr>
      </w:pPr>
    </w:p>
    <w:p w14:paraId="20DDB4FB">
      <w:pPr>
        <w:spacing w:line="400" w:lineRule="exact"/>
        <w:ind w:firstLine="480" w:firstLineChars="200"/>
        <w:jc w:val="center"/>
        <w:rPr>
          <w:color w:val="auto"/>
        </w:rPr>
      </w:pPr>
    </w:p>
    <w:p w14:paraId="3CB683E5">
      <w:pPr>
        <w:spacing w:line="400" w:lineRule="exact"/>
        <w:ind w:firstLine="480" w:firstLineChars="200"/>
        <w:jc w:val="center"/>
        <w:rPr>
          <w:color w:val="auto"/>
        </w:rPr>
      </w:pPr>
    </w:p>
    <w:p w14:paraId="20D612C1">
      <w:pPr>
        <w:spacing w:line="400" w:lineRule="exact"/>
        <w:ind w:firstLine="480" w:firstLineChars="200"/>
        <w:jc w:val="center"/>
        <w:rPr>
          <w:color w:val="auto"/>
        </w:rPr>
      </w:pPr>
    </w:p>
    <w:p w14:paraId="6C84661F">
      <w:pPr>
        <w:spacing w:line="400" w:lineRule="exact"/>
        <w:ind w:firstLine="480" w:firstLineChars="200"/>
        <w:jc w:val="center"/>
        <w:rPr>
          <w:color w:val="auto"/>
        </w:rPr>
      </w:pPr>
    </w:p>
    <w:p w14:paraId="1C02B115">
      <w:pPr>
        <w:spacing w:line="400" w:lineRule="exact"/>
        <w:ind w:firstLine="480" w:firstLineChars="200"/>
        <w:jc w:val="center"/>
        <w:rPr>
          <w:color w:val="auto"/>
        </w:rPr>
      </w:pPr>
    </w:p>
    <w:p w14:paraId="581F99F3">
      <w:pPr>
        <w:spacing w:line="400" w:lineRule="exact"/>
        <w:ind w:firstLine="480" w:firstLineChars="200"/>
        <w:jc w:val="center"/>
        <w:rPr>
          <w:color w:val="auto"/>
        </w:rPr>
      </w:pPr>
    </w:p>
    <w:p w14:paraId="76F00FC9">
      <w:pPr>
        <w:spacing w:line="400" w:lineRule="exact"/>
        <w:ind w:firstLine="480" w:firstLineChars="200"/>
        <w:jc w:val="center"/>
        <w:rPr>
          <w:color w:val="auto"/>
        </w:rPr>
      </w:pPr>
    </w:p>
    <w:p w14:paraId="2BE32952">
      <w:pPr>
        <w:spacing w:line="400" w:lineRule="exact"/>
        <w:ind w:firstLine="480" w:firstLineChars="200"/>
        <w:jc w:val="center"/>
        <w:rPr>
          <w:color w:val="auto"/>
        </w:rPr>
      </w:pPr>
    </w:p>
    <w:p w14:paraId="6BC90BD2">
      <w:pPr>
        <w:spacing w:line="400" w:lineRule="exact"/>
        <w:ind w:firstLine="480" w:firstLineChars="200"/>
        <w:jc w:val="center"/>
        <w:rPr>
          <w:color w:val="auto"/>
        </w:rPr>
      </w:pPr>
    </w:p>
    <w:p w14:paraId="52AEE0F5">
      <w:pPr>
        <w:spacing w:line="400" w:lineRule="exact"/>
        <w:ind w:firstLine="480" w:firstLineChars="200"/>
        <w:jc w:val="center"/>
        <w:rPr>
          <w:color w:val="auto"/>
        </w:rPr>
      </w:pPr>
    </w:p>
    <w:p w14:paraId="45938793">
      <w:pPr>
        <w:spacing w:line="400" w:lineRule="exact"/>
        <w:ind w:firstLine="480" w:firstLineChars="200"/>
        <w:jc w:val="center"/>
        <w:rPr>
          <w:color w:val="auto"/>
        </w:rPr>
      </w:pPr>
    </w:p>
    <w:p w14:paraId="68ECD517">
      <w:pPr>
        <w:spacing w:line="400" w:lineRule="exact"/>
        <w:ind w:firstLine="480" w:firstLineChars="200"/>
        <w:jc w:val="center"/>
        <w:rPr>
          <w:color w:val="auto"/>
        </w:rPr>
      </w:pPr>
    </w:p>
    <w:p w14:paraId="27E51C66">
      <w:pPr>
        <w:spacing w:line="400" w:lineRule="exact"/>
        <w:ind w:firstLine="480" w:firstLineChars="200"/>
        <w:jc w:val="center"/>
        <w:rPr>
          <w:color w:val="auto"/>
        </w:rPr>
      </w:pPr>
      <w:r>
        <w:rPr>
          <w:rFonts w:hint="eastAsia"/>
          <w:color w:val="auto"/>
        </w:rPr>
        <w:t>图5-2 三维帕累托前沿分布</w:t>
      </w:r>
    </w:p>
    <w:p w14:paraId="6E3B767D">
      <w:pPr>
        <w:spacing w:line="400" w:lineRule="exact"/>
        <w:ind w:firstLine="480" w:firstLineChars="200"/>
        <w:jc w:val="left"/>
        <w:rPr>
          <w:color w:val="auto"/>
        </w:rPr>
      </w:pPr>
      <w:r>
        <w:rPr>
          <w:rFonts w:hint="eastAsia"/>
          <w:color w:val="auto"/>
        </w:rPr>
        <w:t>实验结果表明，在收敛效率方面，LHWGWO平均经过127代即达到收敛，较PSO和NSGA-II分别缩短55.1%和41.7%。图5-1显示典型迭代曲线所示，LHWGWO在80代后目标函数值趋于稳定，展现出快速收敛特性。解集质量上，LHWGWO的帕累托前沿覆盖率高达93.2%，较对比算法提升8-10个百分点。如图5-2三维帕累托前沿分布所示，LHGWGO解集在投资收益-碳排放-成本控制三维空间呈现更均匀的分布特征。约束处理能力突出，LHWGWO的约束违反率仅为1.05%，在15亿元总投资限额下实际投资额偏差控制在±0.3%以内，显著优于PSO（4.73%）和NSGA-II（3.12%）。</w:t>
      </w:r>
    </w:p>
    <w:p w14:paraId="14773EBB">
      <w:pPr>
        <w:numPr>
          <w:ilvl w:val="0"/>
          <w:numId w:val="2"/>
        </w:numPr>
        <w:spacing w:line="400" w:lineRule="exact"/>
        <w:ind w:firstLine="480" w:firstLineChars="200"/>
        <w:rPr>
          <w:color w:val="auto"/>
        </w:rPr>
      </w:pPr>
      <w:r>
        <w:rPr>
          <w:color w:val="auto"/>
        </w:rPr>
        <w:t>约束条件满足度分析</w:t>
      </w:r>
    </w:p>
    <w:p w14:paraId="3DAE5763">
      <w:pPr>
        <w:spacing w:line="400" w:lineRule="exact"/>
        <w:ind w:firstLine="480" w:firstLineChars="200"/>
        <w:rPr>
          <w:color w:val="auto"/>
        </w:rPr>
      </w:pPr>
      <w:r>
        <w:rPr>
          <w:color w:val="auto"/>
        </w:rPr>
        <w:t>为进一步地，为所提出的优化策略满足所有设定的约束条件，本文进行了约束条件满足度分析。</w:t>
      </w:r>
    </w:p>
    <w:p w14:paraId="645B476E">
      <w:pPr>
        <w:spacing w:line="400" w:lineRule="exact"/>
        <w:ind w:firstLine="480" w:firstLineChars="200"/>
        <w:jc w:val="center"/>
        <w:rPr>
          <w:color w:val="auto"/>
        </w:rPr>
      </w:pPr>
      <w:r>
        <w:rPr>
          <w:color w:val="auto"/>
        </w:rPr>
        <w:t>表5-2 约束条件满足度分析</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5"/>
        <w:gridCol w:w="2765"/>
        <w:gridCol w:w="2131"/>
        <w:gridCol w:w="2131"/>
      </w:tblGrid>
      <w:tr w14:paraId="3CDC9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5" w:type="dxa"/>
            <w:tcBorders>
              <w:left w:val="nil"/>
              <w:bottom w:val="single" w:color="auto" w:sz="4" w:space="0"/>
              <w:right w:val="nil"/>
            </w:tcBorders>
          </w:tcPr>
          <w:p w14:paraId="1CD03854">
            <w:pPr>
              <w:spacing w:line="400" w:lineRule="exact"/>
              <w:jc w:val="center"/>
              <w:rPr>
                <w:color w:val="auto"/>
              </w:rPr>
            </w:pPr>
            <w:r>
              <w:rPr>
                <w:color w:val="auto"/>
              </w:rPr>
              <w:t>约束类型</w:t>
            </w:r>
          </w:p>
        </w:tc>
        <w:tc>
          <w:tcPr>
            <w:tcW w:w="2765" w:type="dxa"/>
            <w:tcBorders>
              <w:left w:val="nil"/>
              <w:bottom w:val="single" w:color="auto" w:sz="4" w:space="0"/>
              <w:right w:val="nil"/>
            </w:tcBorders>
          </w:tcPr>
          <w:p w14:paraId="7B0DC188">
            <w:pPr>
              <w:spacing w:line="400" w:lineRule="exact"/>
              <w:jc w:val="center"/>
              <w:rPr>
                <w:color w:val="auto"/>
              </w:rPr>
            </w:pPr>
            <w:r>
              <w:rPr>
                <w:color w:val="auto"/>
              </w:rPr>
              <w:t>约束条件</w:t>
            </w:r>
          </w:p>
        </w:tc>
        <w:tc>
          <w:tcPr>
            <w:tcW w:w="2131" w:type="dxa"/>
            <w:tcBorders>
              <w:left w:val="nil"/>
              <w:bottom w:val="single" w:color="auto" w:sz="4" w:space="0"/>
              <w:right w:val="nil"/>
            </w:tcBorders>
          </w:tcPr>
          <w:p w14:paraId="59C6887F">
            <w:pPr>
              <w:spacing w:line="400" w:lineRule="exact"/>
              <w:jc w:val="center"/>
              <w:rPr>
                <w:color w:val="auto"/>
              </w:rPr>
            </w:pPr>
            <w:r>
              <w:rPr>
                <w:color w:val="auto"/>
              </w:rPr>
              <w:t>LHWGWO结果</w:t>
            </w:r>
          </w:p>
        </w:tc>
        <w:tc>
          <w:tcPr>
            <w:tcW w:w="2131" w:type="dxa"/>
            <w:tcBorders>
              <w:left w:val="nil"/>
              <w:bottom w:val="single" w:color="auto" w:sz="4" w:space="0"/>
              <w:right w:val="nil"/>
            </w:tcBorders>
          </w:tcPr>
          <w:p w14:paraId="306F6759">
            <w:pPr>
              <w:spacing w:line="400" w:lineRule="exact"/>
              <w:jc w:val="center"/>
              <w:rPr>
                <w:color w:val="auto"/>
              </w:rPr>
            </w:pPr>
            <w:r>
              <w:rPr>
                <w:color w:val="auto"/>
              </w:rPr>
              <w:t>满足度</w:t>
            </w:r>
          </w:p>
        </w:tc>
      </w:tr>
      <w:tr w14:paraId="71777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5" w:type="dxa"/>
            <w:vMerge w:val="restart"/>
            <w:tcBorders>
              <w:top w:val="single" w:color="auto" w:sz="4" w:space="0"/>
              <w:left w:val="nil"/>
              <w:bottom w:val="nil"/>
              <w:right w:val="nil"/>
            </w:tcBorders>
          </w:tcPr>
          <w:p w14:paraId="762B594D">
            <w:pPr>
              <w:spacing w:line="400" w:lineRule="exact"/>
              <w:jc w:val="center"/>
              <w:rPr>
                <w:color w:val="auto"/>
              </w:rPr>
            </w:pPr>
            <w:r>
              <w:rPr>
                <w:color w:val="auto"/>
              </w:rPr>
              <w:t>经济性约束</w:t>
            </w:r>
          </w:p>
        </w:tc>
        <w:tc>
          <w:tcPr>
            <w:tcW w:w="2765" w:type="dxa"/>
            <w:tcBorders>
              <w:top w:val="single" w:color="auto" w:sz="4" w:space="0"/>
              <w:left w:val="nil"/>
              <w:bottom w:val="nil"/>
              <w:right w:val="nil"/>
            </w:tcBorders>
          </w:tcPr>
          <w:p w14:paraId="780DCCF7">
            <w:pPr>
              <w:spacing w:line="400" w:lineRule="exact"/>
              <w:jc w:val="center"/>
              <w:rPr>
                <w:color w:val="auto"/>
              </w:rPr>
            </w:pPr>
            <w:r>
              <w:rPr>
                <w:color w:val="auto"/>
              </w:rPr>
              <w:t>总投资≤15亿元</w:t>
            </w:r>
          </w:p>
        </w:tc>
        <w:tc>
          <w:tcPr>
            <w:tcW w:w="2131" w:type="dxa"/>
            <w:tcBorders>
              <w:top w:val="single" w:color="auto" w:sz="4" w:space="0"/>
              <w:left w:val="nil"/>
              <w:bottom w:val="nil"/>
              <w:right w:val="nil"/>
            </w:tcBorders>
          </w:tcPr>
          <w:p w14:paraId="447D1272">
            <w:pPr>
              <w:spacing w:line="400" w:lineRule="exact"/>
              <w:jc w:val="center"/>
              <w:rPr>
                <w:color w:val="auto"/>
              </w:rPr>
            </w:pPr>
            <w:r>
              <w:rPr>
                <w:color w:val="auto"/>
              </w:rPr>
              <w:t>14.87亿元</w:t>
            </w:r>
          </w:p>
        </w:tc>
        <w:tc>
          <w:tcPr>
            <w:tcW w:w="2131" w:type="dxa"/>
            <w:tcBorders>
              <w:top w:val="single" w:color="auto" w:sz="4" w:space="0"/>
              <w:left w:val="nil"/>
              <w:bottom w:val="nil"/>
              <w:right w:val="nil"/>
            </w:tcBorders>
          </w:tcPr>
          <w:p w14:paraId="0D397CDA">
            <w:pPr>
              <w:spacing w:line="400" w:lineRule="exact"/>
              <w:jc w:val="center"/>
              <w:rPr>
                <w:color w:val="auto"/>
              </w:rPr>
            </w:pPr>
            <w:r>
              <w:rPr>
                <w:color w:val="auto"/>
              </w:rPr>
              <w:t>100%</w:t>
            </w:r>
          </w:p>
        </w:tc>
      </w:tr>
      <w:tr w14:paraId="0AEA0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5" w:type="dxa"/>
            <w:vMerge w:val="continue"/>
            <w:tcBorders>
              <w:top w:val="nil"/>
              <w:left w:val="nil"/>
              <w:bottom w:val="nil"/>
              <w:right w:val="nil"/>
            </w:tcBorders>
          </w:tcPr>
          <w:p w14:paraId="102C98AA">
            <w:pPr>
              <w:spacing w:line="400" w:lineRule="exact"/>
              <w:jc w:val="center"/>
              <w:rPr>
                <w:color w:val="auto"/>
              </w:rPr>
            </w:pPr>
          </w:p>
        </w:tc>
        <w:tc>
          <w:tcPr>
            <w:tcW w:w="2765" w:type="dxa"/>
            <w:tcBorders>
              <w:top w:val="nil"/>
              <w:left w:val="nil"/>
              <w:bottom w:val="nil"/>
              <w:right w:val="nil"/>
            </w:tcBorders>
          </w:tcPr>
          <w:p w14:paraId="19E96BAE">
            <w:pPr>
              <w:spacing w:line="400" w:lineRule="exact"/>
              <w:jc w:val="center"/>
              <w:rPr>
                <w:color w:val="auto"/>
              </w:rPr>
            </w:pPr>
            <w:r>
              <w:rPr>
                <w:color w:val="auto"/>
              </w:rPr>
              <w:t>综合收益率≥7.0%</w:t>
            </w:r>
          </w:p>
        </w:tc>
        <w:tc>
          <w:tcPr>
            <w:tcW w:w="2131" w:type="dxa"/>
            <w:tcBorders>
              <w:top w:val="nil"/>
              <w:left w:val="nil"/>
              <w:bottom w:val="nil"/>
              <w:right w:val="nil"/>
            </w:tcBorders>
          </w:tcPr>
          <w:p w14:paraId="2AD4B559">
            <w:pPr>
              <w:spacing w:line="400" w:lineRule="exact"/>
              <w:jc w:val="center"/>
              <w:rPr>
                <w:color w:val="auto"/>
              </w:rPr>
            </w:pPr>
            <w:r>
              <w:rPr>
                <w:color w:val="auto"/>
              </w:rPr>
              <w:t>8.3%</w:t>
            </w:r>
          </w:p>
        </w:tc>
        <w:tc>
          <w:tcPr>
            <w:tcW w:w="2131" w:type="dxa"/>
            <w:tcBorders>
              <w:top w:val="nil"/>
              <w:left w:val="nil"/>
              <w:bottom w:val="nil"/>
              <w:right w:val="nil"/>
            </w:tcBorders>
          </w:tcPr>
          <w:p w14:paraId="3D3DE795">
            <w:pPr>
              <w:spacing w:line="400" w:lineRule="exact"/>
              <w:jc w:val="center"/>
              <w:rPr>
                <w:color w:val="auto"/>
              </w:rPr>
            </w:pPr>
            <w:r>
              <w:rPr>
                <w:color w:val="auto"/>
              </w:rPr>
              <w:t>118.6%</w:t>
            </w:r>
          </w:p>
        </w:tc>
      </w:tr>
      <w:tr w14:paraId="4C4F4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5" w:type="dxa"/>
            <w:vMerge w:val="restart"/>
            <w:tcBorders>
              <w:top w:val="nil"/>
              <w:left w:val="nil"/>
              <w:bottom w:val="nil"/>
              <w:right w:val="nil"/>
            </w:tcBorders>
          </w:tcPr>
          <w:p w14:paraId="4F23726A">
            <w:pPr>
              <w:spacing w:line="400" w:lineRule="exact"/>
              <w:jc w:val="center"/>
              <w:rPr>
                <w:color w:val="auto"/>
              </w:rPr>
            </w:pPr>
            <w:r>
              <w:rPr>
                <w:color w:val="auto"/>
              </w:rPr>
              <w:t>技术性约束</w:t>
            </w:r>
          </w:p>
        </w:tc>
        <w:tc>
          <w:tcPr>
            <w:tcW w:w="2765" w:type="dxa"/>
            <w:tcBorders>
              <w:top w:val="nil"/>
              <w:left w:val="nil"/>
              <w:bottom w:val="nil"/>
              <w:right w:val="nil"/>
            </w:tcBorders>
          </w:tcPr>
          <w:p w14:paraId="1DE93782">
            <w:pPr>
              <w:spacing w:line="400" w:lineRule="exact"/>
              <w:jc w:val="center"/>
              <w:rPr>
                <w:color w:val="auto"/>
              </w:rPr>
            </w:pPr>
            <w:r>
              <w:rPr>
                <w:color w:val="auto"/>
              </w:rPr>
              <w:t>新能源接入比例≥35%</w:t>
            </w:r>
          </w:p>
        </w:tc>
        <w:tc>
          <w:tcPr>
            <w:tcW w:w="2131" w:type="dxa"/>
            <w:tcBorders>
              <w:top w:val="nil"/>
              <w:left w:val="nil"/>
              <w:bottom w:val="nil"/>
              <w:right w:val="nil"/>
            </w:tcBorders>
          </w:tcPr>
          <w:p w14:paraId="17033864">
            <w:pPr>
              <w:spacing w:line="400" w:lineRule="exact"/>
              <w:jc w:val="center"/>
              <w:rPr>
                <w:color w:val="auto"/>
              </w:rPr>
            </w:pPr>
            <w:r>
              <w:rPr>
                <w:color w:val="auto"/>
              </w:rPr>
              <w:t>38.2%</w:t>
            </w:r>
          </w:p>
        </w:tc>
        <w:tc>
          <w:tcPr>
            <w:tcW w:w="2131" w:type="dxa"/>
            <w:tcBorders>
              <w:top w:val="nil"/>
              <w:left w:val="nil"/>
              <w:bottom w:val="nil"/>
              <w:right w:val="nil"/>
            </w:tcBorders>
          </w:tcPr>
          <w:p w14:paraId="719716B6">
            <w:pPr>
              <w:spacing w:line="400" w:lineRule="exact"/>
              <w:jc w:val="center"/>
              <w:rPr>
                <w:color w:val="auto"/>
              </w:rPr>
            </w:pPr>
            <w:r>
              <w:rPr>
                <w:color w:val="auto"/>
              </w:rPr>
              <w:t>109.1%</w:t>
            </w:r>
          </w:p>
        </w:tc>
      </w:tr>
      <w:tr w14:paraId="63B26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495" w:type="dxa"/>
            <w:vMerge w:val="continue"/>
            <w:tcBorders>
              <w:top w:val="nil"/>
              <w:left w:val="nil"/>
              <w:bottom w:val="nil"/>
              <w:right w:val="nil"/>
            </w:tcBorders>
          </w:tcPr>
          <w:p w14:paraId="179B13F0">
            <w:pPr>
              <w:spacing w:line="400" w:lineRule="exact"/>
              <w:jc w:val="center"/>
              <w:rPr>
                <w:color w:val="auto"/>
              </w:rPr>
            </w:pPr>
          </w:p>
        </w:tc>
        <w:tc>
          <w:tcPr>
            <w:tcW w:w="2765" w:type="dxa"/>
            <w:tcBorders>
              <w:top w:val="nil"/>
              <w:left w:val="nil"/>
              <w:bottom w:val="nil"/>
              <w:right w:val="nil"/>
            </w:tcBorders>
          </w:tcPr>
          <w:p w14:paraId="33588AD9">
            <w:pPr>
              <w:spacing w:line="400" w:lineRule="exact"/>
              <w:jc w:val="center"/>
              <w:rPr>
                <w:color w:val="auto"/>
              </w:rPr>
            </w:pPr>
            <w:r>
              <w:rPr>
                <w:color w:val="auto"/>
              </w:rPr>
              <w:t>线路负载率≤85%</w:t>
            </w:r>
          </w:p>
        </w:tc>
        <w:tc>
          <w:tcPr>
            <w:tcW w:w="2131" w:type="dxa"/>
            <w:tcBorders>
              <w:top w:val="nil"/>
              <w:left w:val="nil"/>
              <w:bottom w:val="nil"/>
              <w:right w:val="nil"/>
            </w:tcBorders>
          </w:tcPr>
          <w:p w14:paraId="66D36432">
            <w:pPr>
              <w:spacing w:line="400" w:lineRule="exact"/>
              <w:jc w:val="center"/>
              <w:rPr>
                <w:color w:val="auto"/>
              </w:rPr>
            </w:pPr>
            <w:r>
              <w:rPr>
                <w:color w:val="auto"/>
              </w:rPr>
              <w:t>82.4%</w:t>
            </w:r>
          </w:p>
        </w:tc>
        <w:tc>
          <w:tcPr>
            <w:tcW w:w="2131" w:type="dxa"/>
            <w:tcBorders>
              <w:top w:val="nil"/>
              <w:left w:val="nil"/>
              <w:bottom w:val="nil"/>
              <w:right w:val="nil"/>
            </w:tcBorders>
          </w:tcPr>
          <w:p w14:paraId="56B7C94D">
            <w:pPr>
              <w:spacing w:line="400" w:lineRule="exact"/>
              <w:jc w:val="center"/>
              <w:rPr>
                <w:color w:val="auto"/>
              </w:rPr>
            </w:pPr>
            <w:r>
              <w:rPr>
                <w:color w:val="auto"/>
              </w:rPr>
              <w:t>96.9%</w:t>
            </w:r>
          </w:p>
        </w:tc>
      </w:tr>
      <w:tr w14:paraId="04BA2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5" w:type="dxa"/>
            <w:vMerge w:val="restart"/>
            <w:tcBorders>
              <w:top w:val="nil"/>
              <w:left w:val="nil"/>
              <w:bottom w:val="nil"/>
              <w:right w:val="nil"/>
            </w:tcBorders>
          </w:tcPr>
          <w:p w14:paraId="4D5211E8">
            <w:pPr>
              <w:spacing w:line="400" w:lineRule="exact"/>
              <w:jc w:val="center"/>
              <w:rPr>
                <w:color w:val="auto"/>
              </w:rPr>
            </w:pPr>
            <w:r>
              <w:rPr>
                <w:color w:val="auto"/>
              </w:rPr>
              <w:t>政策法规约束</w:t>
            </w:r>
          </w:p>
        </w:tc>
        <w:tc>
          <w:tcPr>
            <w:tcW w:w="2765" w:type="dxa"/>
            <w:tcBorders>
              <w:top w:val="nil"/>
              <w:left w:val="nil"/>
              <w:bottom w:val="nil"/>
              <w:right w:val="nil"/>
            </w:tcBorders>
          </w:tcPr>
          <w:p w14:paraId="6085DEE6">
            <w:pPr>
              <w:spacing w:line="400" w:lineRule="exact"/>
              <w:jc w:val="center"/>
              <w:rPr>
                <w:color w:val="auto"/>
              </w:rPr>
            </w:pPr>
            <w:r>
              <w:rPr>
                <w:color w:val="auto"/>
              </w:rPr>
              <w:t>碳排放总量≤5万吨/年</w:t>
            </w:r>
          </w:p>
        </w:tc>
        <w:tc>
          <w:tcPr>
            <w:tcW w:w="2131" w:type="dxa"/>
            <w:tcBorders>
              <w:top w:val="nil"/>
              <w:left w:val="nil"/>
              <w:bottom w:val="nil"/>
              <w:right w:val="nil"/>
            </w:tcBorders>
          </w:tcPr>
          <w:p w14:paraId="0AC513CC">
            <w:pPr>
              <w:spacing w:line="400" w:lineRule="exact"/>
              <w:jc w:val="center"/>
              <w:rPr>
                <w:color w:val="auto"/>
              </w:rPr>
            </w:pPr>
            <w:r>
              <w:rPr>
                <w:color w:val="auto"/>
              </w:rPr>
              <w:t>4.76万吨</w:t>
            </w:r>
          </w:p>
        </w:tc>
        <w:tc>
          <w:tcPr>
            <w:tcW w:w="2131" w:type="dxa"/>
            <w:tcBorders>
              <w:top w:val="nil"/>
              <w:left w:val="nil"/>
              <w:bottom w:val="nil"/>
              <w:right w:val="nil"/>
            </w:tcBorders>
          </w:tcPr>
          <w:p w14:paraId="45951E59">
            <w:pPr>
              <w:spacing w:line="400" w:lineRule="exact"/>
              <w:jc w:val="center"/>
              <w:rPr>
                <w:color w:val="auto"/>
              </w:rPr>
            </w:pPr>
            <w:r>
              <w:rPr>
                <w:color w:val="auto"/>
              </w:rPr>
              <w:t>95.2%</w:t>
            </w:r>
          </w:p>
        </w:tc>
      </w:tr>
      <w:tr w14:paraId="60B27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5" w:type="dxa"/>
            <w:vMerge w:val="continue"/>
            <w:tcBorders>
              <w:top w:val="nil"/>
              <w:left w:val="nil"/>
              <w:bottom w:val="nil"/>
              <w:right w:val="nil"/>
            </w:tcBorders>
          </w:tcPr>
          <w:p w14:paraId="7386B56B">
            <w:pPr>
              <w:spacing w:line="400" w:lineRule="exact"/>
              <w:jc w:val="center"/>
              <w:rPr>
                <w:color w:val="auto"/>
              </w:rPr>
            </w:pPr>
          </w:p>
        </w:tc>
        <w:tc>
          <w:tcPr>
            <w:tcW w:w="2765" w:type="dxa"/>
            <w:tcBorders>
              <w:top w:val="nil"/>
              <w:left w:val="nil"/>
              <w:bottom w:val="nil"/>
              <w:right w:val="nil"/>
            </w:tcBorders>
          </w:tcPr>
          <w:p w14:paraId="11EAC402">
            <w:pPr>
              <w:spacing w:line="400" w:lineRule="exact"/>
              <w:jc w:val="center"/>
              <w:rPr>
                <w:color w:val="auto"/>
              </w:rPr>
            </w:pPr>
            <w:r>
              <w:rPr>
                <w:color w:val="auto"/>
              </w:rPr>
              <w:t>分布式能源比例≥20%</w:t>
            </w:r>
          </w:p>
        </w:tc>
        <w:tc>
          <w:tcPr>
            <w:tcW w:w="2131" w:type="dxa"/>
            <w:tcBorders>
              <w:top w:val="nil"/>
              <w:left w:val="nil"/>
              <w:bottom w:val="nil"/>
              <w:right w:val="nil"/>
            </w:tcBorders>
          </w:tcPr>
          <w:p w14:paraId="766E3732">
            <w:pPr>
              <w:spacing w:line="400" w:lineRule="exact"/>
              <w:jc w:val="center"/>
              <w:rPr>
                <w:color w:val="auto"/>
              </w:rPr>
            </w:pPr>
            <w:r>
              <w:rPr>
                <w:color w:val="auto"/>
              </w:rPr>
              <w:t>24.5%</w:t>
            </w:r>
          </w:p>
        </w:tc>
        <w:tc>
          <w:tcPr>
            <w:tcW w:w="2131" w:type="dxa"/>
            <w:tcBorders>
              <w:top w:val="nil"/>
              <w:left w:val="nil"/>
              <w:bottom w:val="nil"/>
              <w:right w:val="nil"/>
            </w:tcBorders>
          </w:tcPr>
          <w:p w14:paraId="7D487B63">
            <w:pPr>
              <w:spacing w:line="400" w:lineRule="exact"/>
              <w:jc w:val="center"/>
              <w:rPr>
                <w:color w:val="auto"/>
              </w:rPr>
            </w:pPr>
            <w:r>
              <w:rPr>
                <w:color w:val="auto"/>
              </w:rPr>
              <w:t>122.5%</w:t>
            </w:r>
          </w:p>
        </w:tc>
      </w:tr>
      <w:tr w14:paraId="52F6E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5" w:type="dxa"/>
            <w:tcBorders>
              <w:top w:val="nil"/>
              <w:left w:val="nil"/>
              <w:right w:val="nil"/>
            </w:tcBorders>
          </w:tcPr>
          <w:p w14:paraId="39EB288B">
            <w:pPr>
              <w:spacing w:line="400" w:lineRule="exact"/>
              <w:jc w:val="center"/>
              <w:rPr>
                <w:color w:val="auto"/>
              </w:rPr>
            </w:pPr>
            <w:r>
              <w:rPr>
                <w:color w:val="auto"/>
              </w:rPr>
              <w:t>环境约束</w:t>
            </w:r>
          </w:p>
        </w:tc>
        <w:tc>
          <w:tcPr>
            <w:tcW w:w="2765" w:type="dxa"/>
            <w:tcBorders>
              <w:top w:val="nil"/>
              <w:left w:val="nil"/>
              <w:right w:val="nil"/>
            </w:tcBorders>
          </w:tcPr>
          <w:p w14:paraId="0D7F3391">
            <w:pPr>
              <w:spacing w:line="400" w:lineRule="exact"/>
              <w:jc w:val="center"/>
              <w:rPr>
                <w:color w:val="auto"/>
              </w:rPr>
            </w:pPr>
            <w:r>
              <w:rPr>
                <w:color w:val="auto"/>
              </w:rPr>
              <w:t>占地面积≤500公顷</w:t>
            </w:r>
          </w:p>
        </w:tc>
        <w:tc>
          <w:tcPr>
            <w:tcW w:w="2131" w:type="dxa"/>
            <w:tcBorders>
              <w:top w:val="nil"/>
              <w:left w:val="nil"/>
              <w:right w:val="nil"/>
            </w:tcBorders>
          </w:tcPr>
          <w:p w14:paraId="63E9F7B2">
            <w:pPr>
              <w:spacing w:line="400" w:lineRule="exact"/>
              <w:jc w:val="center"/>
              <w:rPr>
                <w:color w:val="auto"/>
              </w:rPr>
            </w:pPr>
            <w:r>
              <w:rPr>
                <w:color w:val="auto"/>
              </w:rPr>
              <w:t>486公顷</w:t>
            </w:r>
          </w:p>
        </w:tc>
        <w:tc>
          <w:tcPr>
            <w:tcW w:w="2131" w:type="dxa"/>
            <w:tcBorders>
              <w:top w:val="nil"/>
              <w:left w:val="nil"/>
              <w:right w:val="nil"/>
            </w:tcBorders>
          </w:tcPr>
          <w:p w14:paraId="21D06672">
            <w:pPr>
              <w:spacing w:line="400" w:lineRule="exact"/>
              <w:jc w:val="center"/>
              <w:rPr>
                <w:color w:val="auto"/>
              </w:rPr>
            </w:pPr>
            <w:r>
              <w:rPr>
                <w:color w:val="auto"/>
              </w:rPr>
              <w:t>97.2%</w:t>
            </w:r>
          </w:p>
        </w:tc>
      </w:tr>
    </w:tbl>
    <w:p w14:paraId="15B4BF16">
      <w:pPr>
        <w:spacing w:line="400" w:lineRule="exact"/>
        <w:rPr>
          <w:color w:val="auto"/>
        </w:rPr>
      </w:pPr>
    </w:p>
    <w:p w14:paraId="521370EE">
      <w:pPr>
        <w:spacing w:line="400" w:lineRule="exact"/>
        <w:ind w:firstLine="480" w:firstLineChars="200"/>
        <w:rPr>
          <w:color w:val="auto"/>
        </w:rPr>
      </w:pPr>
      <w:r>
        <w:rPr>
          <w:color w:val="auto"/>
        </w:rPr>
        <w:t>如表5-2所示，在经济性约束方面，总投资额被严格控制在15亿元以内，实际投资额为14.87亿元，完全符合预算要求。综合收益率达到了8.3%，超出最低要求18.6%。技术性约束上，新能源接入比例达到了38.2%，超过了35%的要求，线路负载率也保持在安全范围内。政策法规约束方面，碳排放总量为4.76万吨/年，低于5万吨/年的上限。分布式能源比例达到24.5%，远超20%的最低要求。环境约束方面，占地面积控制在486公顷，未超过最大限制500公顷。以上表明，LHWGWO算法能有效提升电网项目的投资效益，同时也能确保所有关键约束条件得到满足，特别是在新能源接入、减少碳排放以及合理利用土地资源等方面表现出色。这也证明了基于增广Lagrange乘子法的混合灰狼优化算法在电网项目投资决策中的实用性和优越性。</w:t>
      </w:r>
    </w:p>
    <w:p w14:paraId="42ACA3AE">
      <w:pPr>
        <w:spacing w:line="400" w:lineRule="exact"/>
        <w:ind w:firstLine="480" w:firstLineChars="200"/>
        <w:rPr>
          <w:color w:val="auto"/>
        </w:rPr>
      </w:pPr>
      <w:r>
        <w:rPr>
          <w:rFonts w:hint="eastAsia"/>
          <w:color w:val="auto"/>
        </w:rPr>
        <w:t>为了揭示算法优化机理，选取了新能源接入比例最高且投资收益显著的项目c进行深度分析。如图5-3所示，三种算法在储能配置、负载率等关键技术指标上呈现差异化特征。</w:t>
      </w:r>
    </w:p>
    <w:p w14:paraId="48CC7CB0">
      <w:pPr>
        <w:spacing w:line="400" w:lineRule="exact"/>
        <w:ind w:firstLine="480" w:firstLineChars="200"/>
        <w:rPr>
          <w:color w:val="auto"/>
        </w:rPr>
      </w:pPr>
      <w:r>
        <w:rPr>
          <w:rFonts w:hint="eastAsia"/>
          <w:color w:val="auto"/>
        </w:rPr>
        <w:drawing>
          <wp:inline distT="0" distB="0" distL="114300" distR="114300">
            <wp:extent cx="4759325" cy="3527425"/>
            <wp:effectExtent l="0" t="0" r="3175" b="15875"/>
            <wp:docPr id="12" name="图片 1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
                    <pic:cNvPicPr>
                      <a:picLocks noChangeAspect="1"/>
                    </pic:cNvPicPr>
                  </pic:nvPicPr>
                  <pic:blipFill>
                    <a:blip r:embed="rId20"/>
                    <a:stretch>
                      <a:fillRect/>
                    </a:stretch>
                  </pic:blipFill>
                  <pic:spPr>
                    <a:xfrm>
                      <a:off x="0" y="0"/>
                      <a:ext cx="4759325" cy="3527425"/>
                    </a:xfrm>
                    <a:prstGeom prst="rect">
                      <a:avLst/>
                    </a:prstGeom>
                  </pic:spPr>
                </pic:pic>
              </a:graphicData>
            </a:graphic>
          </wp:inline>
        </w:drawing>
      </w:r>
    </w:p>
    <w:p w14:paraId="4F5E5C7F">
      <w:pPr>
        <w:spacing w:line="400" w:lineRule="exact"/>
        <w:ind w:firstLine="480" w:firstLineChars="200"/>
        <w:jc w:val="center"/>
        <w:rPr>
          <w:color w:val="auto"/>
        </w:rPr>
      </w:pPr>
      <w:r>
        <w:rPr>
          <w:rFonts w:hint="eastAsia"/>
          <w:color w:val="auto"/>
        </w:rPr>
        <w:t>图5-3基于项目c多算法优化结果对比</w:t>
      </w:r>
    </w:p>
    <w:p w14:paraId="3F5FB098">
      <w:pPr>
        <w:spacing w:line="400" w:lineRule="exact"/>
        <w:ind w:firstLine="480" w:firstLineChars="200"/>
        <w:jc w:val="left"/>
        <w:rPr>
          <w:color w:val="auto"/>
        </w:rPr>
      </w:pPr>
      <w:r>
        <w:rPr>
          <w:rFonts w:hint="eastAsia"/>
          <w:color w:val="auto"/>
        </w:rPr>
        <w:t>LHWGWO通过智能协调储能配置与负载率的关系，在保证系统稳定性的前提下，将新能源消纳能力提升至38.2%（可见表5-2）.较人工决策方案提高34.5%。这种优化效果源于算法在以下两方面的突破：</w:t>
      </w:r>
    </w:p>
    <w:p w14:paraId="6787BAC6">
      <w:pPr>
        <w:spacing w:line="400" w:lineRule="exact"/>
        <w:ind w:firstLine="480" w:firstLineChars="200"/>
        <w:jc w:val="left"/>
        <w:rPr>
          <w:color w:val="auto"/>
        </w:rPr>
      </w:pPr>
      <w:r>
        <w:rPr>
          <w:rFonts w:hint="eastAsia"/>
          <w:color w:val="auto"/>
        </w:rPr>
        <w:t>1）动态权重机制：在迭代过程中自动调整经济-环境目标权重，初期（&lt;50代）侧重投资收益快速提升，后期（&gt;100代）着重碳排放优化，如图5-3权重演化曲线所示。</w:t>
      </w:r>
    </w:p>
    <w:p w14:paraId="492CDB6E">
      <w:pPr>
        <w:spacing w:line="400" w:lineRule="exact"/>
        <w:ind w:firstLine="480" w:firstLineChars="200"/>
        <w:jc w:val="left"/>
        <w:rPr>
          <w:color w:val="auto"/>
        </w:rPr>
      </w:pPr>
      <w:r>
        <w:rPr>
          <w:rFonts w:hint="eastAsia"/>
          <w:color w:val="auto"/>
        </w:rPr>
        <w:t>2）约束松弛策略：采用弹性边界处理技术，允许投资比例在±2%范围内波动，有效避免早熟收敛问题，使解空间探索能力提升28%。</w:t>
      </w:r>
    </w:p>
    <w:p w14:paraId="4EE02E4E">
      <w:pPr>
        <w:spacing w:line="400" w:lineRule="exact"/>
        <w:ind w:firstLine="480" w:firstLineChars="200"/>
        <w:rPr>
          <w:color w:val="auto"/>
        </w:rPr>
      </w:pPr>
      <w:r>
        <w:rPr>
          <w:color w:val="auto"/>
        </w:rPr>
        <w:t>（3）算法性能对比</w:t>
      </w:r>
    </w:p>
    <w:p w14:paraId="095D49FF">
      <w:pPr>
        <w:spacing w:line="400" w:lineRule="exact"/>
        <w:ind w:firstLine="480" w:firstLineChars="200"/>
        <w:rPr>
          <w:color w:val="auto"/>
        </w:rPr>
      </w:pPr>
      <w:r>
        <w:rPr>
          <w:color w:val="auto"/>
        </w:rPr>
        <w:t>为验证LHWGWO的优化效率，对比与PSO、NSGA-II的收敛速度与解集质量（见表5-3）。在优化算法的实际应用中，收敛速度决定了算法能在多快时间内找到较为满意的解，而解集质量则反映了算法所求得解的多样性和覆盖范围。对于复杂问题，尤其是多目标优化问题，这两个方面是评估算法性能的关键指标。通过与PSO和NSGA-II的对比，了解LHWGWO在电网项目投资决策中的优势。</w:t>
      </w:r>
    </w:p>
    <w:p w14:paraId="5AEC5F14">
      <w:pPr>
        <w:spacing w:line="400" w:lineRule="exact"/>
        <w:jc w:val="center"/>
        <w:rPr>
          <w:color w:val="auto"/>
        </w:rPr>
      </w:pPr>
      <w:r>
        <w:rPr>
          <w:color w:val="auto"/>
        </w:rPr>
        <w:t>表5-3 算法性能对比</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3"/>
        <w:gridCol w:w="1875"/>
        <w:gridCol w:w="1633"/>
        <w:gridCol w:w="2131"/>
      </w:tblGrid>
      <w:tr w14:paraId="09123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3" w:type="dxa"/>
            <w:tcBorders>
              <w:left w:val="nil"/>
              <w:bottom w:val="single" w:color="auto" w:sz="4" w:space="0"/>
              <w:right w:val="nil"/>
            </w:tcBorders>
          </w:tcPr>
          <w:p w14:paraId="390858E2">
            <w:pPr>
              <w:spacing w:line="400" w:lineRule="exact"/>
              <w:jc w:val="center"/>
              <w:rPr>
                <w:color w:val="auto"/>
              </w:rPr>
            </w:pPr>
            <w:r>
              <w:rPr>
                <w:color w:val="auto"/>
              </w:rPr>
              <w:t>指标</w:t>
            </w:r>
          </w:p>
        </w:tc>
        <w:tc>
          <w:tcPr>
            <w:tcW w:w="1875" w:type="dxa"/>
            <w:tcBorders>
              <w:left w:val="nil"/>
              <w:bottom w:val="single" w:color="auto" w:sz="4" w:space="0"/>
              <w:right w:val="nil"/>
            </w:tcBorders>
          </w:tcPr>
          <w:p w14:paraId="1046AF0B">
            <w:pPr>
              <w:spacing w:line="400" w:lineRule="exact"/>
              <w:jc w:val="center"/>
              <w:rPr>
                <w:color w:val="auto"/>
              </w:rPr>
            </w:pPr>
            <w:r>
              <w:rPr>
                <w:color w:val="auto"/>
              </w:rPr>
              <w:t>LHWGWO</w:t>
            </w:r>
          </w:p>
        </w:tc>
        <w:tc>
          <w:tcPr>
            <w:tcW w:w="1633" w:type="dxa"/>
            <w:tcBorders>
              <w:left w:val="nil"/>
              <w:bottom w:val="single" w:color="auto" w:sz="4" w:space="0"/>
              <w:right w:val="nil"/>
            </w:tcBorders>
          </w:tcPr>
          <w:p w14:paraId="02B603C7">
            <w:pPr>
              <w:spacing w:line="400" w:lineRule="exact"/>
              <w:jc w:val="center"/>
              <w:rPr>
                <w:color w:val="auto"/>
              </w:rPr>
            </w:pPr>
            <w:r>
              <w:rPr>
                <w:color w:val="auto"/>
              </w:rPr>
              <w:t>PSO</w:t>
            </w:r>
          </w:p>
        </w:tc>
        <w:tc>
          <w:tcPr>
            <w:tcW w:w="2131" w:type="dxa"/>
            <w:tcBorders>
              <w:left w:val="nil"/>
              <w:bottom w:val="single" w:color="auto" w:sz="4" w:space="0"/>
              <w:right w:val="nil"/>
            </w:tcBorders>
          </w:tcPr>
          <w:p w14:paraId="1BBBA769">
            <w:pPr>
              <w:spacing w:line="400" w:lineRule="exact"/>
              <w:jc w:val="center"/>
              <w:rPr>
                <w:color w:val="auto"/>
              </w:rPr>
            </w:pPr>
            <w:r>
              <w:rPr>
                <w:color w:val="auto"/>
              </w:rPr>
              <w:t>NSGA-II</w:t>
            </w:r>
          </w:p>
        </w:tc>
      </w:tr>
      <w:tr w14:paraId="77434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3" w:type="dxa"/>
            <w:tcBorders>
              <w:top w:val="single" w:color="auto" w:sz="4" w:space="0"/>
              <w:left w:val="nil"/>
              <w:bottom w:val="nil"/>
              <w:right w:val="nil"/>
            </w:tcBorders>
          </w:tcPr>
          <w:p w14:paraId="19E9E808">
            <w:pPr>
              <w:spacing w:line="400" w:lineRule="exact"/>
              <w:jc w:val="center"/>
              <w:rPr>
                <w:color w:val="auto"/>
              </w:rPr>
            </w:pPr>
            <w:r>
              <w:rPr>
                <w:color w:val="auto"/>
              </w:rPr>
              <w:t>收敛迭代次数</w:t>
            </w:r>
          </w:p>
        </w:tc>
        <w:tc>
          <w:tcPr>
            <w:tcW w:w="1875" w:type="dxa"/>
            <w:tcBorders>
              <w:top w:val="single" w:color="auto" w:sz="4" w:space="0"/>
              <w:left w:val="nil"/>
              <w:bottom w:val="nil"/>
              <w:right w:val="nil"/>
            </w:tcBorders>
          </w:tcPr>
          <w:p w14:paraId="3D77288A">
            <w:pPr>
              <w:spacing w:line="400" w:lineRule="exact"/>
              <w:jc w:val="center"/>
              <w:rPr>
                <w:color w:val="auto"/>
              </w:rPr>
            </w:pPr>
            <w:r>
              <w:rPr>
                <w:color w:val="auto"/>
              </w:rPr>
              <w:t>120</w:t>
            </w:r>
          </w:p>
        </w:tc>
        <w:tc>
          <w:tcPr>
            <w:tcW w:w="1633" w:type="dxa"/>
            <w:tcBorders>
              <w:top w:val="single" w:color="auto" w:sz="4" w:space="0"/>
              <w:left w:val="nil"/>
              <w:bottom w:val="nil"/>
              <w:right w:val="nil"/>
            </w:tcBorders>
          </w:tcPr>
          <w:p w14:paraId="1F5B015D">
            <w:pPr>
              <w:spacing w:line="400" w:lineRule="exact"/>
              <w:jc w:val="center"/>
              <w:rPr>
                <w:color w:val="auto"/>
              </w:rPr>
            </w:pPr>
            <w:r>
              <w:rPr>
                <w:color w:val="auto"/>
              </w:rPr>
              <w:t>250</w:t>
            </w:r>
          </w:p>
        </w:tc>
        <w:tc>
          <w:tcPr>
            <w:tcW w:w="2131" w:type="dxa"/>
            <w:tcBorders>
              <w:top w:val="single" w:color="auto" w:sz="4" w:space="0"/>
              <w:left w:val="nil"/>
              <w:bottom w:val="nil"/>
              <w:right w:val="nil"/>
            </w:tcBorders>
          </w:tcPr>
          <w:p w14:paraId="01500E5A">
            <w:pPr>
              <w:spacing w:line="400" w:lineRule="exact"/>
              <w:jc w:val="center"/>
              <w:rPr>
                <w:color w:val="auto"/>
              </w:rPr>
            </w:pPr>
            <w:r>
              <w:rPr>
                <w:color w:val="auto"/>
              </w:rPr>
              <w:t>200</w:t>
            </w:r>
          </w:p>
        </w:tc>
      </w:tr>
      <w:tr w14:paraId="361A2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3" w:type="dxa"/>
            <w:tcBorders>
              <w:top w:val="nil"/>
              <w:left w:val="nil"/>
              <w:bottom w:val="nil"/>
              <w:right w:val="nil"/>
            </w:tcBorders>
          </w:tcPr>
          <w:p w14:paraId="6A88FBEC">
            <w:pPr>
              <w:spacing w:line="400" w:lineRule="exact"/>
              <w:jc w:val="center"/>
              <w:rPr>
                <w:color w:val="auto"/>
              </w:rPr>
            </w:pPr>
            <w:r>
              <w:rPr>
                <w:color w:val="auto"/>
              </w:rPr>
              <w:t>计算时间（秒）</w:t>
            </w:r>
          </w:p>
        </w:tc>
        <w:tc>
          <w:tcPr>
            <w:tcW w:w="1875" w:type="dxa"/>
            <w:tcBorders>
              <w:top w:val="nil"/>
              <w:left w:val="nil"/>
              <w:bottom w:val="nil"/>
              <w:right w:val="nil"/>
            </w:tcBorders>
          </w:tcPr>
          <w:p w14:paraId="243586A5">
            <w:pPr>
              <w:spacing w:line="400" w:lineRule="exact"/>
              <w:jc w:val="center"/>
              <w:rPr>
                <w:color w:val="auto"/>
              </w:rPr>
            </w:pPr>
            <w:r>
              <w:rPr>
                <w:color w:val="auto"/>
              </w:rPr>
              <w:t>45.3</w:t>
            </w:r>
          </w:p>
        </w:tc>
        <w:tc>
          <w:tcPr>
            <w:tcW w:w="1633" w:type="dxa"/>
            <w:tcBorders>
              <w:top w:val="nil"/>
              <w:left w:val="nil"/>
              <w:bottom w:val="nil"/>
              <w:right w:val="nil"/>
            </w:tcBorders>
          </w:tcPr>
          <w:p w14:paraId="347B2FB9">
            <w:pPr>
              <w:spacing w:line="400" w:lineRule="exact"/>
              <w:jc w:val="center"/>
              <w:rPr>
                <w:color w:val="auto"/>
              </w:rPr>
            </w:pPr>
            <w:r>
              <w:rPr>
                <w:color w:val="auto"/>
              </w:rPr>
              <w:t>78.6</w:t>
            </w:r>
          </w:p>
        </w:tc>
        <w:tc>
          <w:tcPr>
            <w:tcW w:w="2131" w:type="dxa"/>
            <w:tcBorders>
              <w:top w:val="nil"/>
              <w:left w:val="nil"/>
              <w:bottom w:val="nil"/>
              <w:right w:val="nil"/>
            </w:tcBorders>
          </w:tcPr>
          <w:p w14:paraId="74E2A67E">
            <w:pPr>
              <w:spacing w:line="400" w:lineRule="exact"/>
              <w:jc w:val="center"/>
              <w:rPr>
                <w:color w:val="auto"/>
              </w:rPr>
            </w:pPr>
            <w:r>
              <w:rPr>
                <w:color w:val="auto"/>
              </w:rPr>
              <w:t>62.1</w:t>
            </w:r>
          </w:p>
        </w:tc>
      </w:tr>
      <w:tr w14:paraId="73978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3" w:type="dxa"/>
            <w:tcBorders>
              <w:top w:val="nil"/>
              <w:left w:val="nil"/>
              <w:bottom w:val="nil"/>
              <w:right w:val="nil"/>
            </w:tcBorders>
          </w:tcPr>
          <w:p w14:paraId="24FA43A4">
            <w:pPr>
              <w:spacing w:line="400" w:lineRule="exact"/>
              <w:jc w:val="center"/>
              <w:rPr>
                <w:color w:val="auto"/>
              </w:rPr>
            </w:pPr>
            <w:r>
              <w:rPr>
                <w:color w:val="auto"/>
              </w:rPr>
              <w:t>帕累托前沿覆盖率（%）</w:t>
            </w:r>
          </w:p>
        </w:tc>
        <w:tc>
          <w:tcPr>
            <w:tcW w:w="1875" w:type="dxa"/>
            <w:tcBorders>
              <w:top w:val="nil"/>
              <w:left w:val="nil"/>
              <w:bottom w:val="nil"/>
              <w:right w:val="nil"/>
            </w:tcBorders>
          </w:tcPr>
          <w:p w14:paraId="3001BB0D">
            <w:pPr>
              <w:spacing w:line="400" w:lineRule="exact"/>
              <w:jc w:val="center"/>
              <w:rPr>
                <w:color w:val="auto"/>
              </w:rPr>
            </w:pPr>
            <w:r>
              <w:rPr>
                <w:color w:val="auto"/>
              </w:rPr>
              <w:t>92.5</w:t>
            </w:r>
          </w:p>
        </w:tc>
        <w:tc>
          <w:tcPr>
            <w:tcW w:w="1633" w:type="dxa"/>
            <w:tcBorders>
              <w:top w:val="nil"/>
              <w:left w:val="nil"/>
              <w:bottom w:val="nil"/>
              <w:right w:val="nil"/>
            </w:tcBorders>
          </w:tcPr>
          <w:p w14:paraId="4D71BEB5">
            <w:pPr>
              <w:spacing w:line="400" w:lineRule="exact"/>
              <w:jc w:val="center"/>
              <w:rPr>
                <w:color w:val="auto"/>
              </w:rPr>
            </w:pPr>
            <w:r>
              <w:rPr>
                <w:color w:val="auto"/>
              </w:rPr>
              <w:t>85.4</w:t>
            </w:r>
          </w:p>
        </w:tc>
        <w:tc>
          <w:tcPr>
            <w:tcW w:w="2131" w:type="dxa"/>
            <w:tcBorders>
              <w:top w:val="nil"/>
              <w:left w:val="nil"/>
              <w:bottom w:val="nil"/>
              <w:right w:val="nil"/>
            </w:tcBorders>
          </w:tcPr>
          <w:p w14:paraId="1FAE0F8E">
            <w:pPr>
              <w:spacing w:line="400" w:lineRule="exact"/>
              <w:jc w:val="center"/>
              <w:rPr>
                <w:color w:val="auto"/>
              </w:rPr>
            </w:pPr>
            <w:r>
              <w:rPr>
                <w:color w:val="auto"/>
              </w:rPr>
              <w:t>88.7</w:t>
            </w:r>
          </w:p>
        </w:tc>
      </w:tr>
      <w:tr w14:paraId="7C56B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3" w:type="dxa"/>
            <w:tcBorders>
              <w:top w:val="nil"/>
              <w:left w:val="nil"/>
              <w:right w:val="nil"/>
            </w:tcBorders>
          </w:tcPr>
          <w:p w14:paraId="16238DEF">
            <w:pPr>
              <w:spacing w:line="400" w:lineRule="exact"/>
              <w:jc w:val="center"/>
              <w:rPr>
                <w:color w:val="auto"/>
              </w:rPr>
            </w:pPr>
            <w:r>
              <w:rPr>
                <w:color w:val="auto"/>
              </w:rPr>
              <w:t>约束违反率（%）</w:t>
            </w:r>
          </w:p>
        </w:tc>
        <w:tc>
          <w:tcPr>
            <w:tcW w:w="1875" w:type="dxa"/>
            <w:tcBorders>
              <w:top w:val="nil"/>
              <w:left w:val="nil"/>
              <w:right w:val="nil"/>
            </w:tcBorders>
          </w:tcPr>
          <w:p w14:paraId="6D08B4E8">
            <w:pPr>
              <w:spacing w:line="400" w:lineRule="exact"/>
              <w:jc w:val="center"/>
              <w:rPr>
                <w:color w:val="auto"/>
              </w:rPr>
            </w:pPr>
            <w:r>
              <w:rPr>
                <w:color w:val="auto"/>
              </w:rPr>
              <w:t>1.2</w:t>
            </w:r>
          </w:p>
        </w:tc>
        <w:tc>
          <w:tcPr>
            <w:tcW w:w="1633" w:type="dxa"/>
            <w:tcBorders>
              <w:top w:val="nil"/>
              <w:left w:val="nil"/>
              <w:right w:val="nil"/>
            </w:tcBorders>
          </w:tcPr>
          <w:p w14:paraId="02111322">
            <w:pPr>
              <w:spacing w:line="400" w:lineRule="exact"/>
              <w:jc w:val="center"/>
              <w:rPr>
                <w:color w:val="auto"/>
              </w:rPr>
            </w:pPr>
            <w:r>
              <w:rPr>
                <w:color w:val="auto"/>
              </w:rPr>
              <w:t>4.8</w:t>
            </w:r>
          </w:p>
        </w:tc>
        <w:tc>
          <w:tcPr>
            <w:tcW w:w="2131" w:type="dxa"/>
            <w:tcBorders>
              <w:top w:val="nil"/>
              <w:left w:val="nil"/>
              <w:right w:val="nil"/>
            </w:tcBorders>
          </w:tcPr>
          <w:p w14:paraId="6417B3B9">
            <w:pPr>
              <w:spacing w:line="400" w:lineRule="exact"/>
              <w:jc w:val="center"/>
              <w:rPr>
                <w:color w:val="auto"/>
              </w:rPr>
            </w:pPr>
            <w:r>
              <w:rPr>
                <w:color w:val="auto"/>
              </w:rPr>
              <w:t>3.5</w:t>
            </w:r>
          </w:p>
        </w:tc>
      </w:tr>
    </w:tbl>
    <w:p w14:paraId="26EF8705">
      <w:pPr>
        <w:spacing w:line="400" w:lineRule="exact"/>
        <w:ind w:firstLine="480" w:firstLineChars="200"/>
        <w:rPr>
          <w:color w:val="auto"/>
        </w:rPr>
      </w:pPr>
    </w:p>
    <w:p w14:paraId="4E1B9478">
      <w:pPr>
        <w:spacing w:line="400" w:lineRule="exact"/>
        <w:ind w:firstLine="480" w:firstLineChars="200"/>
        <w:rPr>
          <w:color w:val="auto"/>
        </w:rPr>
      </w:pPr>
      <w:r>
        <w:rPr>
          <w:color w:val="auto"/>
        </w:rPr>
        <w:t>从表5-3可以看出，LHWGWO在收敛速度上明显优于PSO和NSGA-II，仅需120次迭代即可收敛，而PSO和NSGA-II分别需要250次和200次。LHWGWO能在更短时间内找到较为满意的解，节省计算资源。在计算时间方面，LHWGWO耗时45.3秒，短于PSO的78.6秒和NSGA-II的62.1秒，体现了高效性。帕累托前沿覆盖率是衡量解集质量的重要指标，LHWGWO达到了92.5%，高于PSO的85.4%和NSGA-II的88.7%，表明解集更全面，能为决策者提供更多优质选择。约束违反率方面，LHWGWO仅为1.2%，低于PSO的4.8%和NSGA-II的3.5%，说明其解更符合实际工程约束要求。综上，LHWGWO在收敛速度、解集质量和约束满足度上均表现优异，适用于电网项目投资决策等复杂多目标优化问题。</w:t>
      </w:r>
    </w:p>
    <w:p w14:paraId="131BAEA4">
      <w:pPr>
        <w:spacing w:line="400" w:lineRule="exact"/>
        <w:ind w:firstLine="480" w:firstLineChars="200"/>
        <w:rPr>
          <w:color w:val="auto"/>
        </w:rPr>
      </w:pPr>
      <w:r>
        <w:rPr>
          <w:color w:val="auto"/>
        </w:rPr>
        <w:t>（4）敏感性分析</w:t>
      </w:r>
    </w:p>
    <w:p w14:paraId="28078466">
      <w:pPr>
        <w:spacing w:line="400" w:lineRule="exact"/>
        <w:ind w:firstLine="480" w:firstLineChars="200"/>
        <w:rPr>
          <w:color w:val="auto"/>
        </w:rPr>
      </w:pPr>
      <w:r>
        <w:rPr>
          <w:color w:val="auto"/>
        </w:rPr>
        <w:t>进一步分析经济效益权重系数</w:t>
      </w:r>
      <w:r>
        <w:rPr>
          <w:i/>
          <w:iCs/>
          <w:color w:val="auto"/>
        </w:rPr>
        <w:t>α</w:t>
      </w:r>
      <w:r>
        <w:rPr>
          <w:color w:val="auto"/>
        </w:rPr>
        <w:t>与环境效益调节系数</w:t>
      </w:r>
      <w:r>
        <w:rPr>
          <w:i/>
          <w:iCs/>
          <w:color w:val="auto"/>
        </w:rPr>
        <w:t>β</w:t>
      </w:r>
      <w:r>
        <w:rPr>
          <w:color w:val="auto"/>
        </w:rPr>
        <w:t>对投资决策的影响。固定</w:t>
      </w:r>
      <w:r>
        <w:rPr>
          <w:i/>
          <w:iCs/>
          <w:color w:val="auto"/>
        </w:rPr>
        <w:t>β</w:t>
      </w:r>
      <w:r>
        <w:rPr>
          <w:color w:val="auto"/>
        </w:rPr>
        <w:t>=0.20，调整</w:t>
      </w:r>
      <w:r>
        <w:rPr>
          <w:i/>
          <w:iCs/>
          <w:color w:val="auto"/>
        </w:rPr>
        <w:t>α</w:t>
      </w:r>
      <w:r>
        <w:rPr>
          <w:color w:val="auto"/>
        </w:rPr>
        <w:t>取值（0.3~0.6），结果如表5-4所示。</w:t>
      </w:r>
    </w:p>
    <w:p w14:paraId="436F0715">
      <w:pPr>
        <w:spacing w:line="400" w:lineRule="exact"/>
        <w:ind w:firstLine="480" w:firstLineChars="200"/>
        <w:jc w:val="center"/>
        <w:rPr>
          <w:color w:val="auto"/>
        </w:rPr>
      </w:pPr>
      <w:r>
        <w:rPr>
          <w:color w:val="auto"/>
        </w:rPr>
        <w:t>表5-4 权重系数（</w:t>
      </w:r>
      <w:r>
        <w:rPr>
          <w:i/>
          <w:iCs/>
          <w:color w:val="auto"/>
        </w:rPr>
        <w:t>α</w:t>
      </w:r>
      <w:r>
        <w:rPr>
          <w:color w:val="auto"/>
        </w:rPr>
        <w:t>）敏感性分析</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6EFE8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left w:val="nil"/>
              <w:bottom w:val="single" w:color="auto" w:sz="4" w:space="0"/>
              <w:right w:val="nil"/>
            </w:tcBorders>
          </w:tcPr>
          <w:p w14:paraId="156F9C27">
            <w:pPr>
              <w:spacing w:line="400" w:lineRule="exact"/>
              <w:jc w:val="center"/>
              <w:rPr>
                <w:color w:val="auto"/>
                <w:szCs w:val="21"/>
              </w:rPr>
            </w:pPr>
            <w:r>
              <w:rPr>
                <w:color w:val="auto"/>
                <w:szCs w:val="21"/>
              </w:rPr>
              <w:t>权重系数（α）</w:t>
            </w:r>
          </w:p>
        </w:tc>
        <w:tc>
          <w:tcPr>
            <w:tcW w:w="1420" w:type="dxa"/>
            <w:tcBorders>
              <w:left w:val="nil"/>
              <w:bottom w:val="single" w:color="auto" w:sz="4" w:space="0"/>
              <w:right w:val="nil"/>
            </w:tcBorders>
          </w:tcPr>
          <w:p w14:paraId="75C650BE">
            <w:pPr>
              <w:spacing w:line="400" w:lineRule="exact"/>
              <w:jc w:val="center"/>
              <w:rPr>
                <w:color w:val="auto"/>
                <w:szCs w:val="21"/>
              </w:rPr>
            </w:pPr>
            <w:r>
              <w:rPr>
                <w:color w:val="auto"/>
                <w:szCs w:val="21"/>
              </w:rPr>
              <w:t>综合收益率（%）</w:t>
            </w:r>
          </w:p>
        </w:tc>
        <w:tc>
          <w:tcPr>
            <w:tcW w:w="1420" w:type="dxa"/>
            <w:tcBorders>
              <w:left w:val="nil"/>
              <w:bottom w:val="single" w:color="auto" w:sz="4" w:space="0"/>
              <w:right w:val="nil"/>
            </w:tcBorders>
          </w:tcPr>
          <w:p w14:paraId="54147B4A">
            <w:pPr>
              <w:spacing w:line="400" w:lineRule="exact"/>
              <w:jc w:val="center"/>
              <w:rPr>
                <w:color w:val="auto"/>
                <w:szCs w:val="21"/>
              </w:rPr>
            </w:pPr>
            <w:r>
              <w:rPr>
                <w:color w:val="auto"/>
                <w:szCs w:val="21"/>
              </w:rPr>
              <w:t>碳排放总量（万吨/年）</w:t>
            </w:r>
          </w:p>
        </w:tc>
        <w:tc>
          <w:tcPr>
            <w:tcW w:w="1420" w:type="dxa"/>
            <w:tcBorders>
              <w:left w:val="nil"/>
              <w:bottom w:val="single" w:color="auto" w:sz="4" w:space="0"/>
              <w:right w:val="nil"/>
            </w:tcBorders>
          </w:tcPr>
          <w:p w14:paraId="30CA9FDF">
            <w:pPr>
              <w:spacing w:line="400" w:lineRule="exact"/>
              <w:jc w:val="center"/>
              <w:rPr>
                <w:color w:val="auto"/>
                <w:szCs w:val="21"/>
              </w:rPr>
            </w:pPr>
            <w:r>
              <w:rPr>
                <w:color w:val="auto"/>
                <w:szCs w:val="21"/>
              </w:rPr>
              <w:t>综合效益函数值（F）</w:t>
            </w:r>
          </w:p>
        </w:tc>
        <w:tc>
          <w:tcPr>
            <w:tcW w:w="1421" w:type="dxa"/>
            <w:tcBorders>
              <w:left w:val="nil"/>
              <w:bottom w:val="single" w:color="auto" w:sz="4" w:space="0"/>
              <w:right w:val="nil"/>
            </w:tcBorders>
          </w:tcPr>
          <w:p w14:paraId="68640D9E">
            <w:pPr>
              <w:spacing w:line="400" w:lineRule="exact"/>
              <w:jc w:val="center"/>
              <w:rPr>
                <w:color w:val="auto"/>
                <w:szCs w:val="21"/>
              </w:rPr>
            </w:pPr>
            <w:r>
              <w:rPr>
                <w:color w:val="auto"/>
                <w:szCs w:val="21"/>
              </w:rPr>
              <w:t>新能源接入比例（%）</w:t>
            </w:r>
          </w:p>
        </w:tc>
        <w:tc>
          <w:tcPr>
            <w:tcW w:w="1421" w:type="dxa"/>
            <w:tcBorders>
              <w:left w:val="nil"/>
              <w:bottom w:val="single" w:color="auto" w:sz="4" w:space="0"/>
              <w:right w:val="nil"/>
            </w:tcBorders>
          </w:tcPr>
          <w:p w14:paraId="616B5DE8">
            <w:pPr>
              <w:spacing w:line="400" w:lineRule="exact"/>
              <w:jc w:val="center"/>
              <w:rPr>
                <w:color w:val="auto"/>
                <w:szCs w:val="21"/>
              </w:rPr>
            </w:pPr>
            <w:r>
              <w:rPr>
                <w:color w:val="auto"/>
                <w:szCs w:val="21"/>
              </w:rPr>
              <w:t>单位投资成本（万元/MVA）</w:t>
            </w:r>
          </w:p>
        </w:tc>
      </w:tr>
      <w:tr w14:paraId="4F46C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nil"/>
              <w:bottom w:val="nil"/>
              <w:right w:val="nil"/>
            </w:tcBorders>
          </w:tcPr>
          <w:p w14:paraId="34E5D279">
            <w:pPr>
              <w:spacing w:line="400" w:lineRule="exact"/>
              <w:jc w:val="center"/>
              <w:rPr>
                <w:color w:val="auto"/>
                <w:szCs w:val="21"/>
              </w:rPr>
            </w:pPr>
            <w:r>
              <w:rPr>
                <w:color w:val="auto"/>
                <w:szCs w:val="21"/>
              </w:rPr>
              <w:t>0.30</w:t>
            </w:r>
          </w:p>
        </w:tc>
        <w:tc>
          <w:tcPr>
            <w:tcW w:w="1420" w:type="dxa"/>
            <w:tcBorders>
              <w:top w:val="single" w:color="auto" w:sz="4" w:space="0"/>
              <w:left w:val="nil"/>
              <w:bottom w:val="nil"/>
              <w:right w:val="nil"/>
            </w:tcBorders>
          </w:tcPr>
          <w:p w14:paraId="6FC83529">
            <w:pPr>
              <w:spacing w:line="400" w:lineRule="exact"/>
              <w:jc w:val="center"/>
              <w:rPr>
                <w:color w:val="auto"/>
                <w:szCs w:val="21"/>
              </w:rPr>
            </w:pPr>
            <w:r>
              <w:rPr>
                <w:color w:val="auto"/>
                <w:szCs w:val="21"/>
              </w:rPr>
              <w:t>7.1</w:t>
            </w:r>
          </w:p>
        </w:tc>
        <w:tc>
          <w:tcPr>
            <w:tcW w:w="1420" w:type="dxa"/>
            <w:tcBorders>
              <w:top w:val="single" w:color="auto" w:sz="4" w:space="0"/>
              <w:left w:val="nil"/>
              <w:bottom w:val="nil"/>
              <w:right w:val="nil"/>
            </w:tcBorders>
          </w:tcPr>
          <w:p w14:paraId="6EAC517D">
            <w:pPr>
              <w:spacing w:line="400" w:lineRule="exact"/>
              <w:jc w:val="center"/>
              <w:rPr>
                <w:color w:val="auto"/>
                <w:szCs w:val="21"/>
              </w:rPr>
            </w:pPr>
            <w:r>
              <w:rPr>
                <w:color w:val="auto"/>
                <w:szCs w:val="21"/>
              </w:rPr>
              <w:t>4.76</w:t>
            </w:r>
          </w:p>
        </w:tc>
        <w:tc>
          <w:tcPr>
            <w:tcW w:w="1420" w:type="dxa"/>
            <w:tcBorders>
              <w:top w:val="single" w:color="auto" w:sz="4" w:space="0"/>
              <w:left w:val="nil"/>
              <w:bottom w:val="nil"/>
              <w:right w:val="nil"/>
            </w:tcBorders>
          </w:tcPr>
          <w:p w14:paraId="63BF2251">
            <w:pPr>
              <w:spacing w:line="400" w:lineRule="exact"/>
              <w:jc w:val="center"/>
              <w:rPr>
                <w:color w:val="auto"/>
                <w:szCs w:val="21"/>
              </w:rPr>
            </w:pPr>
            <w:r>
              <w:rPr>
                <w:color w:val="auto"/>
                <w:szCs w:val="21"/>
              </w:rPr>
              <w:t>0.428</w:t>
            </w:r>
          </w:p>
        </w:tc>
        <w:tc>
          <w:tcPr>
            <w:tcW w:w="1421" w:type="dxa"/>
            <w:tcBorders>
              <w:top w:val="single" w:color="auto" w:sz="4" w:space="0"/>
              <w:left w:val="nil"/>
              <w:bottom w:val="nil"/>
              <w:right w:val="nil"/>
            </w:tcBorders>
          </w:tcPr>
          <w:p w14:paraId="36946BA5">
            <w:pPr>
              <w:spacing w:line="400" w:lineRule="exact"/>
              <w:jc w:val="center"/>
              <w:rPr>
                <w:color w:val="auto"/>
                <w:szCs w:val="21"/>
              </w:rPr>
            </w:pPr>
            <w:r>
              <w:rPr>
                <w:color w:val="auto"/>
                <w:szCs w:val="21"/>
              </w:rPr>
              <w:t>35.2</w:t>
            </w:r>
          </w:p>
        </w:tc>
        <w:tc>
          <w:tcPr>
            <w:tcW w:w="1421" w:type="dxa"/>
            <w:tcBorders>
              <w:top w:val="single" w:color="auto" w:sz="4" w:space="0"/>
              <w:left w:val="nil"/>
              <w:bottom w:val="nil"/>
              <w:right w:val="nil"/>
            </w:tcBorders>
          </w:tcPr>
          <w:p w14:paraId="76F27A32">
            <w:pPr>
              <w:spacing w:line="400" w:lineRule="exact"/>
              <w:jc w:val="center"/>
              <w:rPr>
                <w:color w:val="auto"/>
                <w:szCs w:val="21"/>
              </w:rPr>
            </w:pPr>
            <w:r>
              <w:rPr>
                <w:color w:val="auto"/>
                <w:szCs w:val="21"/>
              </w:rPr>
              <w:t>13.5</w:t>
            </w:r>
          </w:p>
        </w:tc>
      </w:tr>
      <w:tr w14:paraId="53E75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nil"/>
              <w:left w:val="nil"/>
              <w:bottom w:val="nil"/>
              <w:right w:val="nil"/>
            </w:tcBorders>
          </w:tcPr>
          <w:p w14:paraId="69614727">
            <w:pPr>
              <w:spacing w:line="400" w:lineRule="exact"/>
              <w:jc w:val="center"/>
              <w:rPr>
                <w:color w:val="auto"/>
                <w:szCs w:val="21"/>
              </w:rPr>
            </w:pPr>
            <w:r>
              <w:rPr>
                <w:color w:val="auto"/>
                <w:szCs w:val="21"/>
              </w:rPr>
              <w:t>0.35</w:t>
            </w:r>
          </w:p>
        </w:tc>
        <w:tc>
          <w:tcPr>
            <w:tcW w:w="1420" w:type="dxa"/>
            <w:tcBorders>
              <w:top w:val="nil"/>
              <w:left w:val="nil"/>
              <w:bottom w:val="nil"/>
              <w:right w:val="nil"/>
            </w:tcBorders>
          </w:tcPr>
          <w:p w14:paraId="53F39D73">
            <w:pPr>
              <w:spacing w:line="400" w:lineRule="exact"/>
              <w:jc w:val="center"/>
              <w:rPr>
                <w:color w:val="auto"/>
                <w:szCs w:val="21"/>
              </w:rPr>
            </w:pPr>
            <w:r>
              <w:rPr>
                <w:color w:val="auto"/>
                <w:szCs w:val="21"/>
              </w:rPr>
              <w:t>7.6</w:t>
            </w:r>
          </w:p>
        </w:tc>
        <w:tc>
          <w:tcPr>
            <w:tcW w:w="1420" w:type="dxa"/>
            <w:tcBorders>
              <w:top w:val="nil"/>
              <w:left w:val="nil"/>
              <w:bottom w:val="nil"/>
              <w:right w:val="nil"/>
            </w:tcBorders>
          </w:tcPr>
          <w:p w14:paraId="43EC2F66">
            <w:pPr>
              <w:spacing w:line="400" w:lineRule="exact"/>
              <w:jc w:val="center"/>
              <w:rPr>
                <w:color w:val="auto"/>
                <w:szCs w:val="21"/>
              </w:rPr>
            </w:pPr>
            <w:r>
              <w:rPr>
                <w:color w:val="auto"/>
                <w:szCs w:val="21"/>
              </w:rPr>
              <w:t>4.63</w:t>
            </w:r>
          </w:p>
        </w:tc>
        <w:tc>
          <w:tcPr>
            <w:tcW w:w="1420" w:type="dxa"/>
            <w:tcBorders>
              <w:top w:val="nil"/>
              <w:left w:val="nil"/>
              <w:bottom w:val="nil"/>
              <w:right w:val="nil"/>
            </w:tcBorders>
          </w:tcPr>
          <w:p w14:paraId="56E3481A">
            <w:pPr>
              <w:spacing w:line="400" w:lineRule="exact"/>
              <w:jc w:val="center"/>
              <w:rPr>
                <w:color w:val="auto"/>
                <w:szCs w:val="21"/>
              </w:rPr>
            </w:pPr>
            <w:r>
              <w:rPr>
                <w:color w:val="auto"/>
                <w:szCs w:val="21"/>
              </w:rPr>
              <w:t>0.462</w:t>
            </w:r>
          </w:p>
        </w:tc>
        <w:tc>
          <w:tcPr>
            <w:tcW w:w="1421" w:type="dxa"/>
            <w:tcBorders>
              <w:top w:val="nil"/>
              <w:left w:val="nil"/>
              <w:bottom w:val="nil"/>
              <w:right w:val="nil"/>
            </w:tcBorders>
          </w:tcPr>
          <w:p w14:paraId="6851E46F">
            <w:pPr>
              <w:spacing w:line="400" w:lineRule="exact"/>
              <w:jc w:val="center"/>
              <w:rPr>
                <w:color w:val="auto"/>
                <w:szCs w:val="21"/>
              </w:rPr>
            </w:pPr>
            <w:r>
              <w:rPr>
                <w:color w:val="auto"/>
                <w:szCs w:val="21"/>
              </w:rPr>
              <w:t>36.8</w:t>
            </w:r>
          </w:p>
        </w:tc>
        <w:tc>
          <w:tcPr>
            <w:tcW w:w="1421" w:type="dxa"/>
            <w:tcBorders>
              <w:top w:val="nil"/>
              <w:left w:val="nil"/>
              <w:bottom w:val="nil"/>
              <w:right w:val="nil"/>
            </w:tcBorders>
          </w:tcPr>
          <w:p w14:paraId="28B5721C">
            <w:pPr>
              <w:spacing w:line="400" w:lineRule="exact"/>
              <w:jc w:val="center"/>
              <w:rPr>
                <w:color w:val="auto"/>
                <w:szCs w:val="21"/>
              </w:rPr>
            </w:pPr>
            <w:r>
              <w:rPr>
                <w:color w:val="auto"/>
                <w:szCs w:val="21"/>
              </w:rPr>
              <w:t>13.1</w:t>
            </w:r>
          </w:p>
        </w:tc>
      </w:tr>
      <w:tr w14:paraId="1B55F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nil"/>
              <w:left w:val="nil"/>
              <w:bottom w:val="nil"/>
              <w:right w:val="nil"/>
            </w:tcBorders>
          </w:tcPr>
          <w:p w14:paraId="6C4EE052">
            <w:pPr>
              <w:spacing w:line="400" w:lineRule="exact"/>
              <w:jc w:val="center"/>
              <w:rPr>
                <w:color w:val="auto"/>
                <w:szCs w:val="21"/>
              </w:rPr>
            </w:pPr>
            <w:r>
              <w:rPr>
                <w:color w:val="auto"/>
                <w:szCs w:val="21"/>
              </w:rPr>
              <w:t>0.40</w:t>
            </w:r>
          </w:p>
        </w:tc>
        <w:tc>
          <w:tcPr>
            <w:tcW w:w="1420" w:type="dxa"/>
            <w:tcBorders>
              <w:top w:val="nil"/>
              <w:left w:val="nil"/>
              <w:bottom w:val="nil"/>
              <w:right w:val="nil"/>
            </w:tcBorders>
          </w:tcPr>
          <w:p w14:paraId="29008846">
            <w:pPr>
              <w:spacing w:line="400" w:lineRule="exact"/>
              <w:jc w:val="center"/>
              <w:rPr>
                <w:color w:val="auto"/>
                <w:szCs w:val="21"/>
              </w:rPr>
            </w:pPr>
            <w:r>
              <w:rPr>
                <w:color w:val="auto"/>
                <w:szCs w:val="21"/>
              </w:rPr>
              <w:t>8.0</w:t>
            </w:r>
          </w:p>
        </w:tc>
        <w:tc>
          <w:tcPr>
            <w:tcW w:w="1420" w:type="dxa"/>
            <w:tcBorders>
              <w:top w:val="nil"/>
              <w:left w:val="nil"/>
              <w:bottom w:val="nil"/>
              <w:right w:val="nil"/>
            </w:tcBorders>
          </w:tcPr>
          <w:p w14:paraId="1478C138">
            <w:pPr>
              <w:spacing w:line="400" w:lineRule="exact"/>
              <w:jc w:val="center"/>
              <w:rPr>
                <w:color w:val="auto"/>
                <w:szCs w:val="21"/>
              </w:rPr>
            </w:pPr>
            <w:r>
              <w:rPr>
                <w:color w:val="auto"/>
                <w:szCs w:val="21"/>
              </w:rPr>
              <w:t>4.55</w:t>
            </w:r>
          </w:p>
        </w:tc>
        <w:tc>
          <w:tcPr>
            <w:tcW w:w="1420" w:type="dxa"/>
            <w:tcBorders>
              <w:top w:val="nil"/>
              <w:left w:val="nil"/>
              <w:bottom w:val="nil"/>
              <w:right w:val="nil"/>
            </w:tcBorders>
          </w:tcPr>
          <w:p w14:paraId="7799485F">
            <w:pPr>
              <w:spacing w:line="400" w:lineRule="exact"/>
              <w:jc w:val="center"/>
              <w:rPr>
                <w:color w:val="auto"/>
                <w:szCs w:val="21"/>
              </w:rPr>
            </w:pPr>
            <w:r>
              <w:rPr>
                <w:color w:val="auto"/>
                <w:szCs w:val="21"/>
              </w:rPr>
              <w:t>0.481</w:t>
            </w:r>
          </w:p>
        </w:tc>
        <w:tc>
          <w:tcPr>
            <w:tcW w:w="1421" w:type="dxa"/>
            <w:tcBorders>
              <w:top w:val="nil"/>
              <w:left w:val="nil"/>
              <w:bottom w:val="nil"/>
              <w:right w:val="nil"/>
            </w:tcBorders>
          </w:tcPr>
          <w:p w14:paraId="4E7A6C35">
            <w:pPr>
              <w:spacing w:line="400" w:lineRule="exact"/>
              <w:jc w:val="center"/>
              <w:rPr>
                <w:color w:val="auto"/>
                <w:szCs w:val="21"/>
              </w:rPr>
            </w:pPr>
            <w:r>
              <w:rPr>
                <w:color w:val="auto"/>
                <w:szCs w:val="21"/>
              </w:rPr>
              <w:t>37.5</w:t>
            </w:r>
          </w:p>
        </w:tc>
        <w:tc>
          <w:tcPr>
            <w:tcW w:w="1421" w:type="dxa"/>
            <w:tcBorders>
              <w:top w:val="nil"/>
              <w:left w:val="nil"/>
              <w:bottom w:val="nil"/>
              <w:right w:val="nil"/>
            </w:tcBorders>
          </w:tcPr>
          <w:p w14:paraId="4996054B">
            <w:pPr>
              <w:spacing w:line="400" w:lineRule="exact"/>
              <w:jc w:val="center"/>
              <w:rPr>
                <w:color w:val="auto"/>
                <w:szCs w:val="21"/>
              </w:rPr>
            </w:pPr>
            <w:r>
              <w:rPr>
                <w:color w:val="auto"/>
                <w:szCs w:val="21"/>
              </w:rPr>
              <w:t>12.7</w:t>
            </w:r>
          </w:p>
        </w:tc>
      </w:tr>
      <w:tr w14:paraId="6203E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420" w:type="dxa"/>
            <w:tcBorders>
              <w:top w:val="nil"/>
              <w:left w:val="nil"/>
              <w:bottom w:val="nil"/>
              <w:right w:val="nil"/>
            </w:tcBorders>
          </w:tcPr>
          <w:p w14:paraId="4C2AE957">
            <w:pPr>
              <w:spacing w:line="400" w:lineRule="exact"/>
              <w:jc w:val="center"/>
              <w:rPr>
                <w:color w:val="auto"/>
                <w:szCs w:val="21"/>
              </w:rPr>
            </w:pPr>
            <w:r>
              <w:rPr>
                <w:color w:val="auto"/>
                <w:szCs w:val="21"/>
              </w:rPr>
              <w:t>0.45</w:t>
            </w:r>
          </w:p>
        </w:tc>
        <w:tc>
          <w:tcPr>
            <w:tcW w:w="1420" w:type="dxa"/>
            <w:tcBorders>
              <w:top w:val="nil"/>
              <w:left w:val="nil"/>
              <w:bottom w:val="nil"/>
              <w:right w:val="nil"/>
            </w:tcBorders>
          </w:tcPr>
          <w:p w14:paraId="25469A34">
            <w:pPr>
              <w:spacing w:line="400" w:lineRule="exact"/>
              <w:jc w:val="center"/>
              <w:rPr>
                <w:color w:val="auto"/>
                <w:szCs w:val="21"/>
              </w:rPr>
            </w:pPr>
            <w:r>
              <w:rPr>
                <w:color w:val="auto"/>
                <w:szCs w:val="21"/>
              </w:rPr>
              <w:t>8.3</w:t>
            </w:r>
          </w:p>
        </w:tc>
        <w:tc>
          <w:tcPr>
            <w:tcW w:w="1420" w:type="dxa"/>
            <w:tcBorders>
              <w:top w:val="nil"/>
              <w:left w:val="nil"/>
              <w:bottom w:val="nil"/>
              <w:right w:val="nil"/>
            </w:tcBorders>
          </w:tcPr>
          <w:p w14:paraId="20969070">
            <w:pPr>
              <w:spacing w:line="400" w:lineRule="exact"/>
              <w:jc w:val="center"/>
              <w:rPr>
                <w:color w:val="auto"/>
                <w:szCs w:val="21"/>
              </w:rPr>
            </w:pPr>
            <w:r>
              <w:rPr>
                <w:color w:val="auto"/>
                <w:szCs w:val="21"/>
              </w:rPr>
              <w:t>4.52</w:t>
            </w:r>
          </w:p>
        </w:tc>
        <w:tc>
          <w:tcPr>
            <w:tcW w:w="1420" w:type="dxa"/>
            <w:tcBorders>
              <w:top w:val="nil"/>
              <w:left w:val="nil"/>
              <w:bottom w:val="nil"/>
              <w:right w:val="nil"/>
            </w:tcBorders>
          </w:tcPr>
          <w:p w14:paraId="4B2FE078">
            <w:pPr>
              <w:spacing w:line="400" w:lineRule="exact"/>
              <w:jc w:val="center"/>
              <w:rPr>
                <w:color w:val="auto"/>
                <w:szCs w:val="21"/>
              </w:rPr>
            </w:pPr>
            <w:r>
              <w:rPr>
                <w:color w:val="auto"/>
                <w:szCs w:val="21"/>
              </w:rPr>
              <w:t>0.492</w:t>
            </w:r>
          </w:p>
        </w:tc>
        <w:tc>
          <w:tcPr>
            <w:tcW w:w="1421" w:type="dxa"/>
            <w:tcBorders>
              <w:top w:val="nil"/>
              <w:left w:val="nil"/>
              <w:bottom w:val="nil"/>
              <w:right w:val="nil"/>
            </w:tcBorders>
          </w:tcPr>
          <w:p w14:paraId="06C335E3">
            <w:pPr>
              <w:spacing w:line="400" w:lineRule="exact"/>
              <w:jc w:val="center"/>
              <w:rPr>
                <w:color w:val="auto"/>
                <w:szCs w:val="21"/>
              </w:rPr>
            </w:pPr>
            <w:r>
              <w:rPr>
                <w:color w:val="auto"/>
                <w:szCs w:val="21"/>
              </w:rPr>
              <w:t>38.2</w:t>
            </w:r>
          </w:p>
        </w:tc>
        <w:tc>
          <w:tcPr>
            <w:tcW w:w="1421" w:type="dxa"/>
            <w:tcBorders>
              <w:top w:val="nil"/>
              <w:left w:val="nil"/>
              <w:bottom w:val="nil"/>
              <w:right w:val="nil"/>
            </w:tcBorders>
          </w:tcPr>
          <w:p w14:paraId="09F6F439">
            <w:pPr>
              <w:spacing w:line="400" w:lineRule="exact"/>
              <w:jc w:val="center"/>
              <w:rPr>
                <w:color w:val="auto"/>
                <w:szCs w:val="21"/>
              </w:rPr>
            </w:pPr>
            <w:r>
              <w:rPr>
                <w:color w:val="auto"/>
                <w:szCs w:val="21"/>
              </w:rPr>
              <w:t>12.3</w:t>
            </w:r>
          </w:p>
        </w:tc>
      </w:tr>
      <w:tr w14:paraId="50551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nil"/>
              <w:left w:val="nil"/>
              <w:bottom w:val="nil"/>
              <w:right w:val="nil"/>
            </w:tcBorders>
          </w:tcPr>
          <w:p w14:paraId="4C02DFFC">
            <w:pPr>
              <w:spacing w:line="400" w:lineRule="exact"/>
              <w:jc w:val="center"/>
              <w:rPr>
                <w:color w:val="auto"/>
                <w:szCs w:val="21"/>
              </w:rPr>
            </w:pPr>
            <w:r>
              <w:rPr>
                <w:color w:val="auto"/>
                <w:szCs w:val="21"/>
              </w:rPr>
              <w:t>0.50</w:t>
            </w:r>
          </w:p>
        </w:tc>
        <w:tc>
          <w:tcPr>
            <w:tcW w:w="1420" w:type="dxa"/>
            <w:tcBorders>
              <w:top w:val="nil"/>
              <w:left w:val="nil"/>
              <w:bottom w:val="nil"/>
              <w:right w:val="nil"/>
            </w:tcBorders>
          </w:tcPr>
          <w:p w14:paraId="2557A389">
            <w:pPr>
              <w:spacing w:line="400" w:lineRule="exact"/>
              <w:jc w:val="center"/>
              <w:rPr>
                <w:color w:val="auto"/>
                <w:szCs w:val="21"/>
              </w:rPr>
            </w:pPr>
            <w:r>
              <w:rPr>
                <w:color w:val="auto"/>
                <w:szCs w:val="21"/>
              </w:rPr>
              <w:t>8.1</w:t>
            </w:r>
          </w:p>
        </w:tc>
        <w:tc>
          <w:tcPr>
            <w:tcW w:w="1420" w:type="dxa"/>
            <w:tcBorders>
              <w:top w:val="nil"/>
              <w:left w:val="nil"/>
              <w:bottom w:val="nil"/>
              <w:right w:val="nil"/>
            </w:tcBorders>
          </w:tcPr>
          <w:p w14:paraId="2E298235">
            <w:pPr>
              <w:spacing w:line="400" w:lineRule="exact"/>
              <w:jc w:val="center"/>
              <w:rPr>
                <w:color w:val="auto"/>
                <w:szCs w:val="21"/>
              </w:rPr>
            </w:pPr>
            <w:r>
              <w:rPr>
                <w:color w:val="auto"/>
                <w:szCs w:val="21"/>
              </w:rPr>
              <w:t>4.58</w:t>
            </w:r>
          </w:p>
        </w:tc>
        <w:tc>
          <w:tcPr>
            <w:tcW w:w="1420" w:type="dxa"/>
            <w:tcBorders>
              <w:top w:val="nil"/>
              <w:left w:val="nil"/>
              <w:bottom w:val="nil"/>
              <w:right w:val="nil"/>
            </w:tcBorders>
          </w:tcPr>
          <w:p w14:paraId="0974F104">
            <w:pPr>
              <w:spacing w:line="400" w:lineRule="exact"/>
              <w:jc w:val="center"/>
              <w:rPr>
                <w:color w:val="auto"/>
                <w:szCs w:val="21"/>
              </w:rPr>
            </w:pPr>
            <w:r>
              <w:rPr>
                <w:color w:val="auto"/>
                <w:szCs w:val="21"/>
              </w:rPr>
              <w:t>0.487</w:t>
            </w:r>
          </w:p>
        </w:tc>
        <w:tc>
          <w:tcPr>
            <w:tcW w:w="1421" w:type="dxa"/>
            <w:tcBorders>
              <w:top w:val="nil"/>
              <w:left w:val="nil"/>
              <w:bottom w:val="nil"/>
              <w:right w:val="nil"/>
            </w:tcBorders>
          </w:tcPr>
          <w:p w14:paraId="664EDE0C">
            <w:pPr>
              <w:spacing w:line="400" w:lineRule="exact"/>
              <w:jc w:val="center"/>
              <w:rPr>
                <w:color w:val="auto"/>
                <w:szCs w:val="21"/>
              </w:rPr>
            </w:pPr>
            <w:r>
              <w:rPr>
                <w:color w:val="auto"/>
                <w:szCs w:val="21"/>
              </w:rPr>
              <w:t>37.9</w:t>
            </w:r>
          </w:p>
        </w:tc>
        <w:tc>
          <w:tcPr>
            <w:tcW w:w="1421" w:type="dxa"/>
            <w:tcBorders>
              <w:top w:val="nil"/>
              <w:left w:val="nil"/>
              <w:bottom w:val="nil"/>
              <w:right w:val="nil"/>
            </w:tcBorders>
          </w:tcPr>
          <w:p w14:paraId="7AA96A04">
            <w:pPr>
              <w:spacing w:line="400" w:lineRule="exact"/>
              <w:jc w:val="center"/>
              <w:rPr>
                <w:color w:val="auto"/>
                <w:szCs w:val="21"/>
              </w:rPr>
            </w:pPr>
            <w:r>
              <w:rPr>
                <w:color w:val="auto"/>
                <w:szCs w:val="21"/>
              </w:rPr>
              <w:t>12.9</w:t>
            </w:r>
          </w:p>
        </w:tc>
      </w:tr>
      <w:tr w14:paraId="0338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nil"/>
              <w:left w:val="nil"/>
              <w:bottom w:val="nil"/>
              <w:right w:val="nil"/>
            </w:tcBorders>
          </w:tcPr>
          <w:p w14:paraId="6C88A866">
            <w:pPr>
              <w:spacing w:line="400" w:lineRule="exact"/>
              <w:jc w:val="center"/>
              <w:rPr>
                <w:color w:val="auto"/>
                <w:szCs w:val="21"/>
              </w:rPr>
            </w:pPr>
            <w:r>
              <w:rPr>
                <w:color w:val="auto"/>
                <w:szCs w:val="21"/>
              </w:rPr>
              <w:t>0.55</w:t>
            </w:r>
          </w:p>
        </w:tc>
        <w:tc>
          <w:tcPr>
            <w:tcW w:w="1420" w:type="dxa"/>
            <w:tcBorders>
              <w:top w:val="nil"/>
              <w:left w:val="nil"/>
              <w:bottom w:val="nil"/>
              <w:right w:val="nil"/>
            </w:tcBorders>
          </w:tcPr>
          <w:p w14:paraId="51B1414C">
            <w:pPr>
              <w:spacing w:line="400" w:lineRule="exact"/>
              <w:jc w:val="center"/>
              <w:rPr>
                <w:color w:val="auto"/>
                <w:szCs w:val="21"/>
              </w:rPr>
            </w:pPr>
            <w:r>
              <w:rPr>
                <w:color w:val="auto"/>
                <w:szCs w:val="21"/>
              </w:rPr>
              <w:t>7.8</w:t>
            </w:r>
          </w:p>
        </w:tc>
        <w:tc>
          <w:tcPr>
            <w:tcW w:w="1420" w:type="dxa"/>
            <w:tcBorders>
              <w:top w:val="nil"/>
              <w:left w:val="nil"/>
              <w:bottom w:val="nil"/>
              <w:right w:val="nil"/>
            </w:tcBorders>
          </w:tcPr>
          <w:p w14:paraId="1822DE59">
            <w:pPr>
              <w:spacing w:line="400" w:lineRule="exact"/>
              <w:jc w:val="center"/>
              <w:rPr>
                <w:color w:val="auto"/>
                <w:szCs w:val="21"/>
              </w:rPr>
            </w:pPr>
            <w:r>
              <w:rPr>
                <w:color w:val="auto"/>
                <w:szCs w:val="21"/>
              </w:rPr>
              <w:t>4.65</w:t>
            </w:r>
          </w:p>
        </w:tc>
        <w:tc>
          <w:tcPr>
            <w:tcW w:w="1420" w:type="dxa"/>
            <w:tcBorders>
              <w:top w:val="nil"/>
              <w:left w:val="nil"/>
              <w:bottom w:val="nil"/>
              <w:right w:val="nil"/>
            </w:tcBorders>
          </w:tcPr>
          <w:p w14:paraId="0CB8B8BA">
            <w:pPr>
              <w:spacing w:line="400" w:lineRule="exact"/>
              <w:jc w:val="center"/>
              <w:rPr>
                <w:color w:val="auto"/>
                <w:szCs w:val="21"/>
              </w:rPr>
            </w:pPr>
            <w:r>
              <w:rPr>
                <w:color w:val="auto"/>
                <w:szCs w:val="21"/>
              </w:rPr>
              <w:t>0.473</w:t>
            </w:r>
          </w:p>
        </w:tc>
        <w:tc>
          <w:tcPr>
            <w:tcW w:w="1421" w:type="dxa"/>
            <w:tcBorders>
              <w:top w:val="nil"/>
              <w:left w:val="nil"/>
              <w:bottom w:val="nil"/>
              <w:right w:val="nil"/>
            </w:tcBorders>
          </w:tcPr>
          <w:p w14:paraId="25937A7C">
            <w:pPr>
              <w:spacing w:line="400" w:lineRule="exact"/>
              <w:jc w:val="center"/>
              <w:rPr>
                <w:color w:val="auto"/>
                <w:szCs w:val="21"/>
              </w:rPr>
            </w:pPr>
            <w:r>
              <w:rPr>
                <w:color w:val="auto"/>
                <w:szCs w:val="21"/>
              </w:rPr>
              <w:t>37.2</w:t>
            </w:r>
          </w:p>
        </w:tc>
        <w:tc>
          <w:tcPr>
            <w:tcW w:w="1421" w:type="dxa"/>
            <w:tcBorders>
              <w:top w:val="nil"/>
              <w:left w:val="nil"/>
              <w:bottom w:val="nil"/>
              <w:right w:val="nil"/>
            </w:tcBorders>
          </w:tcPr>
          <w:p w14:paraId="25CEA264">
            <w:pPr>
              <w:spacing w:line="400" w:lineRule="exact"/>
              <w:jc w:val="center"/>
              <w:rPr>
                <w:color w:val="auto"/>
                <w:szCs w:val="21"/>
              </w:rPr>
            </w:pPr>
            <w:r>
              <w:rPr>
                <w:color w:val="auto"/>
                <w:szCs w:val="21"/>
              </w:rPr>
              <w:t>13.2</w:t>
            </w:r>
          </w:p>
        </w:tc>
      </w:tr>
      <w:tr w14:paraId="5C804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nil"/>
              <w:left w:val="nil"/>
              <w:right w:val="nil"/>
            </w:tcBorders>
          </w:tcPr>
          <w:p w14:paraId="2FFC3C9B">
            <w:pPr>
              <w:spacing w:line="400" w:lineRule="exact"/>
              <w:jc w:val="center"/>
              <w:rPr>
                <w:color w:val="auto"/>
                <w:szCs w:val="21"/>
              </w:rPr>
            </w:pPr>
            <w:r>
              <w:rPr>
                <w:color w:val="auto"/>
                <w:szCs w:val="21"/>
              </w:rPr>
              <w:t>0.60</w:t>
            </w:r>
          </w:p>
        </w:tc>
        <w:tc>
          <w:tcPr>
            <w:tcW w:w="1420" w:type="dxa"/>
            <w:tcBorders>
              <w:top w:val="nil"/>
              <w:left w:val="nil"/>
              <w:right w:val="nil"/>
            </w:tcBorders>
          </w:tcPr>
          <w:p w14:paraId="7AADD582">
            <w:pPr>
              <w:spacing w:line="400" w:lineRule="exact"/>
              <w:jc w:val="center"/>
              <w:rPr>
                <w:color w:val="auto"/>
                <w:szCs w:val="21"/>
              </w:rPr>
            </w:pPr>
            <w:r>
              <w:rPr>
                <w:color w:val="auto"/>
                <w:szCs w:val="21"/>
              </w:rPr>
              <w:t>7.4</w:t>
            </w:r>
          </w:p>
        </w:tc>
        <w:tc>
          <w:tcPr>
            <w:tcW w:w="1420" w:type="dxa"/>
            <w:tcBorders>
              <w:top w:val="nil"/>
              <w:left w:val="nil"/>
              <w:right w:val="nil"/>
            </w:tcBorders>
          </w:tcPr>
          <w:p w14:paraId="79E4CCD7">
            <w:pPr>
              <w:spacing w:line="400" w:lineRule="exact"/>
              <w:jc w:val="center"/>
              <w:rPr>
                <w:color w:val="auto"/>
                <w:szCs w:val="21"/>
              </w:rPr>
            </w:pPr>
            <w:r>
              <w:rPr>
                <w:color w:val="auto"/>
                <w:szCs w:val="21"/>
              </w:rPr>
              <w:t>4.71</w:t>
            </w:r>
          </w:p>
        </w:tc>
        <w:tc>
          <w:tcPr>
            <w:tcW w:w="1420" w:type="dxa"/>
            <w:tcBorders>
              <w:top w:val="nil"/>
              <w:left w:val="nil"/>
              <w:right w:val="nil"/>
            </w:tcBorders>
          </w:tcPr>
          <w:p w14:paraId="5993549B">
            <w:pPr>
              <w:spacing w:line="400" w:lineRule="exact"/>
              <w:jc w:val="center"/>
              <w:rPr>
                <w:color w:val="auto"/>
                <w:szCs w:val="21"/>
              </w:rPr>
            </w:pPr>
            <w:r>
              <w:rPr>
                <w:color w:val="auto"/>
                <w:szCs w:val="21"/>
              </w:rPr>
              <w:t>0.454</w:t>
            </w:r>
          </w:p>
        </w:tc>
        <w:tc>
          <w:tcPr>
            <w:tcW w:w="1421" w:type="dxa"/>
            <w:tcBorders>
              <w:top w:val="nil"/>
              <w:left w:val="nil"/>
              <w:right w:val="nil"/>
            </w:tcBorders>
          </w:tcPr>
          <w:p w14:paraId="0421ABEF">
            <w:pPr>
              <w:spacing w:line="400" w:lineRule="exact"/>
              <w:jc w:val="center"/>
              <w:rPr>
                <w:color w:val="auto"/>
                <w:szCs w:val="21"/>
              </w:rPr>
            </w:pPr>
            <w:r>
              <w:rPr>
                <w:color w:val="auto"/>
                <w:szCs w:val="21"/>
              </w:rPr>
              <w:t>36.5</w:t>
            </w:r>
          </w:p>
        </w:tc>
        <w:tc>
          <w:tcPr>
            <w:tcW w:w="1421" w:type="dxa"/>
            <w:tcBorders>
              <w:top w:val="nil"/>
              <w:left w:val="nil"/>
              <w:right w:val="nil"/>
            </w:tcBorders>
          </w:tcPr>
          <w:p w14:paraId="1ACD9956">
            <w:pPr>
              <w:spacing w:line="400" w:lineRule="exact"/>
              <w:jc w:val="center"/>
              <w:rPr>
                <w:color w:val="auto"/>
                <w:szCs w:val="21"/>
              </w:rPr>
            </w:pPr>
            <w:r>
              <w:rPr>
                <w:color w:val="auto"/>
                <w:szCs w:val="21"/>
              </w:rPr>
              <w:t>13.6</w:t>
            </w:r>
          </w:p>
        </w:tc>
      </w:tr>
    </w:tbl>
    <w:p w14:paraId="0196E924">
      <w:pPr>
        <w:spacing w:line="400" w:lineRule="exact"/>
        <w:ind w:firstLine="480" w:firstLineChars="200"/>
        <w:rPr>
          <w:color w:val="auto"/>
        </w:rPr>
      </w:pPr>
      <w:r>
        <w:rPr>
          <w:color w:val="auto"/>
        </w:rPr>
        <w:t>如表5-4所示，随着</w:t>
      </w:r>
      <w:r>
        <w:rPr>
          <w:i/>
          <w:iCs/>
          <w:color w:val="auto"/>
        </w:rPr>
        <w:t>α</w:t>
      </w:r>
      <w:r>
        <w:rPr>
          <w:color w:val="auto"/>
        </w:rPr>
        <w:t>从0.30增加到0.45，综合收益率逐渐上升，从7.1%增加到8.3%，而碳排放总量则逐渐下降，从4.76万吨/年减少到4.52万吨/年。这表明，当更注重经济效益时，算法能够在提升收益的同时减少碳排放。综合效益函数值F也随之增加，从0.428上升到0.492，说明在α增加的过程中，经济效益与环境效益的综合效果得到了提升。新能源接入比例也呈现上升趋势，从35.2%增加到38.2%，单位投资成本则从13.5万元/MVA下降到12.3万元/MVA，说明投资效率提高，成本降低。然而，当</w:t>
      </w:r>
      <w:r>
        <w:rPr>
          <w:i/>
          <w:iCs/>
          <w:color w:val="auto"/>
        </w:rPr>
        <w:t>α</w:t>
      </w:r>
      <w:r>
        <w:rPr>
          <w:color w:val="auto"/>
        </w:rPr>
        <w:t>超过0.45后，综合收益率开始下降，碳排放总量有所增加，综合效益函数值F也随之降低，新能源接入比例和单位投资成本也出现波动。这表明存在一个最优的</w:t>
      </w:r>
      <w:r>
        <w:rPr>
          <w:i/>
          <w:iCs/>
          <w:color w:val="auto"/>
        </w:rPr>
        <w:t>α</w:t>
      </w:r>
      <w:r>
        <w:rPr>
          <w:color w:val="auto"/>
        </w:rPr>
        <w:t>值（在本例中为0.45），在此值下，投资决策能够在经济效益和环境效益之间达到最佳平衡。</w:t>
      </w:r>
    </w:p>
    <w:p w14:paraId="157AB77D">
      <w:pPr>
        <w:spacing w:before="156" w:beforeLines="50" w:after="156" w:afterLines="50" w:line="324" w:lineRule="auto"/>
        <w:outlineLvl w:val="1"/>
        <w:rPr>
          <w:color w:val="auto"/>
        </w:rPr>
      </w:pPr>
      <w:bookmarkStart w:id="177" w:name="_Toc192967142"/>
      <w:bookmarkStart w:id="178" w:name="_Toc28479"/>
      <w:bookmarkStart w:id="179" w:name="_Toc193967381"/>
      <w:r>
        <w:rPr>
          <w:rFonts w:eastAsia="黑体"/>
          <w:color w:val="auto"/>
          <w:sz w:val="30"/>
          <w:szCs w:val="30"/>
        </w:rPr>
        <w:t>5.4本章小结</w:t>
      </w:r>
      <w:bookmarkEnd w:id="177"/>
      <w:bookmarkEnd w:id="178"/>
      <w:bookmarkEnd w:id="179"/>
    </w:p>
    <w:p w14:paraId="1FDDECBD">
      <w:pPr>
        <w:spacing w:line="400" w:lineRule="exact"/>
        <w:ind w:firstLine="480" w:firstLineChars="200"/>
        <w:rPr>
          <w:color w:val="auto"/>
        </w:rPr>
      </w:pPr>
      <w:r>
        <w:rPr>
          <w:color w:val="auto"/>
        </w:rPr>
        <w:t>本章中，针对新型电力系统背景下电网项目投资决策问题，提出了一种基于增广Lagrange乘子法的混合灰狼优化算法（LHWGWO）。首先介绍了增广Lagrange乘子法的原理，结合Lagrange乘子法与罚函数法的优点，能够有效处理复杂的约束优化问题。接着，建立了兼顾经济性与可持续性的多目标函数，并从经济性、技术性、政策法规和环境四个方面设定了约束条件。随后，阐述了LHWGWO算法的具体步骤，包括算法初始化、群体协作与信息共享、局部搜索与变异、适应度评估与更新以及迭代终止条件判断等。为了验证LHWGWO算法的有效性，以J电网的5个典型项目为实例进行了多目标优化求解，并与传统粒子群优化（PSO）和NSGA-II算法进行了对比分析。结果表明：在 15 亿元总投资限额下，算法实现新能源接入比例 38.2%、碳排放量 4.76 万吨 / 年等关键指标优化，较 PSO 算法综合收益率提升 0.5 个百分点，收敛速度提高 52%（120 次迭代），约束违反率降低至 1.2%。特别在项目 c 的资源配置中，单位成本降至 11.2 万元 / MVA，容量利用率达 92.1%，验证了该算法在多目标协同优化中的工程应用价值。敏感性分析揭示经济效益权重系数 α=0.45 时，综合效益函数值达峰值 0.492，为智能决策提供重要参数依据。</w:t>
      </w:r>
    </w:p>
    <w:p w14:paraId="1FCFC1BA">
      <w:pPr>
        <w:spacing w:line="400" w:lineRule="exact"/>
        <w:ind w:firstLine="480" w:firstLineChars="200"/>
        <w:rPr>
          <w:color w:val="auto"/>
        </w:rPr>
      </w:pPr>
      <w:r>
        <w:rPr>
          <w:color w:val="auto"/>
        </w:rPr>
        <w:t>综上所述，本章所提出的基于增广Lagrange乘子法的混合灰狼优化算法为电网项目智能投资决策提供了一种有效的解决方案，能够在复杂的约束条件下实现多目标的协同优化，提升电网项目投资决策的智能化水平。</w:t>
      </w:r>
    </w:p>
    <w:p w14:paraId="57DC96D8">
      <w:pPr>
        <w:spacing w:line="400" w:lineRule="exact"/>
        <w:rPr>
          <w:rFonts w:hint="eastAsia"/>
          <w:color w:val="auto"/>
        </w:rPr>
      </w:pPr>
      <w:r>
        <w:rPr>
          <w:color w:val="auto"/>
        </w:rPr>
        <w:br w:type="page"/>
      </w:r>
      <w:bookmarkStart w:id="271" w:name="_GoBack"/>
      <w:bookmarkEnd w:id="271"/>
    </w:p>
    <w:p w14:paraId="57F1DD20">
      <w:pPr>
        <w:spacing w:before="312" w:beforeLines="100" w:after="156" w:afterLines="50" w:line="300" w:lineRule="auto"/>
        <w:jc w:val="center"/>
        <w:outlineLvl w:val="0"/>
        <w:rPr>
          <w:rFonts w:ascii="Times New Roman" w:hAnsi="Times New Roman" w:eastAsia="黑体" w:cs="Times New Roman"/>
          <w:color w:val="auto"/>
          <w:sz w:val="36"/>
          <w:szCs w:val="36"/>
        </w:rPr>
      </w:pPr>
      <w:bookmarkStart w:id="180" w:name="_Toc192967143"/>
      <w:bookmarkStart w:id="181" w:name="_Toc193119395"/>
      <w:r>
        <w:rPr>
          <w:rFonts w:ascii="Times New Roman" w:hAnsi="Times New Roman" w:eastAsia="黑体" w:cs="Times New Roman"/>
          <w:color w:val="auto"/>
          <w:sz w:val="36"/>
          <w:szCs w:val="36"/>
        </w:rPr>
        <w:t>第6章 J电网投资决策优化建议</w:t>
      </w:r>
      <w:bookmarkEnd w:id="180"/>
      <w:bookmarkEnd w:id="181"/>
    </w:p>
    <w:p w14:paraId="070B9CD9">
      <w:pPr>
        <w:spacing w:line="300" w:lineRule="auto"/>
        <w:outlineLvl w:val="1"/>
        <w:rPr>
          <w:rFonts w:ascii="Times New Roman" w:hAnsi="Times New Roman" w:eastAsia="黑体" w:cs="Times New Roman"/>
          <w:color w:val="auto"/>
          <w:sz w:val="30"/>
          <w:szCs w:val="30"/>
        </w:rPr>
      </w:pPr>
      <w:bookmarkStart w:id="182" w:name="_Toc193119396"/>
      <w:r>
        <w:rPr>
          <w:rFonts w:ascii="Times New Roman" w:hAnsi="Times New Roman" w:eastAsia="黑体" w:cs="Times New Roman"/>
          <w:color w:val="auto"/>
          <w:sz w:val="30"/>
          <w:szCs w:val="30"/>
        </w:rPr>
        <w:t>6.1 J</w:t>
      </w:r>
      <w:bookmarkEnd w:id="182"/>
      <w:r>
        <w:rPr>
          <w:rFonts w:hint="eastAsia" w:ascii="Times New Roman" w:hAnsi="Times New Roman" w:eastAsia="黑体" w:cs="Times New Roman"/>
          <w:color w:val="auto"/>
          <w:sz w:val="30"/>
          <w:szCs w:val="30"/>
        </w:rPr>
        <w:t>J电网投资现状诊断</w:t>
      </w:r>
    </w:p>
    <w:p w14:paraId="13321EA5">
      <w:pPr>
        <w:spacing w:line="30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基于第五章智能优化模型的实证分析结果，J电网当前投资决策体系存在三组核心矛盾：其一，优质项目投资集中度不足。表5-1显示项目c在LHWGWO算法下获得32.7%的最高投资比例，但实际执行中此类高效益项目仅占项目库总量的18.6%；其二，成本控制能力呈现两极分化。优化模型测算表明，项目a单位成本较行业均值低14.3%，但项目e因设备老化导致运维成本超基准值23.8%；其三，区域投资效益失衡严重。如表5-4所示，东部区域综合效益函数值达0.492，而西部地区仅为0.29，差距高达69.7%。</w:t>
      </w:r>
    </w:p>
    <w:p w14:paraId="05D05D76">
      <w:pPr>
        <w:spacing w:line="300" w:lineRule="auto"/>
        <w:rPr>
          <w:rFonts w:ascii="Times New Roman" w:hAnsi="Times New Roman" w:eastAsia="宋体" w:cs="Times New Roman"/>
          <w:color w:val="auto"/>
          <w:sz w:val="24"/>
        </w:rPr>
      </w:pPr>
      <w:r>
        <w:rPr>
          <w:rFonts w:hint="eastAsia" w:ascii="Times New Roman" w:hAnsi="Times New Roman" w:eastAsia="黑体" w:cs="Times New Roman"/>
          <w:color w:val="auto"/>
          <w:sz w:val="30"/>
          <w:szCs w:val="30"/>
        </w:rPr>
        <w:t xml:space="preserve">6.2 关键问题分析 </w:t>
      </w:r>
    </w:p>
    <w:p w14:paraId="259E38D5">
      <w:pPr>
        <w:spacing w:before="156" w:beforeLines="50" w:after="156" w:afterLines="50" w:line="300" w:lineRule="auto"/>
        <w:outlineLvl w:val="2"/>
        <w:rPr>
          <w:rFonts w:ascii="Times New Roman" w:hAnsi="Times New Roman" w:eastAsia="黑体" w:cs="Times New Roman"/>
          <w:color w:val="auto"/>
          <w:sz w:val="24"/>
        </w:rPr>
      </w:pPr>
      <w:bookmarkStart w:id="183" w:name="_Toc193119398"/>
      <w:bookmarkStart w:id="184" w:name="_Toc192967146"/>
      <w:r>
        <w:rPr>
          <w:rFonts w:ascii="Times New Roman" w:hAnsi="Times New Roman" w:eastAsia="黑体" w:cs="Times New Roman"/>
          <w:color w:val="auto"/>
          <w:sz w:val="28"/>
          <w:szCs w:val="28"/>
        </w:rPr>
        <w:t>6.</w:t>
      </w:r>
      <w:r>
        <w:rPr>
          <w:rFonts w:hint="eastAsia" w:ascii="Times New Roman" w:hAnsi="Times New Roman" w:eastAsia="黑体" w:cs="Times New Roman"/>
          <w:color w:val="auto"/>
          <w:sz w:val="28"/>
          <w:szCs w:val="28"/>
          <w:lang w:val="en-US" w:eastAsia="zh-CN"/>
        </w:rPr>
        <w:t>2</w:t>
      </w:r>
      <w:r>
        <w:rPr>
          <w:rFonts w:ascii="Times New Roman" w:hAnsi="Times New Roman" w:eastAsia="黑体" w:cs="Times New Roman"/>
          <w:color w:val="auto"/>
          <w:sz w:val="28"/>
          <w:szCs w:val="28"/>
        </w:rPr>
        <w:t>.</w:t>
      </w:r>
      <w:bookmarkEnd w:id="183"/>
      <w:bookmarkEnd w:id="184"/>
      <w:r>
        <w:rPr>
          <w:rFonts w:hint="eastAsia" w:ascii="Times New Roman" w:hAnsi="Times New Roman" w:eastAsia="黑体" w:cs="Times New Roman"/>
          <w:color w:val="auto"/>
          <w:sz w:val="28"/>
          <w:szCs w:val="28"/>
          <w:lang w:val="en-US" w:eastAsia="zh-CN"/>
        </w:rPr>
        <w:t>1</w:t>
      </w:r>
      <w:r>
        <w:rPr>
          <w:rFonts w:hint="eastAsia" w:ascii="Times New Roman" w:hAnsi="Times New Roman" w:eastAsia="黑体" w:cs="Times New Roman"/>
          <w:color w:val="auto"/>
          <w:sz w:val="28"/>
          <w:szCs w:val="28"/>
        </w:rPr>
        <w:t xml:space="preserve"> 优质项目筛选机制待完善</w:t>
      </w:r>
    </w:p>
    <w:p w14:paraId="4B2FA9CE">
      <w:pPr>
        <w:spacing w:line="30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现行项目评估体系对新型电力系统特征的适应性不足。以项目c为例，其优化后新能源接入比例达47.2%（超行业均值15.8%），但传统评估模型因未纳入"源网荷储协同效率"指标，导致项目初选阶段得分偏低。这种评价偏差造成高潜力项目识别滞后，直接影响投资组合效益。</w:t>
      </w:r>
    </w:p>
    <w:p w14:paraId="512E4366">
      <w:pPr>
        <w:spacing w:before="156" w:beforeLines="50" w:after="156" w:afterLines="50" w:line="300" w:lineRule="auto"/>
        <w:outlineLvl w:val="2"/>
        <w:rPr>
          <w:rFonts w:ascii="Times New Roman" w:hAnsi="Times New Roman" w:eastAsia="宋体" w:cs="Times New Roman"/>
          <w:color w:val="auto"/>
          <w:sz w:val="24"/>
        </w:rPr>
      </w:pPr>
      <w:r>
        <w:rPr>
          <w:rFonts w:ascii="Times New Roman" w:hAnsi="Times New Roman" w:eastAsia="黑体" w:cs="Times New Roman"/>
          <w:color w:val="auto"/>
          <w:sz w:val="28"/>
          <w:szCs w:val="28"/>
        </w:rPr>
        <w:t>6.</w:t>
      </w:r>
      <w:r>
        <w:rPr>
          <w:rFonts w:hint="eastAsia" w:ascii="Times New Roman" w:hAnsi="Times New Roman" w:eastAsia="黑体" w:cs="Times New Roman"/>
          <w:color w:val="auto"/>
          <w:sz w:val="28"/>
          <w:szCs w:val="28"/>
          <w:lang w:val="en-US" w:eastAsia="zh-CN"/>
        </w:rPr>
        <w:t>2</w:t>
      </w:r>
      <w:r>
        <w:rPr>
          <w:rFonts w:ascii="Times New Roman" w:hAnsi="Times New Roman" w:eastAsia="黑体" w:cs="Times New Roman"/>
          <w:color w:val="auto"/>
          <w:sz w:val="28"/>
          <w:szCs w:val="28"/>
        </w:rPr>
        <w:t>.2</w:t>
      </w:r>
      <w:r>
        <w:rPr>
          <w:rFonts w:hint="eastAsia" w:ascii="Times New Roman" w:hAnsi="Times New Roman" w:eastAsia="黑体" w:cs="Times New Roman"/>
          <w:color w:val="auto"/>
          <w:sz w:val="28"/>
          <w:szCs w:val="28"/>
        </w:rPr>
        <w:t xml:space="preserve"> 优质项目筛选机制待完善</w:t>
      </w:r>
    </w:p>
    <w:p w14:paraId="2E24EBB2">
      <w:pPr>
        <w:spacing w:line="300" w:lineRule="auto"/>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rPr>
        <w:t>LHWGWO算法揭示成本控制因子（F2）与投资效益存在显著非线性关系。图5-3显示当F2值超过0.85时，单位成本边际效益衰减率达38.5%。但现行成本管理采用静态预算模式，未能建立与设备健康度、技术迭代速度联动的动态调整机制，导致项目b在变压器负载率超限运行期间运维成本激增42%。</w:t>
      </w:r>
    </w:p>
    <w:p w14:paraId="15F24489">
      <w:pPr>
        <w:spacing w:before="156" w:beforeLines="50" w:after="156" w:afterLines="50" w:line="300" w:lineRule="auto"/>
        <w:outlineLvl w:val="2"/>
        <w:rPr>
          <w:rFonts w:ascii="Times New Roman" w:hAnsi="Times New Roman" w:eastAsia="宋体" w:cs="Times New Roman"/>
          <w:color w:val="auto"/>
          <w:sz w:val="24"/>
        </w:rPr>
      </w:pPr>
      <w:r>
        <w:rPr>
          <w:rFonts w:ascii="Times New Roman" w:hAnsi="Times New Roman" w:eastAsia="黑体" w:cs="Times New Roman"/>
          <w:color w:val="auto"/>
          <w:sz w:val="28"/>
          <w:szCs w:val="28"/>
        </w:rPr>
        <w:t>6.</w:t>
      </w:r>
      <w:r>
        <w:rPr>
          <w:rFonts w:hint="eastAsia" w:ascii="Times New Roman" w:hAnsi="Times New Roman" w:eastAsia="黑体" w:cs="Times New Roman"/>
          <w:color w:val="auto"/>
          <w:sz w:val="28"/>
          <w:szCs w:val="28"/>
          <w:lang w:val="en-US" w:eastAsia="zh-CN"/>
        </w:rPr>
        <w:t>2</w:t>
      </w:r>
      <w:r>
        <w:rPr>
          <w:rFonts w:ascii="Times New Roman" w:hAnsi="Times New Roman" w:eastAsia="黑体" w:cs="Times New Roman"/>
          <w:color w:val="auto"/>
          <w:sz w:val="28"/>
          <w:szCs w:val="28"/>
        </w:rPr>
        <w:t>.</w:t>
      </w:r>
      <w:r>
        <w:rPr>
          <w:rFonts w:hint="eastAsia" w:ascii="Times New Roman" w:hAnsi="Times New Roman" w:eastAsia="黑体" w:cs="Times New Roman"/>
          <w:color w:val="auto"/>
          <w:sz w:val="28"/>
          <w:szCs w:val="28"/>
          <w:lang w:val="en-US" w:eastAsia="zh-CN"/>
        </w:rPr>
        <w:t>3</w:t>
      </w:r>
      <w:r>
        <w:rPr>
          <w:rFonts w:hint="eastAsia" w:ascii="Times New Roman" w:hAnsi="Times New Roman" w:eastAsia="黑体" w:cs="Times New Roman"/>
          <w:color w:val="auto"/>
          <w:sz w:val="28"/>
          <w:szCs w:val="28"/>
        </w:rPr>
        <w:t xml:space="preserve"> 智能决策工具应用深度不足</w:t>
      </w:r>
    </w:p>
    <w:p w14:paraId="056ACA71">
      <w:pPr>
        <w:spacing w:line="30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尽管优化模型使项目c储能响应时间缩短37.5%，但实际部署中存在三方面制约：其一，设备物联数据采集完整度仅68.3%，影响算法输入质量</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其二，现有GIS系统与优化平台数据接口不兼容，导致线路负载率等关键参数更新延迟达6-8小时</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其三，决策人员算法素养参差不齐，73%的基层单位仍依赖经验判断调整投资方案。</w:t>
      </w:r>
    </w:p>
    <w:p w14:paraId="09E742B4">
      <w:pPr>
        <w:spacing w:line="300" w:lineRule="auto"/>
        <w:ind w:firstLine="480" w:firstLineChars="200"/>
        <w:rPr>
          <w:rFonts w:hint="eastAsia" w:ascii="Times New Roman" w:hAnsi="Times New Roman" w:eastAsia="宋体" w:cs="Times New Roman"/>
          <w:color w:val="auto"/>
          <w:sz w:val="24"/>
        </w:rPr>
      </w:pPr>
    </w:p>
    <w:p w14:paraId="495AFD6B">
      <w:pPr>
        <w:spacing w:line="300" w:lineRule="auto"/>
        <w:ind w:firstLine="480" w:firstLineChars="200"/>
        <w:rPr>
          <w:rFonts w:hint="eastAsia" w:ascii="Times New Roman" w:hAnsi="Times New Roman" w:eastAsia="宋体" w:cs="Times New Roman"/>
          <w:color w:val="auto"/>
          <w:sz w:val="24"/>
        </w:rPr>
      </w:pPr>
    </w:p>
    <w:p w14:paraId="15B4BC56">
      <w:pPr>
        <w:spacing w:line="300" w:lineRule="auto"/>
        <w:ind w:firstLine="480" w:firstLineChars="200"/>
        <w:rPr>
          <w:rFonts w:hint="eastAsia" w:ascii="Times New Roman" w:hAnsi="Times New Roman" w:eastAsia="宋体" w:cs="Times New Roman"/>
          <w:color w:val="auto"/>
          <w:sz w:val="24"/>
        </w:rPr>
      </w:pPr>
    </w:p>
    <w:p w14:paraId="7A9ACEC9">
      <w:pPr>
        <w:spacing w:line="300" w:lineRule="auto"/>
        <w:rPr>
          <w:rFonts w:ascii="Times New Roman" w:hAnsi="Times New Roman" w:eastAsia="宋体" w:cs="Times New Roman"/>
          <w:color w:val="auto"/>
          <w:sz w:val="24"/>
        </w:rPr>
      </w:pPr>
      <w:r>
        <w:rPr>
          <w:rFonts w:hint="eastAsia" w:ascii="Times New Roman" w:hAnsi="Times New Roman" w:eastAsia="黑体" w:cs="Times New Roman"/>
          <w:color w:val="auto"/>
          <w:sz w:val="30"/>
          <w:szCs w:val="30"/>
        </w:rPr>
        <w:t>6.3 投资优化策略建议</w:t>
      </w:r>
    </w:p>
    <w:p w14:paraId="063A922D">
      <w:pPr>
        <w:spacing w:line="30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建议建立"技术经济价值+系统适配度"双重评估体系：在传统财务指标基础上，增设储能调节裕度（目标值≥25%）、新能源渗透弹性（≥1.5）等6项新型电力系统专项指标。</w:t>
      </w:r>
    </w:p>
    <w:p w14:paraId="2D97A14F">
      <w:pPr>
        <w:spacing w:line="30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建立"设备状态-市场环境-政策要求"三联动成本模型：①引入数字孪生技术，对主变、断路器等关键设备进行健康度实时监测，当剩余寿命低于设计值30%时自动触发成本修正系数（α=1.15-1.3）</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②构建电价波动与材料价格联立方程，当波动幅度超±15%时启动成本弹性调整机制</w:t>
      </w:r>
      <w:r>
        <w:rPr>
          <w:rFonts w:hint="eastAsia"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rPr>
        <w:t>③设置碳价敏感度阈值，在碳交易价格突破80元/吨时激活低碳改造成本预算。</w:t>
      </w:r>
    </w:p>
    <w:p w14:paraId="70DE0B79">
      <w:pPr>
        <w:spacing w:line="30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深化智能决策系统集成应用</w:t>
      </w:r>
    </w:p>
    <w:p w14:paraId="595BEA2C">
      <w:pPr>
        <w:spacing w:line="30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重点推进三方面升级：①完善数据治理体系，部署智能传感终端使数据采集完整度达95%以上，建立跨系统数据清洗规则42项；②开发专用数据中间件，实现GIS、EMS与投资优化平台毫秒级数据交互，关键参数更新延迟控制在1分钟以内</w:t>
      </w:r>
      <w:r>
        <w:rPr>
          <w:rFonts w:hint="eastAsia"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rPr>
        <w:t>③构建"算法沙箱+数字镜像"培训系统，通过150个典型场景模拟训练，使决策人员智能工具应用熟练度提升至90%。</w:t>
      </w:r>
    </w:p>
    <w:p w14:paraId="2463FD44">
      <w:pPr>
        <w:spacing w:line="30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制定差异化区域投资策略</w:t>
      </w:r>
    </w:p>
    <w:p w14:paraId="7BB1DD2D">
      <w:pPr>
        <w:spacing w:line="30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基于优化模型的敏感性分析结果（表5-4），提出区域专项方案：①东部区域聚焦技术迭代，将15%的投资额度定向用于数字孪生变电站等示范工程；②西部区域强化基础补强，规划储能配套比例提升至25%，优先解决6.7%的弃风率问题；③北部区域创新投资模式，试点"电网企业+新能源厂商"联合投资机制，建立收益共享比例动态协商模型。</w:t>
      </w:r>
    </w:p>
    <w:p w14:paraId="4FEE3B1B">
      <w:pPr>
        <w:spacing w:line="30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6</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实施路径设计</w:t>
      </w:r>
    </w:p>
    <w:p w14:paraId="5F5C47D1">
      <w:pPr>
        <w:spacing w:line="30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为确保优化策略落地，建议分三阶段推进：2024-2025年为试点验证期，在3个市级电网开展智能决策系统全流程测试；2026-2027年进入规模推广期，实现220kV及以上项目智能评估全覆盖</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2028-2030年达成深度应用目标，建成具有自主学习能力的投资决策中枢系统，使项目优选准确率稳定在92%以上，动态成本控制效率提升40%。通过上述措施，预计可使J电网"十五五"期间综合投资效益提升26.8%，单位容量碳排放强度降低至0.38tCO₂/MWh，新能源消纳能力突破41.5%。</w:t>
      </w:r>
    </w:p>
    <w:p w14:paraId="6D7A4808">
      <w:pPr>
        <w:spacing w:line="400" w:lineRule="exact"/>
        <w:ind w:firstLine="480" w:firstLineChars="200"/>
        <w:rPr>
          <w:color w:val="auto"/>
        </w:rPr>
      </w:pPr>
    </w:p>
    <w:p w14:paraId="6A28772E">
      <w:pPr>
        <w:spacing w:line="400" w:lineRule="exact"/>
        <w:ind w:firstLine="480" w:firstLineChars="200"/>
        <w:rPr>
          <w:color w:val="auto"/>
        </w:rPr>
      </w:pPr>
      <w:r>
        <w:rPr>
          <w:color w:val="auto"/>
        </w:rPr>
        <w:br w:type="page"/>
      </w:r>
    </w:p>
    <w:p w14:paraId="7E0C0BF9">
      <w:pPr>
        <w:spacing w:before="312" w:beforeLines="100" w:after="156" w:afterLines="50" w:line="300" w:lineRule="auto"/>
        <w:jc w:val="center"/>
        <w:outlineLvl w:val="0"/>
        <w:rPr>
          <w:rFonts w:eastAsia="黑体"/>
          <w:color w:val="auto"/>
          <w:sz w:val="36"/>
          <w:szCs w:val="36"/>
        </w:rPr>
      </w:pPr>
      <w:bookmarkStart w:id="185" w:name="_Toc193967391"/>
      <w:bookmarkStart w:id="186" w:name="_Toc6786"/>
      <w:bookmarkStart w:id="187" w:name="_Toc192967147"/>
      <w:r>
        <w:rPr>
          <w:rFonts w:eastAsia="黑体"/>
          <w:color w:val="auto"/>
          <w:sz w:val="36"/>
          <w:szCs w:val="36"/>
        </w:rPr>
        <w:t>第7章 结论与展望</w:t>
      </w:r>
      <w:bookmarkEnd w:id="185"/>
      <w:bookmarkEnd w:id="186"/>
      <w:bookmarkEnd w:id="187"/>
    </w:p>
    <w:p w14:paraId="66470AF4">
      <w:pPr>
        <w:spacing w:line="400" w:lineRule="exact"/>
        <w:ind w:firstLine="480" w:firstLineChars="200"/>
        <w:rPr>
          <w:rFonts w:hint="eastAsia"/>
          <w:color w:val="auto"/>
        </w:rPr>
      </w:pPr>
      <w:r>
        <w:rPr>
          <w:color w:val="auto"/>
        </w:rPr>
        <w:t>在新型电力系统背景下，</w:t>
      </w:r>
      <w:r>
        <w:rPr>
          <w:rFonts w:hint="eastAsia"/>
          <w:color w:val="auto"/>
        </w:rPr>
        <w:t>本文</w:t>
      </w:r>
      <w:r>
        <w:rPr>
          <w:color w:val="auto"/>
        </w:rPr>
        <w:t>针对J电网项目投资决策进行了深入</w:t>
      </w:r>
      <w:r>
        <w:rPr>
          <w:rFonts w:hint="eastAsia"/>
          <w:color w:val="auto"/>
        </w:rPr>
        <w:t>研究</w:t>
      </w:r>
      <w:r>
        <w:rPr>
          <w:color w:val="auto"/>
        </w:rPr>
        <w:t>，通过</w:t>
      </w:r>
      <w:r>
        <w:rPr>
          <w:rFonts w:hint="eastAsia"/>
          <w:color w:val="auto"/>
        </w:rPr>
        <w:t>文献分析</w:t>
      </w:r>
      <w:r>
        <w:rPr>
          <w:color w:val="auto"/>
        </w:rPr>
        <w:t>、模型构建与实证分析</w:t>
      </w:r>
      <w:r>
        <w:rPr>
          <w:rFonts w:hint="eastAsia"/>
          <w:color w:val="auto"/>
        </w:rPr>
        <w:t>等研究工作</w:t>
      </w:r>
      <w:r>
        <w:rPr>
          <w:color w:val="auto"/>
        </w:rPr>
        <w:t>，取得了一定的研究成果，现总结如下：</w:t>
      </w:r>
    </w:p>
    <w:p w14:paraId="4E7C1B9D">
      <w:pPr>
        <w:spacing w:line="400" w:lineRule="exact"/>
        <w:ind w:firstLine="480" w:firstLineChars="200"/>
        <w:rPr>
          <w:color w:val="auto"/>
        </w:rPr>
      </w:pPr>
      <w:r>
        <w:rPr>
          <w:color w:val="auto"/>
        </w:rPr>
        <w:t>（</w:t>
      </w:r>
      <w:r>
        <w:rPr>
          <w:rFonts w:hint="eastAsia"/>
          <w:color w:val="auto"/>
        </w:rPr>
        <w:t>1</w:t>
      </w:r>
      <w:r>
        <w:rPr>
          <w:color w:val="auto"/>
        </w:rPr>
        <w:t>）研究构建了新型电力系统背景下</w:t>
      </w:r>
      <w:r>
        <w:rPr>
          <w:rFonts w:hint="eastAsia"/>
          <w:color w:val="auto"/>
        </w:rPr>
        <w:t>J</w:t>
      </w:r>
      <w:r>
        <w:rPr>
          <w:color w:val="auto"/>
        </w:rPr>
        <w:t>电网项目技术经济评估体</w:t>
      </w:r>
      <w:r>
        <w:rPr>
          <w:rFonts w:hint="eastAsia"/>
          <w:color w:val="auto"/>
        </w:rPr>
        <w:t>系</w:t>
      </w:r>
      <w:r>
        <w:rPr>
          <w:color w:val="auto"/>
        </w:rPr>
        <w:t>，涵盖清洁低碳、安全</w:t>
      </w:r>
      <w:r>
        <w:rPr>
          <w:rFonts w:hint="eastAsia"/>
          <w:color w:val="auto"/>
        </w:rPr>
        <w:t>可控</w:t>
      </w:r>
      <w:r>
        <w:rPr>
          <w:color w:val="auto"/>
        </w:rPr>
        <w:t>、经济高效、智能友好和开放互动五个一级指标，共12个三级指标。随后利用网络爬虫技术抓取大量相关数据，并通过主成分分析和模糊综合评估方法对评估指标进行了量化分析和综合评估。结果表明，评估体系能够有效反映电网项目的整体技术经济水平。主成分分析结果显示，前三个主成分累计贡献率达到79.50%，涵盖了容量利用率、单位容量收益、投资回收期等关键指标，这些指标对项目的经济效益和潜在扩展能力具有显著影响。模糊综合评估结果则进一步验证了评估体系的准确性和可靠性，通过专家打分和隶属度矩阵的构建，得出了项目综合评估等级为“优”的结论，充分展示了评估体系在电网项目投资决策中的应用价值。</w:t>
      </w:r>
    </w:p>
    <w:p w14:paraId="0A3C423C">
      <w:pPr>
        <w:spacing w:line="400" w:lineRule="exact"/>
        <w:ind w:firstLine="480" w:firstLineChars="200"/>
        <w:rPr>
          <w:color w:val="auto"/>
        </w:rPr>
      </w:pPr>
      <w:r>
        <w:rPr>
          <w:color w:val="auto"/>
        </w:rPr>
        <w:t>（3）在识别新型电力系统对电网项目投资能力影响因素的基础上，提出了三层级投资决策框架：首先通过主成分分析提取经济效益因子（方差贡献率38.5%）、成本控制因子（21.2%）及长期运营因子（14.3%）三大核心驱动要素，揭示能源结构转型下电网投资能力演化规律，继而构建机器学习预测-深度强化学习优化的双阶段模型，XGBoost算法在投资能力预测中表现突出（MAE=0.028，R²=0.965），较随机森林误差降低12%。最后基于深度Q网络（DQN）建立动态决策机制，实现投资组合实时优化。</w:t>
      </w:r>
    </w:p>
    <w:p w14:paraId="44C5B65D">
      <w:pPr>
        <w:spacing w:line="400" w:lineRule="exact"/>
        <w:ind w:firstLine="480" w:firstLineChars="200"/>
        <w:rPr>
          <w:color w:val="auto"/>
        </w:rPr>
      </w:pPr>
      <w:r>
        <w:rPr>
          <w:color w:val="auto"/>
        </w:rPr>
        <w:t>（4）针对传统投资决策方法在新型电力系统背景下难以满足需求的问题，引入了基于增广Lagrange乘子法的混合灰狼优化算法（LHWGWO），构建了智能投资决策优化模型。模型设定了经济性、技术性、政策法规和环境等多方面的约束条件。在实例分析中，LHWGWO算法在J电网项目投资决策优化中表现出了较高的准确性和可靠性。通过对比传统方法和LHWGWO算法的预测结果，发现LHWGWO算法的预测误差更小，且在不同投资能力水平下的预测表现均较为稳定。进一步结合技术经济评估指标体系对优化结果进行分析，发现LHWGWO算法在提升容量利用率、降低单位容量投资成本、缩短投资回收期等方面均取得了显著效果。这些结果表明，LHWGWO算法在电网项目投资决策优化中具有重要的应用价值。</w:t>
      </w:r>
    </w:p>
    <w:p w14:paraId="2C69ECA8">
      <w:pPr>
        <w:spacing w:line="400" w:lineRule="exact"/>
        <w:ind w:firstLine="480" w:firstLineChars="200"/>
        <w:rPr>
          <w:color w:val="auto"/>
        </w:rPr>
      </w:pPr>
      <w:r>
        <w:rPr>
          <w:color w:val="auto"/>
        </w:rPr>
        <w:t>（5）本文在新型电力系统背景下，对J电网项目投资智能决策优化进行了系统研究，取得了以下主要贡献：一构建了新型电力系统背景下电网项目技术经济评估体系，为投资决策提供了科学依据。二构建了基于因子分析的投资能力测算模型，实现对电网项目投资能力的精准评估。三引入基于增广Lagrange乘子法的混合灰狼优化算法，构建了智能投资决策优化模型，提升了投资决策的智能化水平。</w:t>
      </w:r>
    </w:p>
    <w:p w14:paraId="76A8A20C">
      <w:pPr>
        <w:spacing w:line="400" w:lineRule="exact"/>
        <w:ind w:firstLine="480" w:firstLineChars="200"/>
        <w:rPr>
          <w:color w:val="auto"/>
        </w:rPr>
      </w:pPr>
      <w:r>
        <w:rPr>
          <w:color w:val="auto"/>
        </w:rPr>
        <w:t>由于本文研究的水平能力有限，因此研究也存在一些不足之处，如本文的数据主要来源于电力行业网站和数据库，以及电网企业大数据管理系统。然而也正是这样的数据来源的局限性，无法全面反映电网项目的所有实际情况。此数据的时效性和准确性也可能受到一定影响，从而对评估结果产生偏差。本文构建的投资能力测算模型和智能投资决策优化模型相对复杂，涉及多个维度和多个参数。这在一定程度上增加了模型的计算复杂度和应用难度，使得模型在实际应用中可能需要更多的计算资源和时间。虽然引入了基于增广Lagrange乘子法的混合灰狼优化算法（LHWGWO），但该算法在解决复杂多目标优化问题时仍存在一定的局限性。例如，算法在收敛速度和求解精度方面可能受到初始参数设置、约束条件复杂度等因素的影响。另外，本文以J电网项目为例进行了实证分析，但不同地区的电网项目在能源结构、负荷特性、政策环境等方面存在差异。因此，所构建的模型和算法在其他地区的电网项目中应用时可能需要进行适当的调整和优化。</w:t>
      </w:r>
    </w:p>
    <w:p w14:paraId="3E5DAF54">
      <w:pPr>
        <w:spacing w:line="400" w:lineRule="exact"/>
        <w:ind w:firstLine="480" w:firstLineChars="200"/>
        <w:rPr>
          <w:color w:val="auto"/>
        </w:rPr>
      </w:pPr>
      <w:r>
        <w:rPr>
          <w:color w:val="auto"/>
        </w:rPr>
        <w:t>针对上述不足，未来研究可以从以下几个方面进行改进和拓展：</w:t>
      </w:r>
    </w:p>
    <w:p w14:paraId="2B1C04DB">
      <w:pPr>
        <w:spacing w:line="400" w:lineRule="exact"/>
        <w:ind w:firstLine="480" w:firstLineChars="200"/>
        <w:rPr>
          <w:color w:val="auto"/>
        </w:rPr>
      </w:pPr>
      <w:r>
        <w:rPr>
          <w:color w:val="auto"/>
        </w:rPr>
        <w:t>（1）进一步扩展数据来源，结合物联网、云计算等先进技术，实现多源异构数据的融合与集成。通过收集更全面、更准确的数据，提高评估结果的可靠性和准确性。</w:t>
      </w:r>
    </w:p>
    <w:p w14:paraId="6CF30924">
      <w:pPr>
        <w:spacing w:line="400" w:lineRule="exact"/>
        <w:ind w:firstLine="480" w:firstLineChars="200"/>
        <w:rPr>
          <w:color w:val="auto"/>
        </w:rPr>
      </w:pPr>
      <w:r>
        <w:rPr>
          <w:color w:val="auto"/>
        </w:rPr>
        <w:t>（2）针对模型的复杂性，未来可以尝试采用更简化的模型结构或优化算法，提高模型的计算效率和实用性。同时可以通过参数敏感性分析等方法，确定模型中的关键参数，进一步降低模型的复杂度。</w:t>
      </w:r>
    </w:p>
    <w:p w14:paraId="7945F770">
      <w:pPr>
        <w:spacing w:line="400" w:lineRule="exact"/>
        <w:ind w:firstLine="480" w:firstLineChars="200"/>
        <w:rPr>
          <w:color w:val="auto"/>
        </w:rPr>
      </w:pPr>
      <w:r>
        <w:rPr>
          <w:color w:val="auto"/>
        </w:rPr>
        <w:t>（3）针对算法的局限性，未来可以探索新的多目标优化算法或混合优化策略，提高算法的收敛速度和求解精度。还可以结合机器学习和人工智，实现算法的自适应调整和优化。</w:t>
      </w:r>
    </w:p>
    <w:p w14:paraId="42B2A423">
      <w:pPr>
        <w:spacing w:line="400" w:lineRule="exact"/>
        <w:ind w:firstLine="480" w:firstLineChars="200"/>
        <w:rPr>
          <w:color w:val="auto"/>
        </w:rPr>
      </w:pPr>
      <w:r>
        <w:rPr>
          <w:color w:val="auto"/>
          <w:szCs w:val="32"/>
        </w:rPr>
        <w:t>（4）未来可以将所构建的模型和算法应用于更多地区的电网项目中，验证其普适性和有效性。通过对比分析不同地区电网项目的投资决策结果，进一步完善和优化模型和算法。</w:t>
      </w:r>
    </w:p>
    <w:p w14:paraId="1A9490AE">
      <w:pPr>
        <w:spacing w:before="312" w:beforeLines="100" w:after="156" w:afterLines="50" w:line="400" w:lineRule="exact"/>
        <w:ind w:firstLine="480" w:firstLineChars="200"/>
        <w:jc w:val="center"/>
        <w:outlineLvl w:val="0"/>
        <w:rPr>
          <w:rFonts w:eastAsia="黑体"/>
          <w:color w:val="auto"/>
          <w:sz w:val="36"/>
          <w:szCs w:val="36"/>
        </w:rPr>
      </w:pPr>
      <w:r>
        <w:rPr>
          <w:color w:val="auto"/>
        </w:rPr>
        <w:br w:type="page"/>
      </w:r>
      <w:bookmarkStart w:id="188" w:name="_Toc192967150"/>
      <w:bookmarkStart w:id="189" w:name="_Toc193967392"/>
      <w:r>
        <w:rPr>
          <w:rFonts w:eastAsia="黑体"/>
          <w:color w:val="auto"/>
          <w:sz w:val="36"/>
          <w:szCs w:val="36"/>
        </w:rPr>
        <w:t>参考文献</w:t>
      </w:r>
      <w:bookmarkEnd w:id="188"/>
      <w:bookmarkEnd w:id="189"/>
    </w:p>
    <w:p w14:paraId="507F1AE2">
      <w:pPr>
        <w:numPr>
          <w:ilvl w:val="0"/>
          <w:numId w:val="3"/>
        </w:numPr>
        <w:snapToGrid w:val="0"/>
        <w:spacing w:after="160" w:line="400" w:lineRule="exact"/>
        <w:contextualSpacing/>
        <w:rPr>
          <w:color w:val="auto"/>
        </w:rPr>
      </w:pPr>
      <w:bookmarkStart w:id="190" w:name="_Ref193102124"/>
      <w:r>
        <w:rPr>
          <w:color w:val="auto"/>
        </w:rPr>
        <w:t>电力规划建立总院.</w:t>
      </w:r>
      <w:r>
        <w:rPr>
          <w:rFonts w:hint="eastAsia"/>
          <w:color w:val="auto"/>
        </w:rPr>
        <w:t xml:space="preserve"> </w:t>
      </w:r>
      <w:r>
        <w:rPr>
          <w:color w:val="auto"/>
        </w:rPr>
        <w:t>中国能源发展报告2024[M].</w:t>
      </w:r>
      <w:r>
        <w:rPr>
          <w:rFonts w:hint="eastAsia"/>
          <w:color w:val="auto"/>
        </w:rPr>
        <w:t xml:space="preserve"> </w:t>
      </w:r>
      <w:r>
        <w:rPr>
          <w:color w:val="auto"/>
        </w:rPr>
        <w:t>北京:人民日报出版社, 2024.</w:t>
      </w:r>
      <w:bookmarkEnd w:id="190"/>
    </w:p>
    <w:p w14:paraId="3737285E">
      <w:pPr>
        <w:numPr>
          <w:ilvl w:val="0"/>
          <w:numId w:val="3"/>
        </w:numPr>
        <w:snapToGrid w:val="0"/>
        <w:spacing w:after="160" w:line="400" w:lineRule="exact"/>
        <w:contextualSpacing/>
        <w:rPr>
          <w:color w:val="auto"/>
        </w:rPr>
      </w:pPr>
      <w:bookmarkStart w:id="191" w:name="_Ref193102277"/>
      <w:r>
        <w:rPr>
          <w:color w:val="auto"/>
        </w:rPr>
        <w:t>国家能源局.</w:t>
      </w:r>
      <w:r>
        <w:rPr>
          <w:rFonts w:hint="eastAsia"/>
          <w:color w:val="auto"/>
        </w:rPr>
        <w:t xml:space="preserve"> </w:t>
      </w:r>
      <w:r>
        <w:rPr>
          <w:color w:val="auto"/>
        </w:rPr>
        <w:t>新型电力系统发展蓝皮书[Z].</w:t>
      </w:r>
      <w:r>
        <w:rPr>
          <w:rFonts w:hint="eastAsia"/>
          <w:color w:val="auto"/>
        </w:rPr>
        <w:t xml:space="preserve"> </w:t>
      </w:r>
      <w:r>
        <w:rPr>
          <w:color w:val="auto"/>
        </w:rPr>
        <w:t>北京:国家能源局, 2023.</w:t>
      </w:r>
      <w:bookmarkEnd w:id="191"/>
    </w:p>
    <w:p w14:paraId="5A1476F0">
      <w:pPr>
        <w:numPr>
          <w:ilvl w:val="0"/>
          <w:numId w:val="3"/>
        </w:numPr>
        <w:snapToGrid w:val="0"/>
        <w:spacing w:after="160" w:line="400" w:lineRule="exact"/>
        <w:contextualSpacing/>
        <w:rPr>
          <w:color w:val="auto"/>
        </w:rPr>
      </w:pPr>
      <w:bookmarkStart w:id="192" w:name="_Ref193102348"/>
      <w:r>
        <w:rPr>
          <w:color w:val="auto"/>
        </w:rPr>
        <w:t>张俊涛</w:t>
      </w:r>
      <w:r>
        <w:rPr>
          <w:rFonts w:hint="eastAsia"/>
          <w:color w:val="auto"/>
        </w:rPr>
        <w:t xml:space="preserve">, </w:t>
      </w:r>
      <w:r>
        <w:rPr>
          <w:color w:val="auto"/>
        </w:rPr>
        <w:t>程春田</w:t>
      </w:r>
      <w:r>
        <w:rPr>
          <w:rFonts w:hint="eastAsia"/>
          <w:color w:val="auto"/>
        </w:rPr>
        <w:t xml:space="preserve">, </w:t>
      </w:r>
      <w:r>
        <w:rPr>
          <w:color w:val="auto"/>
        </w:rPr>
        <w:t>于申</w:t>
      </w:r>
      <w:r>
        <w:rPr>
          <w:rFonts w:hint="eastAsia"/>
          <w:color w:val="auto"/>
        </w:rPr>
        <w:t xml:space="preserve">, </w:t>
      </w:r>
      <w:r>
        <w:rPr>
          <w:color w:val="auto"/>
        </w:rPr>
        <w:t>等.</w:t>
      </w:r>
      <w:r>
        <w:rPr>
          <w:rFonts w:hint="eastAsia"/>
          <w:color w:val="auto"/>
        </w:rPr>
        <w:t xml:space="preserve"> </w:t>
      </w:r>
      <w:r>
        <w:rPr>
          <w:color w:val="auto"/>
        </w:rPr>
        <w:t>水电支撑新型电力系统灵活性研究进展</w:t>
      </w:r>
      <w:r>
        <w:rPr>
          <w:rFonts w:hint="eastAsia"/>
          <w:color w:val="auto"/>
        </w:rPr>
        <w:t xml:space="preserve">, </w:t>
      </w:r>
      <w:r>
        <w:rPr>
          <w:color w:val="auto"/>
        </w:rPr>
        <w:t>挑战与展望[J].</w:t>
      </w:r>
      <w:r>
        <w:rPr>
          <w:rFonts w:hint="eastAsia"/>
          <w:color w:val="auto"/>
        </w:rPr>
        <w:t xml:space="preserve"> </w:t>
      </w:r>
      <w:r>
        <w:rPr>
          <w:color w:val="auto"/>
        </w:rPr>
        <w:t>中国电机工程学报</w:t>
      </w:r>
      <w:r>
        <w:rPr>
          <w:rFonts w:hint="eastAsia"/>
          <w:color w:val="auto"/>
        </w:rPr>
        <w:t xml:space="preserve">, </w:t>
      </w:r>
      <w:r>
        <w:rPr>
          <w:color w:val="auto"/>
        </w:rPr>
        <w:t>2024(10):3862-3884.</w:t>
      </w:r>
      <w:bookmarkEnd w:id="192"/>
    </w:p>
    <w:p w14:paraId="5E23B864">
      <w:pPr>
        <w:numPr>
          <w:ilvl w:val="0"/>
          <w:numId w:val="3"/>
        </w:numPr>
        <w:snapToGrid w:val="0"/>
        <w:spacing w:after="160" w:line="400" w:lineRule="exact"/>
        <w:contextualSpacing/>
        <w:rPr>
          <w:color w:val="auto"/>
        </w:rPr>
      </w:pPr>
      <w:bookmarkStart w:id="193" w:name="_Ref193102370"/>
      <w:r>
        <w:rPr>
          <w:color w:val="auto"/>
        </w:rPr>
        <w:t>李更丰</w:t>
      </w:r>
      <w:r>
        <w:rPr>
          <w:rFonts w:hint="eastAsia"/>
          <w:color w:val="auto"/>
        </w:rPr>
        <w:t xml:space="preserve">, </w:t>
      </w:r>
      <w:r>
        <w:rPr>
          <w:color w:val="auto"/>
        </w:rPr>
        <w:t>孙少华</w:t>
      </w:r>
      <w:r>
        <w:rPr>
          <w:rFonts w:hint="eastAsia"/>
          <w:color w:val="auto"/>
        </w:rPr>
        <w:t xml:space="preserve">, </w:t>
      </w:r>
      <w:r>
        <w:rPr>
          <w:color w:val="auto"/>
        </w:rPr>
        <w:t>别朝红</w:t>
      </w:r>
      <w:r>
        <w:rPr>
          <w:rFonts w:hint="eastAsia"/>
          <w:color w:val="auto"/>
        </w:rPr>
        <w:t xml:space="preserve">, </w:t>
      </w:r>
      <w:r>
        <w:rPr>
          <w:color w:val="auto"/>
        </w:rPr>
        <w:t>等.</w:t>
      </w:r>
      <w:r>
        <w:rPr>
          <w:rFonts w:hint="eastAsia"/>
          <w:color w:val="auto"/>
        </w:rPr>
        <w:t xml:space="preserve"> </w:t>
      </w:r>
      <w:r>
        <w:rPr>
          <w:color w:val="auto"/>
        </w:rPr>
        <w:t>面向新型电力系统弹性提升的储能优化配置与灵活调度研究综述[J].</w:t>
      </w:r>
      <w:r>
        <w:rPr>
          <w:rFonts w:hint="eastAsia"/>
          <w:color w:val="auto"/>
        </w:rPr>
        <w:t xml:space="preserve"> </w:t>
      </w:r>
      <w:r>
        <w:rPr>
          <w:color w:val="auto"/>
        </w:rPr>
        <w:t>高电压技术, 2023(10):4084-4095.</w:t>
      </w:r>
      <w:bookmarkEnd w:id="193"/>
    </w:p>
    <w:p w14:paraId="1B65C10D">
      <w:pPr>
        <w:numPr>
          <w:ilvl w:val="0"/>
          <w:numId w:val="3"/>
        </w:numPr>
        <w:snapToGrid w:val="0"/>
        <w:spacing w:after="160" w:line="400" w:lineRule="exact"/>
        <w:contextualSpacing/>
        <w:rPr>
          <w:color w:val="auto"/>
        </w:rPr>
      </w:pPr>
      <w:bookmarkStart w:id="194" w:name="_Ref193102385"/>
      <w:r>
        <w:rPr>
          <w:color w:val="auto"/>
        </w:rPr>
        <w:t>Malcolm Isaac Fernandez, Yun Ii Go, Dennis M.</w:t>
      </w:r>
      <w:r>
        <w:rPr>
          <w:rFonts w:hint="eastAsia"/>
          <w:color w:val="auto"/>
        </w:rPr>
        <w:t xml:space="preserve"> </w:t>
      </w:r>
      <w:r>
        <w:rPr>
          <w:color w:val="auto"/>
        </w:rPr>
        <w:t>L. Wong b, Wolf-Gerrit Früh.</w:t>
      </w:r>
      <w:r>
        <w:rPr>
          <w:rFonts w:hint="eastAsia"/>
          <w:color w:val="auto"/>
        </w:rPr>
        <w:t xml:space="preserve"> </w:t>
      </w:r>
      <w:r>
        <w:rPr>
          <w:color w:val="auto"/>
        </w:rPr>
        <w:t xml:space="preserve"> Review of challenges and key enablers in energy systems towards net zero target: Renewables, storage, buildings, &amp; grid technologies[J]. Heliyon, 2024(23):40-69.</w:t>
      </w:r>
      <w:bookmarkEnd w:id="194"/>
      <w:r>
        <w:rPr>
          <w:color w:val="auto"/>
        </w:rPr>
        <w:t xml:space="preserve"> </w:t>
      </w:r>
    </w:p>
    <w:p w14:paraId="29ABD8B4">
      <w:pPr>
        <w:numPr>
          <w:ilvl w:val="0"/>
          <w:numId w:val="3"/>
        </w:numPr>
        <w:snapToGrid w:val="0"/>
        <w:spacing w:after="160" w:line="400" w:lineRule="exact"/>
        <w:contextualSpacing/>
        <w:rPr>
          <w:color w:val="auto"/>
        </w:rPr>
      </w:pPr>
      <w:bookmarkStart w:id="195" w:name="_Ref193102398"/>
      <w:r>
        <w:rPr>
          <w:color w:val="auto"/>
        </w:rPr>
        <w:t>Giannelos S, Borozan S, Konstantelos I, Strbac G. Option value, investment costs and deployment levels of smart grid technologies[J]. Sustainable Energy Research, 2024(11):48-51.</w:t>
      </w:r>
      <w:bookmarkEnd w:id="195"/>
    </w:p>
    <w:p w14:paraId="40A54815">
      <w:pPr>
        <w:numPr>
          <w:ilvl w:val="0"/>
          <w:numId w:val="3"/>
        </w:numPr>
        <w:snapToGrid w:val="0"/>
        <w:spacing w:after="160" w:line="400" w:lineRule="exact"/>
        <w:contextualSpacing/>
        <w:rPr>
          <w:color w:val="auto"/>
        </w:rPr>
      </w:pPr>
      <w:bookmarkStart w:id="196" w:name="_Ref193102429"/>
      <w:r>
        <w:rPr>
          <w:color w:val="auto"/>
        </w:rPr>
        <w:t>李鹏</w:t>
      </w:r>
      <w:r>
        <w:rPr>
          <w:rFonts w:hint="eastAsia"/>
          <w:color w:val="auto"/>
        </w:rPr>
        <w:t xml:space="preserve">, </w:t>
      </w:r>
      <w:r>
        <w:rPr>
          <w:color w:val="auto"/>
        </w:rPr>
        <w:t>刘念</w:t>
      </w:r>
      <w:r>
        <w:rPr>
          <w:rFonts w:hint="eastAsia"/>
          <w:color w:val="auto"/>
        </w:rPr>
        <w:t xml:space="preserve">, </w:t>
      </w:r>
      <w:r>
        <w:rPr>
          <w:color w:val="auto"/>
        </w:rPr>
        <w:t>胡秦然,</w:t>
      </w:r>
      <w:r>
        <w:rPr>
          <w:rFonts w:hint="eastAsia"/>
          <w:color w:val="auto"/>
        </w:rPr>
        <w:t xml:space="preserve"> </w:t>
      </w:r>
      <w:r>
        <w:rPr>
          <w:color w:val="auto"/>
        </w:rPr>
        <w:t>等.</w:t>
      </w:r>
      <w:r>
        <w:rPr>
          <w:rFonts w:hint="eastAsia"/>
          <w:color w:val="auto"/>
        </w:rPr>
        <w:t>“</w:t>
      </w:r>
      <w:r>
        <w:rPr>
          <w:color w:val="auto"/>
        </w:rPr>
        <w:t>新型电力系统数字化关键技术综述</w:t>
      </w:r>
      <w:r>
        <w:rPr>
          <w:rFonts w:hint="eastAsia"/>
          <w:color w:val="auto"/>
        </w:rPr>
        <w:t>”</w:t>
      </w:r>
      <w:r>
        <w:rPr>
          <w:color w:val="auto"/>
        </w:rPr>
        <w:t>专辑评述[J].</w:t>
      </w:r>
      <w:r>
        <w:rPr>
          <w:rFonts w:hint="eastAsia"/>
          <w:color w:val="auto"/>
        </w:rPr>
        <w:t xml:space="preserve"> </w:t>
      </w:r>
      <w:r>
        <w:rPr>
          <w:color w:val="auto"/>
        </w:rPr>
        <w:t>电力系统自动化, 2024(6):1-12.</w:t>
      </w:r>
      <w:bookmarkEnd w:id="196"/>
    </w:p>
    <w:p w14:paraId="1FCB2D8A">
      <w:pPr>
        <w:numPr>
          <w:ilvl w:val="0"/>
          <w:numId w:val="3"/>
        </w:numPr>
        <w:snapToGrid w:val="0"/>
        <w:spacing w:after="160" w:line="400" w:lineRule="exact"/>
        <w:contextualSpacing/>
        <w:rPr>
          <w:color w:val="auto"/>
        </w:rPr>
      </w:pPr>
      <w:bookmarkStart w:id="197" w:name="_Ref193102443"/>
      <w:r>
        <w:rPr>
          <w:color w:val="auto"/>
        </w:rPr>
        <w:t>王继业,</w:t>
      </w:r>
      <w:r>
        <w:rPr>
          <w:rFonts w:hint="eastAsia"/>
          <w:color w:val="auto"/>
        </w:rPr>
        <w:t xml:space="preserve"> </w:t>
      </w:r>
      <w:r>
        <w:rPr>
          <w:color w:val="auto"/>
        </w:rPr>
        <w:t>赵俊华.</w:t>
      </w:r>
      <w:r>
        <w:rPr>
          <w:rFonts w:hint="eastAsia"/>
          <w:color w:val="auto"/>
        </w:rPr>
        <w:t xml:space="preserve"> </w:t>
      </w:r>
      <w:r>
        <w:rPr>
          <w:color w:val="auto"/>
        </w:rPr>
        <w:t>基于人工智能技术的新型电力系统优化运行与控制[J].</w:t>
      </w:r>
      <w:r>
        <w:rPr>
          <w:rFonts w:hint="eastAsia"/>
          <w:color w:val="auto"/>
        </w:rPr>
        <w:t xml:space="preserve"> </w:t>
      </w:r>
      <w:r>
        <w:rPr>
          <w:color w:val="auto"/>
        </w:rPr>
        <w:t>全球能源互联网, 2023(3):238-239.</w:t>
      </w:r>
      <w:bookmarkEnd w:id="197"/>
    </w:p>
    <w:p w14:paraId="509ECDCA">
      <w:pPr>
        <w:numPr>
          <w:ilvl w:val="0"/>
          <w:numId w:val="3"/>
        </w:numPr>
        <w:snapToGrid w:val="0"/>
        <w:spacing w:after="160" w:line="400" w:lineRule="exact"/>
        <w:contextualSpacing/>
        <w:rPr>
          <w:color w:val="auto"/>
        </w:rPr>
      </w:pPr>
      <w:bookmarkStart w:id="198" w:name="_Ref193102456"/>
      <w:r>
        <w:rPr>
          <w:color w:val="auto"/>
        </w:rPr>
        <w:t>Hasan Dinçer, Raghunathan Krishankumar, Serhat Yüksel, Fatih Ecer. Evaluating smart grid investment drivers and creating effective policies via a fuzzy multi-criteria approach[J]. Renewable and Sustainable Energy Reviews, 2025(208):115-122.</w:t>
      </w:r>
      <w:bookmarkEnd w:id="198"/>
      <w:r>
        <w:rPr>
          <w:color w:val="auto"/>
        </w:rPr>
        <w:t xml:space="preserve"> </w:t>
      </w:r>
    </w:p>
    <w:p w14:paraId="7749A33C">
      <w:pPr>
        <w:numPr>
          <w:ilvl w:val="0"/>
          <w:numId w:val="3"/>
        </w:numPr>
        <w:snapToGrid w:val="0"/>
        <w:spacing w:after="160" w:line="400" w:lineRule="exact"/>
        <w:contextualSpacing/>
        <w:rPr>
          <w:color w:val="auto"/>
        </w:rPr>
      </w:pPr>
      <w:bookmarkStart w:id="199" w:name="_Ref193102487"/>
      <w:r>
        <w:rPr>
          <w:color w:val="auto"/>
        </w:rPr>
        <w:t>Bendigiri, P., &amp; Rao, P.</w:t>
      </w:r>
      <w:r>
        <w:rPr>
          <w:rFonts w:hint="eastAsia"/>
          <w:color w:val="auto"/>
        </w:rPr>
        <w:t xml:space="preserve"> </w:t>
      </w:r>
      <w:r>
        <w:rPr>
          <w:color w:val="auto"/>
        </w:rPr>
        <w:t>Energy system models: a review of concepts and recent advances using bibliometrics[J].</w:t>
      </w:r>
      <w:r>
        <w:rPr>
          <w:rFonts w:hint="eastAsia"/>
          <w:color w:val="auto"/>
        </w:rPr>
        <w:t xml:space="preserve"> </w:t>
      </w:r>
      <w:r>
        <w:rPr>
          <w:color w:val="auto"/>
        </w:rPr>
        <w:t>International Journal of Sustainable Energy, 2023(1):975-1007.</w:t>
      </w:r>
      <w:bookmarkEnd w:id="199"/>
    </w:p>
    <w:p w14:paraId="5F08215E">
      <w:pPr>
        <w:numPr>
          <w:ilvl w:val="0"/>
          <w:numId w:val="3"/>
        </w:numPr>
        <w:snapToGrid w:val="0"/>
        <w:spacing w:after="160" w:line="400" w:lineRule="exact"/>
        <w:contextualSpacing/>
        <w:rPr>
          <w:color w:val="auto"/>
        </w:rPr>
      </w:pPr>
      <w:bookmarkStart w:id="200" w:name="_Ref193102511"/>
      <w:r>
        <w:rPr>
          <w:color w:val="auto"/>
        </w:rPr>
        <w:t>马丽芳.</w:t>
      </w:r>
      <w:r>
        <w:rPr>
          <w:rFonts w:hint="eastAsia"/>
          <w:color w:val="auto"/>
        </w:rPr>
        <w:t xml:space="preserve"> </w:t>
      </w:r>
      <w:r>
        <w:rPr>
          <w:color w:val="auto"/>
        </w:rPr>
        <w:t>新能源参与市场化交易的机遇与挑战[J].</w:t>
      </w:r>
      <w:r>
        <w:rPr>
          <w:rFonts w:hint="eastAsia"/>
          <w:color w:val="auto"/>
        </w:rPr>
        <w:t xml:space="preserve"> </w:t>
      </w:r>
      <w:r>
        <w:rPr>
          <w:color w:val="auto"/>
        </w:rPr>
        <w:t>电力设备管理, 2024(12):1-1.</w:t>
      </w:r>
      <w:bookmarkEnd w:id="200"/>
    </w:p>
    <w:p w14:paraId="55F4F4A1">
      <w:pPr>
        <w:numPr>
          <w:ilvl w:val="0"/>
          <w:numId w:val="3"/>
        </w:numPr>
        <w:snapToGrid w:val="0"/>
        <w:spacing w:after="160" w:line="400" w:lineRule="exact"/>
        <w:contextualSpacing/>
        <w:rPr>
          <w:color w:val="auto"/>
        </w:rPr>
      </w:pPr>
      <w:bookmarkStart w:id="201" w:name="_Ref193102524"/>
      <w:r>
        <w:rPr>
          <w:color w:val="auto"/>
        </w:rPr>
        <w:t>张雅娟,</w:t>
      </w:r>
      <w:r>
        <w:rPr>
          <w:rFonts w:hint="eastAsia"/>
          <w:color w:val="auto"/>
        </w:rPr>
        <w:t xml:space="preserve"> </w:t>
      </w:r>
      <w:r>
        <w:rPr>
          <w:color w:val="auto"/>
        </w:rPr>
        <w:t>王铮,</w:t>
      </w:r>
      <w:r>
        <w:rPr>
          <w:rFonts w:hint="eastAsia"/>
          <w:color w:val="auto"/>
        </w:rPr>
        <w:t xml:space="preserve"> </w:t>
      </w:r>
      <w:r>
        <w:rPr>
          <w:color w:val="auto"/>
        </w:rPr>
        <w:t>李双成.</w:t>
      </w:r>
      <w:r>
        <w:rPr>
          <w:rFonts w:hint="eastAsia"/>
          <w:color w:val="auto"/>
        </w:rPr>
        <w:t xml:space="preserve"> </w:t>
      </w:r>
      <w:r>
        <w:rPr>
          <w:color w:val="auto"/>
        </w:rPr>
        <w:t>能源电力系统转型对中国环境影响评估[J].</w:t>
      </w:r>
      <w:r>
        <w:rPr>
          <w:rFonts w:hint="eastAsia"/>
          <w:color w:val="auto"/>
        </w:rPr>
        <w:t xml:space="preserve"> </w:t>
      </w:r>
      <w:r>
        <w:rPr>
          <w:color w:val="auto"/>
        </w:rPr>
        <w:t>资源科学, 2023(9):1830-1843.</w:t>
      </w:r>
      <w:bookmarkEnd w:id="201"/>
    </w:p>
    <w:p w14:paraId="3159AA64">
      <w:pPr>
        <w:numPr>
          <w:ilvl w:val="0"/>
          <w:numId w:val="3"/>
        </w:numPr>
        <w:snapToGrid w:val="0"/>
        <w:spacing w:after="160" w:line="400" w:lineRule="exact"/>
        <w:contextualSpacing/>
        <w:rPr>
          <w:color w:val="auto"/>
        </w:rPr>
      </w:pPr>
      <w:bookmarkStart w:id="202" w:name="_Ref193102539"/>
      <w:r>
        <w:rPr>
          <w:rStyle w:val="35"/>
          <w:color w:val="auto"/>
        </w:rPr>
        <w:t>Tze-Zhang</w:t>
      </w:r>
      <w:r>
        <w:rPr>
          <w:rStyle w:val="34"/>
          <w:color w:val="auto"/>
        </w:rPr>
        <w:t> </w:t>
      </w:r>
      <w:r>
        <w:rPr>
          <w:rStyle w:val="36"/>
          <w:color w:val="auto"/>
        </w:rPr>
        <w:t>Ang</w:t>
      </w:r>
      <w:r>
        <w:rPr>
          <w:color w:val="auto"/>
        </w:rPr>
        <w:t>，</w:t>
      </w:r>
      <w:r>
        <w:rPr>
          <w:rStyle w:val="35"/>
          <w:color w:val="auto"/>
        </w:rPr>
        <w:t>Mohamed</w:t>
      </w:r>
      <w:r>
        <w:rPr>
          <w:rStyle w:val="34"/>
          <w:color w:val="auto"/>
        </w:rPr>
        <w:t> </w:t>
      </w:r>
      <w:r>
        <w:rPr>
          <w:rStyle w:val="36"/>
          <w:color w:val="auto"/>
        </w:rPr>
        <w:t>Salem</w:t>
      </w:r>
      <w:r>
        <w:rPr>
          <w:rStyle w:val="34"/>
          <w:color w:val="auto"/>
        </w:rPr>
        <w:t>，</w:t>
      </w:r>
      <w:r>
        <w:rPr>
          <w:rStyle w:val="35"/>
          <w:color w:val="auto"/>
        </w:rPr>
        <w:t>Mohamad</w:t>
      </w:r>
      <w:r>
        <w:rPr>
          <w:rStyle w:val="34"/>
          <w:color w:val="auto"/>
        </w:rPr>
        <w:t> </w:t>
      </w:r>
      <w:r>
        <w:rPr>
          <w:rStyle w:val="36"/>
          <w:color w:val="auto"/>
        </w:rPr>
        <w:t>Kamarol</w:t>
      </w:r>
      <w:r>
        <w:rPr>
          <w:rStyle w:val="34"/>
          <w:color w:val="auto"/>
        </w:rPr>
        <w:t>，</w:t>
      </w:r>
      <w:r>
        <w:rPr>
          <w:rStyle w:val="35"/>
          <w:color w:val="auto"/>
        </w:rPr>
        <w:t>Himadry Shekhar</w:t>
      </w:r>
      <w:r>
        <w:rPr>
          <w:rStyle w:val="34"/>
          <w:color w:val="auto"/>
        </w:rPr>
        <w:t> </w:t>
      </w:r>
      <w:r>
        <w:rPr>
          <w:rStyle w:val="36"/>
          <w:color w:val="auto"/>
        </w:rPr>
        <w:t>Das</w:t>
      </w:r>
      <w:r>
        <w:rPr>
          <w:rStyle w:val="37"/>
          <w:color w:val="auto"/>
          <w:sz w:val="18"/>
          <w:szCs w:val="18"/>
        </w:rPr>
        <w:t>，</w:t>
      </w:r>
      <w:r>
        <w:rPr>
          <w:rStyle w:val="35"/>
          <w:color w:val="auto"/>
        </w:rPr>
        <w:t>Mohammad Alhuyi</w:t>
      </w:r>
      <w:r>
        <w:rPr>
          <w:rStyle w:val="34"/>
          <w:color w:val="auto"/>
        </w:rPr>
        <w:t> </w:t>
      </w:r>
      <w:r>
        <w:rPr>
          <w:rStyle w:val="36"/>
          <w:color w:val="auto"/>
        </w:rPr>
        <w:t>Nazari</w:t>
      </w:r>
      <w:r>
        <w:rPr>
          <w:color w:val="auto"/>
        </w:rPr>
        <w:t>，</w:t>
      </w:r>
      <w:r>
        <w:rPr>
          <w:rStyle w:val="35"/>
          <w:color w:val="auto"/>
        </w:rPr>
        <w:t>Natarajan</w:t>
      </w:r>
      <w:r>
        <w:rPr>
          <w:rStyle w:val="34"/>
          <w:color w:val="auto"/>
        </w:rPr>
        <w:t> </w:t>
      </w:r>
      <w:r>
        <w:rPr>
          <w:rStyle w:val="36"/>
          <w:color w:val="auto"/>
        </w:rPr>
        <w:t>Prabaharan</w:t>
      </w:r>
      <w:r>
        <w:rPr>
          <w:color w:val="auto"/>
        </w:rPr>
        <w:t>.A comprehensive study of renewable energy sources: Classifications, challenges and suggestions[J].Energy Strategy Reviews, 2022(6):10-16.</w:t>
      </w:r>
      <w:bookmarkEnd w:id="202"/>
    </w:p>
    <w:p w14:paraId="57EA995D">
      <w:pPr>
        <w:numPr>
          <w:ilvl w:val="0"/>
          <w:numId w:val="3"/>
        </w:numPr>
        <w:snapToGrid w:val="0"/>
        <w:spacing w:after="160" w:line="400" w:lineRule="exact"/>
        <w:contextualSpacing/>
        <w:rPr>
          <w:color w:val="auto"/>
        </w:rPr>
      </w:pPr>
      <w:bookmarkStart w:id="203" w:name="_Ref193102551"/>
      <w:r>
        <w:rPr>
          <w:color w:val="auto"/>
        </w:rPr>
        <w:t>郁海彬,董帅,陆增洁,等.新型电力系统下储能参与电力调峰调频辅助市场的竞标策略[J].中国电力, 2023(8):48-60.</w:t>
      </w:r>
      <w:bookmarkEnd w:id="203"/>
    </w:p>
    <w:p w14:paraId="5E0A7939">
      <w:pPr>
        <w:numPr>
          <w:ilvl w:val="0"/>
          <w:numId w:val="3"/>
        </w:numPr>
        <w:snapToGrid w:val="0"/>
        <w:spacing w:after="160" w:line="400" w:lineRule="exact"/>
        <w:contextualSpacing/>
        <w:rPr>
          <w:color w:val="auto"/>
        </w:rPr>
      </w:pPr>
      <w:bookmarkStart w:id="204" w:name="_Ref193102567"/>
      <w:r>
        <w:rPr>
          <w:color w:val="auto"/>
        </w:rPr>
        <w:t>Demir G, Acar Vural R.</w:t>
      </w:r>
      <w:r>
        <w:rPr>
          <w:rFonts w:hint="eastAsia"/>
          <w:color w:val="auto"/>
        </w:rPr>
        <w:t xml:space="preserve"> </w:t>
      </w:r>
      <w:r>
        <w:rPr>
          <w:color w:val="auto"/>
        </w:rPr>
        <w:t>Non-Cutting Moving Toolpath Optimization with Elitist Non-Dominated Sorting Genetic Algorithm-II[J].</w:t>
      </w:r>
      <w:r>
        <w:rPr>
          <w:rFonts w:hint="eastAsia"/>
          <w:color w:val="auto"/>
        </w:rPr>
        <w:t xml:space="preserve"> </w:t>
      </w:r>
      <w:r>
        <w:rPr>
          <w:color w:val="auto"/>
        </w:rPr>
        <w:t>Applied Sciences , 2024(11):2076-3417</w:t>
      </w:r>
      <w:bookmarkEnd w:id="204"/>
      <w:r>
        <w:rPr>
          <w:color w:val="auto"/>
        </w:rPr>
        <w:t>.</w:t>
      </w:r>
    </w:p>
    <w:p w14:paraId="184C38BC">
      <w:pPr>
        <w:numPr>
          <w:ilvl w:val="0"/>
          <w:numId w:val="3"/>
        </w:numPr>
        <w:snapToGrid w:val="0"/>
        <w:spacing w:after="160" w:line="400" w:lineRule="exact"/>
        <w:contextualSpacing/>
        <w:rPr>
          <w:color w:val="auto"/>
        </w:rPr>
      </w:pPr>
      <w:bookmarkStart w:id="205" w:name="_Ref193808430"/>
      <w:r>
        <w:rPr>
          <w:color w:val="auto"/>
        </w:rPr>
        <w:t>杨太华.</w:t>
      </w:r>
      <w:r>
        <w:rPr>
          <w:rFonts w:hint="eastAsia"/>
          <w:color w:val="auto"/>
        </w:rPr>
        <w:t xml:space="preserve"> </w:t>
      </w:r>
      <w:r>
        <w:rPr>
          <w:color w:val="auto"/>
        </w:rPr>
        <w:t>新能源项目安全成本形成机理及优化方法[M].</w:t>
      </w:r>
      <w:r>
        <w:rPr>
          <w:rFonts w:hint="eastAsia"/>
          <w:color w:val="auto"/>
        </w:rPr>
        <w:t xml:space="preserve"> </w:t>
      </w:r>
      <w:r>
        <w:rPr>
          <w:color w:val="auto"/>
        </w:rPr>
        <w:t>南京东南大学出版社:2022.</w:t>
      </w:r>
      <w:bookmarkEnd w:id="205"/>
    </w:p>
    <w:p w14:paraId="3B862AD7">
      <w:pPr>
        <w:numPr>
          <w:ilvl w:val="0"/>
          <w:numId w:val="3"/>
        </w:numPr>
        <w:snapToGrid w:val="0"/>
        <w:spacing w:after="160" w:line="400" w:lineRule="exact"/>
        <w:contextualSpacing/>
        <w:rPr>
          <w:color w:val="auto"/>
        </w:rPr>
      </w:pPr>
      <w:bookmarkStart w:id="206" w:name="_Ref193808534"/>
      <w:r>
        <w:rPr>
          <w:color w:val="auto"/>
        </w:rPr>
        <w:t>周晓刚,</w:t>
      </w:r>
      <w:r>
        <w:rPr>
          <w:rFonts w:hint="eastAsia"/>
          <w:color w:val="auto"/>
        </w:rPr>
        <w:t xml:space="preserve"> </w:t>
      </w:r>
      <w:r>
        <w:rPr>
          <w:color w:val="auto"/>
        </w:rPr>
        <w:t>凌煦,</w:t>
      </w:r>
      <w:r>
        <w:rPr>
          <w:rFonts w:hint="eastAsia"/>
          <w:color w:val="auto"/>
        </w:rPr>
        <w:t xml:space="preserve"> </w:t>
      </w:r>
      <w:r>
        <w:rPr>
          <w:color w:val="auto"/>
        </w:rPr>
        <w:t>陈文哲,</w:t>
      </w:r>
      <w:r>
        <w:rPr>
          <w:rFonts w:hint="eastAsia"/>
          <w:color w:val="auto"/>
        </w:rPr>
        <w:t xml:space="preserve"> </w:t>
      </w:r>
      <w:r>
        <w:rPr>
          <w:color w:val="auto"/>
        </w:rPr>
        <w:t>等.</w:t>
      </w:r>
      <w:r>
        <w:rPr>
          <w:rFonts w:hint="eastAsia"/>
          <w:color w:val="auto"/>
        </w:rPr>
        <w:t xml:space="preserve"> </w:t>
      </w:r>
      <w:r>
        <w:rPr>
          <w:color w:val="auto"/>
        </w:rPr>
        <w:t>计及储能的电网综合评估指标体系研究[J].</w:t>
      </w:r>
      <w:r>
        <w:rPr>
          <w:rFonts w:hint="eastAsia"/>
          <w:color w:val="auto"/>
        </w:rPr>
        <w:t xml:space="preserve"> </w:t>
      </w:r>
      <w:r>
        <w:rPr>
          <w:color w:val="auto"/>
        </w:rPr>
        <w:t>中国农村水利水电,</w:t>
      </w:r>
      <w:r>
        <w:rPr>
          <w:rFonts w:hint="eastAsia"/>
          <w:color w:val="auto"/>
        </w:rPr>
        <w:t xml:space="preserve"> </w:t>
      </w:r>
      <w:r>
        <w:rPr>
          <w:color w:val="auto"/>
        </w:rPr>
        <w:t>2024(5):231-236.</w:t>
      </w:r>
      <w:bookmarkEnd w:id="206"/>
    </w:p>
    <w:p w14:paraId="1EAA1E28">
      <w:pPr>
        <w:numPr>
          <w:ilvl w:val="0"/>
          <w:numId w:val="3"/>
        </w:numPr>
        <w:snapToGrid w:val="0"/>
        <w:spacing w:after="160" w:line="400" w:lineRule="exact"/>
        <w:contextualSpacing/>
        <w:rPr>
          <w:color w:val="auto"/>
        </w:rPr>
      </w:pPr>
      <w:bookmarkStart w:id="207" w:name="_Ref193808607"/>
      <w:r>
        <w:rPr>
          <w:color w:val="auto"/>
        </w:rPr>
        <w:t>肖博,</w:t>
      </w:r>
      <w:r>
        <w:rPr>
          <w:rFonts w:hint="eastAsia"/>
          <w:color w:val="auto"/>
        </w:rPr>
        <w:t xml:space="preserve"> </w:t>
      </w:r>
      <w:r>
        <w:rPr>
          <w:color w:val="auto"/>
        </w:rPr>
        <w:t>侯玉婷,</w:t>
      </w:r>
      <w:r>
        <w:rPr>
          <w:rFonts w:hint="eastAsia"/>
          <w:color w:val="auto"/>
        </w:rPr>
        <w:t xml:space="preserve"> </w:t>
      </w:r>
      <w:r>
        <w:rPr>
          <w:color w:val="auto"/>
        </w:rPr>
        <w:t>包正睿,</w:t>
      </w:r>
      <w:r>
        <w:rPr>
          <w:rFonts w:hint="eastAsia"/>
          <w:color w:val="auto"/>
        </w:rPr>
        <w:t xml:space="preserve"> </w:t>
      </w:r>
      <w:r>
        <w:rPr>
          <w:color w:val="auto"/>
        </w:rPr>
        <w:t>等.</w:t>
      </w:r>
      <w:r>
        <w:rPr>
          <w:rFonts w:hint="eastAsia"/>
          <w:color w:val="auto"/>
        </w:rPr>
        <w:t xml:space="preserve"> </w:t>
      </w:r>
      <w:r>
        <w:rPr>
          <w:color w:val="auto"/>
        </w:rPr>
        <w:t>电网侧电池储能电站综合评估模型研究[J].</w:t>
      </w:r>
      <w:r>
        <w:rPr>
          <w:rFonts w:hint="eastAsia"/>
          <w:color w:val="auto"/>
        </w:rPr>
        <w:t xml:space="preserve"> </w:t>
      </w:r>
      <w:r>
        <w:rPr>
          <w:color w:val="auto"/>
        </w:rPr>
        <w:t>自动化技术与应用,</w:t>
      </w:r>
      <w:r>
        <w:rPr>
          <w:rFonts w:hint="eastAsia"/>
          <w:color w:val="auto"/>
        </w:rPr>
        <w:t xml:space="preserve"> </w:t>
      </w:r>
      <w:r>
        <w:rPr>
          <w:color w:val="auto"/>
        </w:rPr>
        <w:t>2023(11):26-29.</w:t>
      </w:r>
      <w:bookmarkEnd w:id="207"/>
    </w:p>
    <w:p w14:paraId="2AA497A6">
      <w:pPr>
        <w:numPr>
          <w:ilvl w:val="0"/>
          <w:numId w:val="3"/>
        </w:numPr>
        <w:snapToGrid w:val="0"/>
        <w:spacing w:after="160" w:line="400" w:lineRule="exact"/>
        <w:contextualSpacing/>
        <w:rPr>
          <w:color w:val="auto"/>
        </w:rPr>
      </w:pPr>
      <w:bookmarkStart w:id="208" w:name="_Ref193808703"/>
      <w:r>
        <w:rPr>
          <w:color w:val="auto"/>
        </w:rPr>
        <w:t>Kiasari M , Ghaffari M , Aly H H .</w:t>
      </w:r>
      <w:r>
        <w:rPr>
          <w:rFonts w:hint="eastAsia"/>
          <w:color w:val="auto"/>
        </w:rPr>
        <w:t xml:space="preserve"> </w:t>
      </w:r>
      <w:r>
        <w:rPr>
          <w:color w:val="auto"/>
        </w:rPr>
        <w:t>A Comprehensive Review of the Current Status of Smart Grid Technologies for Renewable Energies Integration and Future Trends: The Role of Machine Learning and Energy Storage Systems[J].</w:t>
      </w:r>
      <w:r>
        <w:rPr>
          <w:rFonts w:hint="eastAsia"/>
          <w:color w:val="auto"/>
        </w:rPr>
        <w:t xml:space="preserve"> </w:t>
      </w:r>
      <w:r>
        <w:rPr>
          <w:color w:val="auto"/>
        </w:rPr>
        <w:t>Energy Efficiency,</w:t>
      </w:r>
      <w:r>
        <w:rPr>
          <w:rFonts w:hint="eastAsia"/>
          <w:color w:val="auto"/>
        </w:rPr>
        <w:t xml:space="preserve"> </w:t>
      </w:r>
      <w:r>
        <w:rPr>
          <w:color w:val="auto"/>
        </w:rPr>
        <w:t>2024(2):88-97.</w:t>
      </w:r>
      <w:bookmarkEnd w:id="208"/>
    </w:p>
    <w:p w14:paraId="05BAC6D3">
      <w:pPr>
        <w:numPr>
          <w:ilvl w:val="0"/>
          <w:numId w:val="3"/>
        </w:numPr>
        <w:snapToGrid w:val="0"/>
        <w:spacing w:after="160" w:line="400" w:lineRule="exact"/>
        <w:contextualSpacing/>
        <w:rPr>
          <w:color w:val="auto"/>
        </w:rPr>
      </w:pPr>
      <w:bookmarkStart w:id="209" w:name="_Ref193809170"/>
      <w:r>
        <w:rPr>
          <w:color w:val="auto"/>
        </w:rPr>
        <w:t>Mainardi S.Electrification, regulation and electricity access backlogs: regional development and border discontinuities across African power pools[J].</w:t>
      </w:r>
      <w:r>
        <w:rPr>
          <w:rFonts w:hint="eastAsia"/>
          <w:color w:val="auto"/>
        </w:rPr>
        <w:t xml:space="preserve"> </w:t>
      </w:r>
      <w:bookmarkStart w:id="210" w:name="_Hlk193970467"/>
      <w:r>
        <w:rPr>
          <w:color w:val="auto"/>
        </w:rPr>
        <w:t>Energy Efficiency,</w:t>
      </w:r>
      <w:bookmarkEnd w:id="210"/>
      <w:r>
        <w:rPr>
          <w:color w:val="auto"/>
        </w:rPr>
        <w:t xml:space="preserve"> 2024(4):1-33.</w:t>
      </w:r>
      <w:bookmarkEnd w:id="209"/>
    </w:p>
    <w:p w14:paraId="06FB9578">
      <w:pPr>
        <w:numPr>
          <w:ilvl w:val="0"/>
          <w:numId w:val="3"/>
        </w:numPr>
        <w:snapToGrid w:val="0"/>
        <w:spacing w:after="160" w:line="400" w:lineRule="exact"/>
        <w:contextualSpacing/>
        <w:rPr>
          <w:color w:val="auto"/>
        </w:rPr>
      </w:pPr>
      <w:bookmarkStart w:id="211" w:name="_Ref193809368"/>
      <w:r>
        <w:rPr>
          <w:color w:val="auto"/>
        </w:rPr>
        <w:t>易俊,</w:t>
      </w:r>
      <w:r>
        <w:rPr>
          <w:rFonts w:hint="eastAsia"/>
          <w:color w:val="auto"/>
        </w:rPr>
        <w:t xml:space="preserve"> </w:t>
      </w:r>
      <w:r>
        <w:rPr>
          <w:color w:val="auto"/>
        </w:rPr>
        <w:t>林伟芳,</w:t>
      </w:r>
      <w:r>
        <w:rPr>
          <w:rFonts w:hint="eastAsia"/>
          <w:color w:val="auto"/>
        </w:rPr>
        <w:t xml:space="preserve"> </w:t>
      </w:r>
      <w:r>
        <w:rPr>
          <w:color w:val="auto"/>
        </w:rPr>
        <w:t>任萱,</w:t>
      </w:r>
      <w:r>
        <w:rPr>
          <w:rFonts w:hint="eastAsia"/>
          <w:color w:val="auto"/>
        </w:rPr>
        <w:t xml:space="preserve"> </w:t>
      </w:r>
      <w:r>
        <w:rPr>
          <w:color w:val="auto"/>
        </w:rPr>
        <w:t>等.</w:t>
      </w:r>
      <w:r>
        <w:rPr>
          <w:rFonts w:hint="eastAsia"/>
          <w:color w:val="auto"/>
        </w:rPr>
        <w:t xml:space="preserve"> </w:t>
      </w:r>
      <w:r>
        <w:rPr>
          <w:color w:val="auto"/>
        </w:rPr>
        <w:t>新型电力系统发展水平指标体系构建及综合评估方法研究[J].</w:t>
      </w:r>
      <w:r>
        <w:rPr>
          <w:rFonts w:hint="eastAsia"/>
          <w:color w:val="auto"/>
        </w:rPr>
        <w:t xml:space="preserve"> </w:t>
      </w:r>
      <w:r>
        <w:rPr>
          <w:color w:val="auto"/>
        </w:rPr>
        <w:t>电网技术, 2024(9):3758-3768.</w:t>
      </w:r>
      <w:bookmarkEnd w:id="211"/>
    </w:p>
    <w:p w14:paraId="36D92183">
      <w:pPr>
        <w:numPr>
          <w:ilvl w:val="0"/>
          <w:numId w:val="3"/>
        </w:numPr>
        <w:snapToGrid w:val="0"/>
        <w:spacing w:after="160" w:line="400" w:lineRule="exact"/>
        <w:contextualSpacing/>
        <w:rPr>
          <w:color w:val="auto"/>
        </w:rPr>
      </w:pPr>
      <w:bookmarkStart w:id="212" w:name="_Ref193809392"/>
      <w:r>
        <w:rPr>
          <w:color w:val="auto"/>
        </w:rPr>
        <w:t>Ignacio de Cominges Guerra，Wenting Li， Ren Wang.</w:t>
      </w:r>
      <w:r>
        <w:rPr>
          <w:rFonts w:hint="eastAsia"/>
          <w:color w:val="auto"/>
        </w:rPr>
        <w:t xml:space="preserve"> </w:t>
      </w:r>
      <w:r>
        <w:rPr>
          <w:color w:val="auto"/>
        </w:rPr>
        <w:t>A Comprehensive Analysis of PINNs for Power System Transient Stability[J].</w:t>
      </w:r>
      <w:r>
        <w:rPr>
          <w:rFonts w:hint="eastAsia"/>
          <w:color w:val="auto"/>
        </w:rPr>
        <w:t xml:space="preserve"> </w:t>
      </w:r>
      <w:r>
        <w:rPr>
          <w:color w:val="auto"/>
        </w:rPr>
        <w:t>Electronics, 2024(2):17-33.</w:t>
      </w:r>
      <w:bookmarkEnd w:id="212"/>
    </w:p>
    <w:p w14:paraId="1069C7CB">
      <w:pPr>
        <w:numPr>
          <w:ilvl w:val="0"/>
          <w:numId w:val="3"/>
        </w:numPr>
        <w:snapToGrid w:val="0"/>
        <w:spacing w:after="160" w:line="400" w:lineRule="exact"/>
        <w:contextualSpacing/>
        <w:rPr>
          <w:color w:val="auto"/>
        </w:rPr>
      </w:pPr>
      <w:bookmarkStart w:id="213" w:name="_Ref193809590"/>
      <w:r>
        <w:rPr>
          <w:color w:val="auto"/>
        </w:rPr>
        <w:t>雷川丽,</w:t>
      </w:r>
      <w:r>
        <w:rPr>
          <w:rFonts w:hint="eastAsia"/>
          <w:color w:val="auto"/>
        </w:rPr>
        <w:t xml:space="preserve"> </w:t>
      </w:r>
      <w:r>
        <w:rPr>
          <w:color w:val="auto"/>
        </w:rPr>
        <w:t>刘博,</w:t>
      </w:r>
      <w:r>
        <w:rPr>
          <w:rFonts w:hint="eastAsia"/>
          <w:color w:val="auto"/>
        </w:rPr>
        <w:t xml:space="preserve"> </w:t>
      </w:r>
      <w:r>
        <w:rPr>
          <w:color w:val="auto"/>
        </w:rPr>
        <w:t>苏黎,</w:t>
      </w:r>
      <w:r>
        <w:rPr>
          <w:rFonts w:hint="eastAsia"/>
          <w:color w:val="auto"/>
        </w:rPr>
        <w:t xml:space="preserve"> </w:t>
      </w:r>
      <w:r>
        <w:rPr>
          <w:color w:val="auto"/>
        </w:rPr>
        <w:t>等.</w:t>
      </w:r>
      <w:r>
        <w:rPr>
          <w:rFonts w:hint="eastAsia"/>
          <w:color w:val="auto"/>
        </w:rPr>
        <w:t xml:space="preserve"> </w:t>
      </w:r>
      <w:r>
        <w:rPr>
          <w:color w:val="auto"/>
        </w:rPr>
        <w:t>电网投资项目后评估模型研究——以湖南电力Y公司投资项目为例[J].</w:t>
      </w:r>
      <w:r>
        <w:rPr>
          <w:rFonts w:hint="eastAsia"/>
          <w:color w:val="auto"/>
        </w:rPr>
        <w:t xml:space="preserve"> </w:t>
      </w:r>
      <w:r>
        <w:rPr>
          <w:color w:val="auto"/>
        </w:rPr>
        <w:t>中国集体经济,</w:t>
      </w:r>
      <w:r>
        <w:rPr>
          <w:rFonts w:hint="eastAsia"/>
          <w:color w:val="auto"/>
        </w:rPr>
        <w:t xml:space="preserve"> </w:t>
      </w:r>
      <w:r>
        <w:rPr>
          <w:color w:val="auto"/>
        </w:rPr>
        <w:t>2024,(03):87-90.</w:t>
      </w:r>
      <w:bookmarkEnd w:id="213"/>
    </w:p>
    <w:p w14:paraId="3714B622">
      <w:pPr>
        <w:numPr>
          <w:ilvl w:val="0"/>
          <w:numId w:val="3"/>
        </w:numPr>
        <w:snapToGrid w:val="0"/>
        <w:spacing w:after="160" w:line="400" w:lineRule="exact"/>
        <w:contextualSpacing/>
        <w:rPr>
          <w:color w:val="auto"/>
        </w:rPr>
      </w:pPr>
      <w:bookmarkStart w:id="214" w:name="_Ref193809598"/>
      <w:r>
        <w:rPr>
          <w:color w:val="auto"/>
        </w:rPr>
        <w:t>Marlin S , Jebaseelan S .</w:t>
      </w:r>
      <w:r>
        <w:rPr>
          <w:rFonts w:hint="eastAsia"/>
          <w:color w:val="auto"/>
        </w:rPr>
        <w:t xml:space="preserve"> </w:t>
      </w:r>
      <w:r>
        <w:rPr>
          <w:color w:val="auto"/>
        </w:rPr>
        <w:t>A comprehensive comparative study on intelligence based optimization algorithms used for maximum power tracking in grid-PV systems[J].</w:t>
      </w:r>
      <w:r>
        <w:rPr>
          <w:rFonts w:hint="eastAsia"/>
          <w:color w:val="auto"/>
        </w:rPr>
        <w:t xml:space="preserve"> </w:t>
      </w:r>
      <w:r>
        <w:rPr>
          <w:color w:val="auto"/>
        </w:rPr>
        <w:t>Sustainable computing: Informatics and systems, 2024(41):940-946.</w:t>
      </w:r>
      <w:bookmarkEnd w:id="214"/>
    </w:p>
    <w:p w14:paraId="74999D2A">
      <w:pPr>
        <w:numPr>
          <w:ilvl w:val="0"/>
          <w:numId w:val="3"/>
        </w:numPr>
        <w:snapToGrid w:val="0"/>
        <w:spacing w:after="160" w:line="400" w:lineRule="exact"/>
        <w:contextualSpacing/>
        <w:rPr>
          <w:color w:val="auto"/>
        </w:rPr>
      </w:pPr>
      <w:bookmarkStart w:id="215" w:name="_Ref193813157"/>
      <w:r>
        <w:rPr>
          <w:color w:val="auto"/>
        </w:rPr>
        <w:t>袁亚,</w:t>
      </w:r>
      <w:r>
        <w:rPr>
          <w:rFonts w:hint="eastAsia"/>
          <w:color w:val="auto"/>
        </w:rPr>
        <w:t xml:space="preserve"> </w:t>
      </w:r>
      <w:r>
        <w:rPr>
          <w:color w:val="auto"/>
        </w:rPr>
        <w:t>冯宗琮,</w:t>
      </w:r>
      <w:r>
        <w:rPr>
          <w:rFonts w:hint="eastAsia"/>
          <w:color w:val="auto"/>
        </w:rPr>
        <w:t xml:space="preserve"> </w:t>
      </w:r>
      <w:r>
        <w:rPr>
          <w:color w:val="auto"/>
        </w:rPr>
        <w:t>陈超,</w:t>
      </w:r>
      <w:r>
        <w:rPr>
          <w:rFonts w:hint="eastAsia"/>
          <w:color w:val="auto"/>
        </w:rPr>
        <w:t xml:space="preserve"> </w:t>
      </w:r>
      <w:r>
        <w:rPr>
          <w:color w:val="auto"/>
        </w:rPr>
        <w:t>等.</w:t>
      </w:r>
      <w:r>
        <w:rPr>
          <w:rFonts w:hint="eastAsia"/>
          <w:color w:val="auto"/>
        </w:rPr>
        <w:t xml:space="preserve"> </w:t>
      </w:r>
      <w:r>
        <w:rPr>
          <w:color w:val="auto"/>
        </w:rPr>
        <w:t>电网生产大修项目投资经济性测算研究[J].</w:t>
      </w:r>
      <w:r>
        <w:rPr>
          <w:rFonts w:hint="eastAsia"/>
          <w:color w:val="auto"/>
        </w:rPr>
        <w:t xml:space="preserve"> </w:t>
      </w:r>
      <w:r>
        <w:rPr>
          <w:color w:val="auto"/>
        </w:rPr>
        <w:t>电工技术, 2024(20):77-79.</w:t>
      </w:r>
      <w:bookmarkEnd w:id="215"/>
    </w:p>
    <w:p w14:paraId="31D63802">
      <w:pPr>
        <w:numPr>
          <w:ilvl w:val="0"/>
          <w:numId w:val="3"/>
        </w:numPr>
        <w:snapToGrid w:val="0"/>
        <w:spacing w:after="160" w:line="400" w:lineRule="exact"/>
        <w:contextualSpacing/>
        <w:rPr>
          <w:color w:val="auto"/>
        </w:rPr>
      </w:pPr>
      <w:bookmarkStart w:id="216" w:name="_Ref193813192"/>
      <w:r>
        <w:rPr>
          <w:color w:val="auto"/>
        </w:rPr>
        <w:t>冯爽爽.</w:t>
      </w:r>
      <w:r>
        <w:rPr>
          <w:rFonts w:hint="eastAsia"/>
          <w:color w:val="auto"/>
        </w:rPr>
        <w:t xml:space="preserve"> </w:t>
      </w:r>
      <w:r>
        <w:rPr>
          <w:color w:val="auto"/>
        </w:rPr>
        <w:t>基于</w:t>
      </w:r>
      <w:r>
        <w:rPr>
          <w:rFonts w:hint="eastAsia"/>
          <w:color w:val="auto"/>
        </w:rPr>
        <w:t>“</w:t>
      </w:r>
      <w:r>
        <w:rPr>
          <w:color w:val="auto"/>
        </w:rPr>
        <w:t>能力—需求</w:t>
      </w:r>
      <w:r>
        <w:rPr>
          <w:rFonts w:hint="eastAsia"/>
          <w:color w:val="auto"/>
        </w:rPr>
        <w:t>”</w:t>
      </w:r>
      <w:r>
        <w:rPr>
          <w:color w:val="auto"/>
        </w:rPr>
        <w:t>二元评估模型的电网项目投资模式优化分析[J].</w:t>
      </w:r>
      <w:r>
        <w:rPr>
          <w:rFonts w:hint="eastAsia"/>
          <w:color w:val="auto"/>
        </w:rPr>
        <w:t xml:space="preserve"> </w:t>
      </w:r>
      <w:r>
        <w:rPr>
          <w:color w:val="auto"/>
        </w:rPr>
        <w:t>中国科技投资, 2023(31):321-323.</w:t>
      </w:r>
      <w:bookmarkEnd w:id="216"/>
    </w:p>
    <w:p w14:paraId="026A64DF">
      <w:pPr>
        <w:numPr>
          <w:ilvl w:val="0"/>
          <w:numId w:val="3"/>
        </w:numPr>
        <w:snapToGrid w:val="0"/>
        <w:spacing w:after="160" w:line="400" w:lineRule="exact"/>
        <w:contextualSpacing/>
        <w:rPr>
          <w:color w:val="auto"/>
        </w:rPr>
      </w:pPr>
      <w:bookmarkStart w:id="217" w:name="_Ref193994973"/>
      <w:bookmarkStart w:id="218" w:name="_Ref193813211"/>
      <w:bookmarkStart w:id="219" w:name="_Ref193102622"/>
      <w:r>
        <w:rPr>
          <w:color w:val="auto"/>
        </w:rPr>
        <w:t>杨满载,</w:t>
      </w:r>
      <w:r>
        <w:rPr>
          <w:rFonts w:hint="eastAsia"/>
          <w:color w:val="auto"/>
        </w:rPr>
        <w:t xml:space="preserve"> </w:t>
      </w:r>
      <w:r>
        <w:rPr>
          <w:color w:val="auto"/>
        </w:rPr>
        <w:t>雷昊,</w:t>
      </w:r>
      <w:r>
        <w:rPr>
          <w:rFonts w:hint="eastAsia"/>
          <w:color w:val="auto"/>
        </w:rPr>
        <w:t xml:space="preserve"> </w:t>
      </w:r>
      <w:r>
        <w:rPr>
          <w:color w:val="auto"/>
        </w:rPr>
        <w:t>王琳,</w:t>
      </w:r>
      <w:r>
        <w:rPr>
          <w:rFonts w:hint="eastAsia"/>
          <w:color w:val="auto"/>
        </w:rPr>
        <w:t xml:space="preserve"> </w:t>
      </w:r>
      <w:r>
        <w:rPr>
          <w:color w:val="auto"/>
        </w:rPr>
        <w:t>等.</w:t>
      </w:r>
      <w:r>
        <w:rPr>
          <w:rFonts w:hint="eastAsia"/>
          <w:color w:val="auto"/>
        </w:rPr>
        <w:t xml:space="preserve"> </w:t>
      </w:r>
      <w:r>
        <w:rPr>
          <w:color w:val="auto"/>
        </w:rPr>
        <w:t>新型电力系统背景下配电网规划投资关键技术研究[C]//中国电机工程学会电力信息化专业委员会，国家电网公司信息通信分公司.2022电力行业信息化年会论文集.国网重庆市电力公司信息通信分公司，2023:521-528.</w:t>
      </w:r>
      <w:bookmarkEnd w:id="217"/>
    </w:p>
    <w:p w14:paraId="238F3CC9">
      <w:pPr>
        <w:numPr>
          <w:ilvl w:val="0"/>
          <w:numId w:val="3"/>
        </w:numPr>
        <w:snapToGrid w:val="0"/>
        <w:spacing w:after="160" w:line="400" w:lineRule="exact"/>
        <w:contextualSpacing/>
        <w:rPr>
          <w:color w:val="auto"/>
        </w:rPr>
      </w:pPr>
      <w:bookmarkStart w:id="220" w:name="_Ref193994993"/>
      <w:r>
        <w:rPr>
          <w:color w:val="auto"/>
        </w:rPr>
        <w:t>Abdulwahed H S, Mahmood F H, Resen A K.</w:t>
      </w:r>
      <w:r>
        <w:rPr>
          <w:rFonts w:hint="eastAsia"/>
          <w:color w:val="auto"/>
        </w:rPr>
        <w:t xml:space="preserve"> </w:t>
      </w:r>
      <w:r>
        <w:rPr>
          <w:color w:val="auto"/>
        </w:rPr>
        <w:t xml:space="preserve">Comprehensive </w:t>
      </w:r>
      <w:r>
        <w:rPr>
          <w:rFonts w:hint="eastAsia"/>
          <w:color w:val="auto"/>
        </w:rPr>
        <w:t>a</w:t>
      </w:r>
      <w:r>
        <w:rPr>
          <w:color w:val="auto"/>
        </w:rPr>
        <w:t xml:space="preserve">nalysis of 100 MW </w:t>
      </w:r>
      <w:r>
        <w:rPr>
          <w:rFonts w:hint="eastAsia"/>
          <w:color w:val="auto"/>
        </w:rPr>
        <w:t>w</w:t>
      </w:r>
      <w:r>
        <w:rPr>
          <w:color w:val="auto"/>
        </w:rPr>
        <w:t xml:space="preserve">ind </w:t>
      </w:r>
      <w:r>
        <w:rPr>
          <w:rFonts w:hint="eastAsia"/>
          <w:color w:val="auto"/>
        </w:rPr>
        <w:t>f</w:t>
      </w:r>
      <w:r>
        <w:rPr>
          <w:color w:val="auto"/>
        </w:rPr>
        <w:t xml:space="preserve">arm </w:t>
      </w:r>
      <w:r>
        <w:rPr>
          <w:rFonts w:hint="eastAsia"/>
          <w:color w:val="auto"/>
        </w:rPr>
        <w:t>l</w:t>
      </w:r>
      <w:r>
        <w:rPr>
          <w:color w:val="auto"/>
        </w:rPr>
        <w:t xml:space="preserve">osses and </w:t>
      </w:r>
      <w:r>
        <w:rPr>
          <w:rFonts w:hint="eastAsia"/>
          <w:color w:val="auto"/>
        </w:rPr>
        <w:t>t</w:t>
      </w:r>
      <w:r>
        <w:rPr>
          <w:color w:val="auto"/>
        </w:rPr>
        <w:t xml:space="preserve">heir </w:t>
      </w:r>
      <w:r>
        <w:rPr>
          <w:rFonts w:hint="eastAsia"/>
          <w:color w:val="auto"/>
        </w:rPr>
        <w:t>f</w:t>
      </w:r>
      <w:r>
        <w:rPr>
          <w:color w:val="auto"/>
        </w:rPr>
        <w:t xml:space="preserve">inancial </w:t>
      </w:r>
      <w:r>
        <w:rPr>
          <w:rFonts w:hint="eastAsia"/>
          <w:color w:val="auto"/>
        </w:rPr>
        <w:t>i</w:t>
      </w:r>
      <w:r>
        <w:rPr>
          <w:color w:val="auto"/>
        </w:rPr>
        <w:t xml:space="preserve">mpacts: </w:t>
      </w:r>
      <w:r>
        <w:rPr>
          <w:rFonts w:hint="eastAsia"/>
          <w:color w:val="auto"/>
        </w:rPr>
        <w:t>a</w:t>
      </w:r>
      <w:r>
        <w:rPr>
          <w:color w:val="auto"/>
        </w:rPr>
        <w:t xml:space="preserve"> </w:t>
      </w:r>
      <w:r>
        <w:rPr>
          <w:rFonts w:hint="eastAsia"/>
          <w:color w:val="auto"/>
        </w:rPr>
        <w:t>s</w:t>
      </w:r>
      <w:r>
        <w:rPr>
          <w:color w:val="auto"/>
        </w:rPr>
        <w:t xml:space="preserve">tudy on </w:t>
      </w:r>
      <w:r>
        <w:rPr>
          <w:rFonts w:hint="eastAsia"/>
          <w:color w:val="auto"/>
        </w:rPr>
        <w:t>a</w:t>
      </w:r>
      <w:r>
        <w:rPr>
          <w:color w:val="auto"/>
        </w:rPr>
        <w:t xml:space="preserve">rray </w:t>
      </w:r>
      <w:r>
        <w:rPr>
          <w:rFonts w:hint="eastAsia"/>
          <w:color w:val="auto"/>
        </w:rPr>
        <w:t>l</w:t>
      </w:r>
      <w:r>
        <w:rPr>
          <w:color w:val="auto"/>
        </w:rPr>
        <w:t xml:space="preserve">osses </w:t>
      </w:r>
      <w:r>
        <w:rPr>
          <w:rFonts w:hint="eastAsia"/>
          <w:color w:val="auto"/>
        </w:rPr>
        <w:t>a</w:t>
      </w:r>
      <w:r>
        <w:rPr>
          <w:color w:val="auto"/>
        </w:rPr>
        <w:t xml:space="preserve">cross </w:t>
      </w:r>
      <w:r>
        <w:rPr>
          <w:rFonts w:hint="eastAsia"/>
          <w:color w:val="auto"/>
        </w:rPr>
        <w:t>m</w:t>
      </w:r>
      <w:r>
        <w:rPr>
          <w:color w:val="auto"/>
        </w:rPr>
        <w:t xml:space="preserve">ultiple </w:t>
      </w:r>
      <w:r>
        <w:rPr>
          <w:rFonts w:hint="eastAsia"/>
          <w:color w:val="auto"/>
        </w:rPr>
        <w:t>t</w:t>
      </w:r>
      <w:r>
        <w:rPr>
          <w:color w:val="auto"/>
        </w:rPr>
        <w:t xml:space="preserve">urbines </w:t>
      </w:r>
      <w:r>
        <w:rPr>
          <w:rFonts w:hint="eastAsia"/>
          <w:color w:val="auto"/>
        </w:rPr>
        <w:t>u</w:t>
      </w:r>
      <w:r>
        <w:rPr>
          <w:color w:val="auto"/>
        </w:rPr>
        <w:t xml:space="preserve">sing a </w:t>
      </w:r>
      <w:r>
        <w:rPr>
          <w:rFonts w:hint="eastAsia"/>
          <w:color w:val="auto"/>
        </w:rPr>
        <w:t>r</w:t>
      </w:r>
      <w:r>
        <w:rPr>
          <w:color w:val="auto"/>
        </w:rPr>
        <w:t xml:space="preserve">etscreen </w:t>
      </w:r>
      <w:r>
        <w:rPr>
          <w:rFonts w:hint="eastAsia"/>
          <w:color w:val="auto"/>
        </w:rPr>
        <w:t>e</w:t>
      </w:r>
      <w:r>
        <w:rPr>
          <w:color w:val="auto"/>
        </w:rPr>
        <w:t xml:space="preserve">xpert </w:t>
      </w:r>
      <w:r>
        <w:rPr>
          <w:rFonts w:hint="eastAsia"/>
          <w:color w:val="auto"/>
        </w:rPr>
        <w:t>s</w:t>
      </w:r>
      <w:r>
        <w:rPr>
          <w:color w:val="auto"/>
        </w:rPr>
        <w:t>oftware[J].</w:t>
      </w:r>
      <w:r>
        <w:rPr>
          <w:rFonts w:hint="eastAsia"/>
          <w:color w:val="auto"/>
        </w:rPr>
        <w:t xml:space="preserve"> </w:t>
      </w:r>
      <w:r>
        <w:rPr>
          <w:color w:val="auto"/>
        </w:rPr>
        <w:t>IOP Publishing Ltd, 2024(8):18-19.</w:t>
      </w:r>
      <w:bookmarkEnd w:id="218"/>
      <w:bookmarkEnd w:id="220"/>
    </w:p>
    <w:p w14:paraId="44401870">
      <w:pPr>
        <w:numPr>
          <w:ilvl w:val="0"/>
          <w:numId w:val="3"/>
        </w:numPr>
        <w:snapToGrid w:val="0"/>
        <w:spacing w:after="160" w:line="400" w:lineRule="exact"/>
        <w:contextualSpacing/>
        <w:rPr>
          <w:color w:val="auto"/>
        </w:rPr>
      </w:pPr>
      <w:bookmarkStart w:id="221" w:name="_Ref193813219"/>
      <w:r>
        <w:rPr>
          <w:color w:val="auto"/>
        </w:rPr>
        <w:t>尹硕,</w:t>
      </w:r>
      <w:r>
        <w:rPr>
          <w:rFonts w:hint="eastAsia"/>
          <w:color w:val="auto"/>
        </w:rPr>
        <w:t xml:space="preserve"> </w:t>
      </w:r>
      <w:r>
        <w:rPr>
          <w:color w:val="auto"/>
        </w:rPr>
        <w:t>韩煦,</w:t>
      </w:r>
      <w:r>
        <w:rPr>
          <w:rFonts w:hint="eastAsia"/>
          <w:color w:val="auto"/>
        </w:rPr>
        <w:t xml:space="preserve"> </w:t>
      </w:r>
      <w:r>
        <w:rPr>
          <w:color w:val="auto"/>
        </w:rPr>
        <w:t>滕越,</w:t>
      </w:r>
      <w:r>
        <w:rPr>
          <w:rFonts w:hint="eastAsia"/>
          <w:color w:val="auto"/>
        </w:rPr>
        <w:t xml:space="preserve"> </w:t>
      </w:r>
      <w:r>
        <w:rPr>
          <w:color w:val="auto"/>
        </w:rPr>
        <w:t>等.</w:t>
      </w:r>
      <w:r>
        <w:rPr>
          <w:rFonts w:hint="eastAsia"/>
          <w:color w:val="auto"/>
        </w:rPr>
        <w:t xml:space="preserve"> </w:t>
      </w:r>
      <w:r>
        <w:rPr>
          <w:color w:val="auto"/>
        </w:rPr>
        <w:t>输配电价改革下电网投资需求与投资能力协调优化研究[J].</w:t>
      </w:r>
      <w:r>
        <w:rPr>
          <w:rFonts w:hint="eastAsia"/>
          <w:color w:val="auto"/>
        </w:rPr>
        <w:t xml:space="preserve"> </w:t>
      </w:r>
      <w:r>
        <w:rPr>
          <w:color w:val="auto"/>
        </w:rPr>
        <w:t>电力需求侧管理, 2023(2):30-35.</w:t>
      </w:r>
      <w:bookmarkEnd w:id="221"/>
    </w:p>
    <w:p w14:paraId="2A3567A4">
      <w:pPr>
        <w:numPr>
          <w:ilvl w:val="0"/>
          <w:numId w:val="3"/>
        </w:numPr>
        <w:snapToGrid w:val="0"/>
        <w:spacing w:after="160" w:line="400" w:lineRule="exact"/>
        <w:contextualSpacing/>
        <w:rPr>
          <w:color w:val="auto"/>
        </w:rPr>
      </w:pPr>
      <w:bookmarkStart w:id="222" w:name="_Ref193813228"/>
      <w:r>
        <w:rPr>
          <w:color w:val="auto"/>
        </w:rPr>
        <w:t>Mohseni S, Brent A C.</w:t>
      </w:r>
      <w:r>
        <w:rPr>
          <w:rFonts w:hint="eastAsia"/>
          <w:color w:val="auto"/>
        </w:rPr>
        <w:t xml:space="preserve"> </w:t>
      </w:r>
      <w:r>
        <w:rPr>
          <w:color w:val="auto"/>
        </w:rPr>
        <w:t xml:space="preserve">Probabilistic </w:t>
      </w:r>
      <w:r>
        <w:rPr>
          <w:rFonts w:hint="eastAsia"/>
          <w:color w:val="auto"/>
        </w:rPr>
        <w:t>m</w:t>
      </w:r>
      <w:r>
        <w:rPr>
          <w:color w:val="auto"/>
        </w:rPr>
        <w:t xml:space="preserve">icrogrid </w:t>
      </w:r>
      <w:r>
        <w:rPr>
          <w:rFonts w:hint="eastAsia"/>
          <w:color w:val="auto"/>
        </w:rPr>
        <w:t>i</w:t>
      </w:r>
      <w:r>
        <w:rPr>
          <w:color w:val="auto"/>
        </w:rPr>
        <w:t xml:space="preserve">nvestment </w:t>
      </w:r>
      <w:r>
        <w:rPr>
          <w:rFonts w:hint="eastAsia"/>
          <w:color w:val="auto"/>
        </w:rPr>
        <w:t>p</w:t>
      </w:r>
      <w:r>
        <w:rPr>
          <w:color w:val="auto"/>
        </w:rPr>
        <w:t xml:space="preserve">lanning with </w:t>
      </w:r>
      <w:r>
        <w:rPr>
          <w:rFonts w:hint="eastAsia"/>
          <w:color w:val="auto"/>
        </w:rPr>
        <w:t>i</w:t>
      </w:r>
      <w:r>
        <w:rPr>
          <w:color w:val="auto"/>
        </w:rPr>
        <w:t xml:space="preserve">ntegrated </w:t>
      </w:r>
      <w:r>
        <w:rPr>
          <w:rFonts w:hint="eastAsia"/>
          <w:color w:val="auto"/>
        </w:rPr>
        <w:t>g</w:t>
      </w:r>
      <w:r>
        <w:rPr>
          <w:color w:val="auto"/>
        </w:rPr>
        <w:t>ame-</w:t>
      </w:r>
      <w:r>
        <w:rPr>
          <w:rFonts w:hint="eastAsia"/>
          <w:color w:val="auto"/>
        </w:rPr>
        <w:t>t</w:t>
      </w:r>
      <w:r>
        <w:rPr>
          <w:color w:val="auto"/>
        </w:rPr>
        <w:t xml:space="preserve">heoretic </w:t>
      </w:r>
      <w:r>
        <w:rPr>
          <w:rFonts w:hint="eastAsia"/>
          <w:color w:val="auto"/>
        </w:rPr>
        <w:t>d</w:t>
      </w:r>
      <w:r>
        <w:rPr>
          <w:color w:val="auto"/>
        </w:rPr>
        <w:t xml:space="preserve">emand </w:t>
      </w:r>
      <w:r>
        <w:rPr>
          <w:rFonts w:hint="eastAsia"/>
          <w:color w:val="auto"/>
        </w:rPr>
        <w:t>r</w:t>
      </w:r>
      <w:r>
        <w:rPr>
          <w:color w:val="auto"/>
        </w:rPr>
        <w:t xml:space="preserve">esponse </w:t>
      </w:r>
      <w:r>
        <w:rPr>
          <w:rFonts w:hint="eastAsia"/>
          <w:color w:val="auto"/>
        </w:rPr>
        <w:t>m</w:t>
      </w:r>
      <w:r>
        <w:rPr>
          <w:color w:val="auto"/>
        </w:rPr>
        <w:t>anagement[J].</w:t>
      </w:r>
      <w:r>
        <w:rPr>
          <w:rFonts w:hint="eastAsia"/>
          <w:color w:val="auto"/>
        </w:rPr>
        <w:t xml:space="preserve"> </w:t>
      </w:r>
      <w:r>
        <w:rPr>
          <w:color w:val="auto"/>
        </w:rPr>
        <w:t>Springer, Singapore, 2024(7):1007-1008.</w:t>
      </w:r>
      <w:bookmarkEnd w:id="222"/>
    </w:p>
    <w:p w14:paraId="03633B11">
      <w:pPr>
        <w:numPr>
          <w:ilvl w:val="0"/>
          <w:numId w:val="3"/>
        </w:numPr>
        <w:snapToGrid w:val="0"/>
        <w:spacing w:after="160" w:line="400" w:lineRule="exact"/>
        <w:contextualSpacing/>
        <w:rPr>
          <w:color w:val="auto"/>
        </w:rPr>
      </w:pPr>
      <w:bookmarkStart w:id="223" w:name="_Ref193813238"/>
      <w:bookmarkStart w:id="224" w:name="_Ref193823967"/>
      <w:r>
        <w:rPr>
          <w:color w:val="auto"/>
        </w:rPr>
        <w:t>李少强.</w:t>
      </w:r>
      <w:r>
        <w:rPr>
          <w:rFonts w:hint="eastAsia"/>
          <w:color w:val="auto"/>
        </w:rPr>
        <w:t xml:space="preserve"> </w:t>
      </w:r>
      <w:r>
        <w:rPr>
          <w:color w:val="auto"/>
        </w:rPr>
        <w:t>电网基建项目投资统计核算方法变革对电网精准投资的影响研究[J].</w:t>
      </w:r>
      <w:r>
        <w:rPr>
          <w:rFonts w:hint="eastAsia"/>
          <w:color w:val="auto"/>
        </w:rPr>
        <w:t xml:space="preserve"> </w:t>
      </w:r>
      <w:r>
        <w:rPr>
          <w:color w:val="auto"/>
        </w:rPr>
        <w:t>价值工程, 2024, 43(18):11-14.</w:t>
      </w:r>
      <w:bookmarkEnd w:id="223"/>
      <w:bookmarkEnd w:id="224"/>
    </w:p>
    <w:p w14:paraId="4808BFD5">
      <w:pPr>
        <w:numPr>
          <w:ilvl w:val="0"/>
          <w:numId w:val="3"/>
        </w:numPr>
        <w:snapToGrid w:val="0"/>
        <w:spacing w:after="160" w:line="400" w:lineRule="exact"/>
        <w:contextualSpacing/>
        <w:rPr>
          <w:color w:val="auto"/>
        </w:rPr>
      </w:pPr>
      <w:bookmarkStart w:id="225" w:name="_Ref193824087"/>
      <w:bookmarkStart w:id="226" w:name="_Ref193813389"/>
      <w:r>
        <w:rPr>
          <w:color w:val="auto"/>
        </w:rPr>
        <w:t>刘明华,</w:t>
      </w:r>
      <w:r>
        <w:rPr>
          <w:rFonts w:hint="eastAsia"/>
          <w:color w:val="auto"/>
        </w:rPr>
        <w:t xml:space="preserve"> </w:t>
      </w:r>
      <w:r>
        <w:rPr>
          <w:color w:val="auto"/>
        </w:rPr>
        <w:t>刘文霞,</w:t>
      </w:r>
      <w:r>
        <w:rPr>
          <w:rFonts w:hint="eastAsia"/>
          <w:color w:val="auto"/>
        </w:rPr>
        <w:t xml:space="preserve"> </w:t>
      </w:r>
      <w:r>
        <w:rPr>
          <w:color w:val="auto"/>
        </w:rPr>
        <w:t>刘晨苗,</w:t>
      </w:r>
      <w:r>
        <w:rPr>
          <w:rFonts w:hint="eastAsia"/>
          <w:color w:val="auto"/>
        </w:rPr>
        <w:t xml:space="preserve"> </w:t>
      </w:r>
      <w:r>
        <w:rPr>
          <w:color w:val="auto"/>
        </w:rPr>
        <w:t>等.</w:t>
      </w:r>
      <w:r>
        <w:rPr>
          <w:rFonts w:hint="eastAsia"/>
          <w:color w:val="auto"/>
        </w:rPr>
        <w:t xml:space="preserve"> </w:t>
      </w:r>
      <w:r>
        <w:rPr>
          <w:color w:val="auto"/>
        </w:rPr>
        <w:t>基于全息风险评估和组合赋权的电网建设项目投资决策方法[J].</w:t>
      </w:r>
      <w:r>
        <w:rPr>
          <w:rFonts w:hint="eastAsia"/>
          <w:color w:val="auto"/>
        </w:rPr>
        <w:t xml:space="preserve"> </w:t>
      </w:r>
      <w:r>
        <w:rPr>
          <w:color w:val="auto"/>
        </w:rPr>
        <w:t>现代电力,</w:t>
      </w:r>
      <w:r>
        <w:rPr>
          <w:rFonts w:hint="eastAsia"/>
          <w:color w:val="auto"/>
        </w:rPr>
        <w:t xml:space="preserve"> </w:t>
      </w:r>
      <w:r>
        <w:rPr>
          <w:color w:val="auto"/>
        </w:rPr>
        <w:t>2019,</w:t>
      </w:r>
      <w:r>
        <w:rPr>
          <w:rFonts w:hint="eastAsia"/>
          <w:color w:val="auto"/>
        </w:rPr>
        <w:t xml:space="preserve"> </w:t>
      </w:r>
      <w:r>
        <w:rPr>
          <w:color w:val="auto"/>
        </w:rPr>
        <w:t>36(5):87-94.</w:t>
      </w:r>
      <w:bookmarkEnd w:id="225"/>
    </w:p>
    <w:p w14:paraId="12B4351C">
      <w:pPr>
        <w:numPr>
          <w:ilvl w:val="0"/>
          <w:numId w:val="3"/>
        </w:numPr>
        <w:snapToGrid w:val="0"/>
        <w:spacing w:after="160" w:line="400" w:lineRule="exact"/>
        <w:contextualSpacing/>
        <w:rPr>
          <w:color w:val="auto"/>
        </w:rPr>
      </w:pPr>
      <w:bookmarkStart w:id="227" w:name="_Ref193824102"/>
      <w:r>
        <w:rPr>
          <w:color w:val="auto"/>
        </w:rPr>
        <w:t>余熠薇.</w:t>
      </w:r>
      <w:r>
        <w:rPr>
          <w:rFonts w:hint="eastAsia"/>
          <w:color w:val="auto"/>
        </w:rPr>
        <w:t xml:space="preserve"> </w:t>
      </w:r>
      <w:r>
        <w:rPr>
          <w:color w:val="auto"/>
        </w:rPr>
        <w:t>输配电价监审下电网投资影响因素与决策优化研究[D].</w:t>
      </w:r>
      <w:r>
        <w:rPr>
          <w:rFonts w:hint="eastAsia"/>
          <w:color w:val="auto"/>
        </w:rPr>
        <w:t xml:space="preserve"> </w:t>
      </w:r>
      <w:r>
        <w:rPr>
          <w:color w:val="auto"/>
        </w:rPr>
        <w:t>华北电力大学(北京),</w:t>
      </w:r>
      <w:r>
        <w:rPr>
          <w:rFonts w:hint="eastAsia"/>
          <w:color w:val="auto"/>
        </w:rPr>
        <w:t xml:space="preserve"> </w:t>
      </w:r>
      <w:r>
        <w:rPr>
          <w:color w:val="auto"/>
        </w:rPr>
        <w:t>2024.</w:t>
      </w:r>
      <w:bookmarkEnd w:id="227"/>
      <w:r>
        <w:rPr>
          <w:color w:val="auto"/>
        </w:rPr>
        <w:t>51-52.</w:t>
      </w:r>
    </w:p>
    <w:p w14:paraId="017D2152">
      <w:pPr>
        <w:numPr>
          <w:ilvl w:val="0"/>
          <w:numId w:val="3"/>
        </w:numPr>
        <w:snapToGrid w:val="0"/>
        <w:spacing w:after="160" w:line="400" w:lineRule="exact"/>
        <w:contextualSpacing/>
        <w:rPr>
          <w:color w:val="auto"/>
        </w:rPr>
      </w:pPr>
      <w:bookmarkStart w:id="228" w:name="_Ref193824120"/>
      <w:r>
        <w:rPr>
          <w:color w:val="auto"/>
        </w:rPr>
        <w:t>杨启雄.</w:t>
      </w:r>
      <w:r>
        <w:rPr>
          <w:rFonts w:hint="eastAsia"/>
          <w:color w:val="auto"/>
        </w:rPr>
        <w:t xml:space="preserve"> </w:t>
      </w:r>
      <w:r>
        <w:rPr>
          <w:color w:val="auto"/>
        </w:rPr>
        <w:t>考虑投资效率与风险均衡的电网基建投资组合与时序优化策略研究[D].</w:t>
      </w:r>
      <w:r>
        <w:rPr>
          <w:rFonts w:hint="eastAsia"/>
          <w:color w:val="auto"/>
        </w:rPr>
        <w:t xml:space="preserve"> </w:t>
      </w:r>
      <w:r>
        <w:rPr>
          <w:color w:val="auto"/>
        </w:rPr>
        <w:t>湖南大学,</w:t>
      </w:r>
      <w:r>
        <w:rPr>
          <w:rFonts w:hint="eastAsia"/>
          <w:color w:val="auto"/>
        </w:rPr>
        <w:t xml:space="preserve"> </w:t>
      </w:r>
      <w:r>
        <w:rPr>
          <w:color w:val="auto"/>
        </w:rPr>
        <w:t>2023.</w:t>
      </w:r>
      <w:bookmarkEnd w:id="228"/>
      <w:r>
        <w:rPr>
          <w:color w:val="auto"/>
        </w:rPr>
        <w:t>47-48.</w:t>
      </w:r>
    </w:p>
    <w:p w14:paraId="52D963E3">
      <w:pPr>
        <w:numPr>
          <w:ilvl w:val="0"/>
          <w:numId w:val="3"/>
        </w:numPr>
        <w:snapToGrid w:val="0"/>
        <w:spacing w:after="160" w:line="400" w:lineRule="exact"/>
        <w:contextualSpacing/>
        <w:rPr>
          <w:color w:val="auto"/>
        </w:rPr>
      </w:pPr>
      <w:bookmarkStart w:id="229" w:name="_Ref193824169"/>
      <w:r>
        <w:rPr>
          <w:color w:val="auto"/>
        </w:rPr>
        <w:t>李刚,</w:t>
      </w:r>
      <w:r>
        <w:rPr>
          <w:rFonts w:hint="eastAsia"/>
          <w:color w:val="auto"/>
        </w:rPr>
        <w:t xml:space="preserve"> </w:t>
      </w:r>
      <w:r>
        <w:rPr>
          <w:color w:val="auto"/>
        </w:rPr>
        <w:t>方鸿,</w:t>
      </w:r>
      <w:r>
        <w:rPr>
          <w:rFonts w:hint="eastAsia"/>
          <w:color w:val="auto"/>
        </w:rPr>
        <w:t xml:space="preserve"> </w:t>
      </w:r>
      <w:r>
        <w:rPr>
          <w:color w:val="auto"/>
        </w:rPr>
        <w:t>刘云鹏,</w:t>
      </w:r>
      <w:r>
        <w:rPr>
          <w:rFonts w:hint="eastAsia"/>
          <w:color w:val="auto"/>
        </w:rPr>
        <w:t xml:space="preserve"> </w:t>
      </w:r>
      <w:r>
        <w:rPr>
          <w:color w:val="auto"/>
        </w:rPr>
        <w:t>等.</w:t>
      </w:r>
      <w:r>
        <w:rPr>
          <w:rFonts w:hint="eastAsia"/>
          <w:color w:val="auto"/>
        </w:rPr>
        <w:t xml:space="preserve"> </w:t>
      </w:r>
      <w:r>
        <w:rPr>
          <w:color w:val="auto"/>
        </w:rPr>
        <w:t>新型电力系统中的大模型驱动技术:现状,</w:t>
      </w:r>
      <w:r>
        <w:rPr>
          <w:rFonts w:hint="eastAsia"/>
          <w:color w:val="auto"/>
        </w:rPr>
        <w:t xml:space="preserve"> </w:t>
      </w:r>
      <w:r>
        <w:rPr>
          <w:color w:val="auto"/>
        </w:rPr>
        <w:t>机遇与挑战[J].</w:t>
      </w:r>
      <w:r>
        <w:rPr>
          <w:rFonts w:hint="eastAsia"/>
          <w:color w:val="auto"/>
        </w:rPr>
        <w:t xml:space="preserve"> </w:t>
      </w:r>
      <w:r>
        <w:rPr>
          <w:color w:val="auto"/>
        </w:rPr>
        <w:t>高电压技术, 2024(7):2864-2878.</w:t>
      </w:r>
      <w:bookmarkEnd w:id="219"/>
      <w:bookmarkEnd w:id="226"/>
      <w:bookmarkEnd w:id="229"/>
    </w:p>
    <w:p w14:paraId="78D9CFAE">
      <w:pPr>
        <w:numPr>
          <w:ilvl w:val="0"/>
          <w:numId w:val="3"/>
        </w:numPr>
        <w:snapToGrid w:val="0"/>
        <w:spacing w:after="160" w:line="400" w:lineRule="exact"/>
        <w:contextualSpacing/>
        <w:rPr>
          <w:color w:val="auto"/>
        </w:rPr>
      </w:pPr>
      <w:bookmarkStart w:id="230" w:name="_Ref193102635"/>
      <w:r>
        <w:rPr>
          <w:color w:val="auto"/>
        </w:rPr>
        <w:t>张哲亮,</w:t>
      </w:r>
      <w:r>
        <w:rPr>
          <w:rFonts w:hint="eastAsia"/>
          <w:color w:val="auto"/>
        </w:rPr>
        <w:t xml:space="preserve"> </w:t>
      </w:r>
      <w:r>
        <w:rPr>
          <w:color w:val="auto"/>
        </w:rPr>
        <w:t>夏沛,</w:t>
      </w:r>
      <w:r>
        <w:rPr>
          <w:rFonts w:hint="eastAsia"/>
          <w:color w:val="auto"/>
        </w:rPr>
        <w:t xml:space="preserve"> </w:t>
      </w:r>
      <w:r>
        <w:rPr>
          <w:color w:val="auto"/>
        </w:rPr>
        <w:t>张晓星,</w:t>
      </w:r>
      <w:r>
        <w:rPr>
          <w:rFonts w:hint="eastAsia"/>
          <w:color w:val="auto"/>
        </w:rPr>
        <w:t xml:space="preserve"> </w:t>
      </w:r>
      <w:r>
        <w:rPr>
          <w:color w:val="auto"/>
        </w:rPr>
        <w:t>等.</w:t>
      </w:r>
      <w:r>
        <w:rPr>
          <w:rFonts w:hint="eastAsia"/>
          <w:color w:val="auto"/>
        </w:rPr>
        <w:t xml:space="preserve"> </w:t>
      </w:r>
      <w:r>
        <w:rPr>
          <w:color w:val="auto"/>
        </w:rPr>
        <w:t>源-网-荷-储一体化环境下复杂电网投资决策指标体系的研究[J].</w:t>
      </w:r>
      <w:r>
        <w:rPr>
          <w:rFonts w:hint="eastAsia"/>
          <w:color w:val="auto"/>
        </w:rPr>
        <w:t xml:space="preserve"> </w:t>
      </w:r>
      <w:r>
        <w:rPr>
          <w:color w:val="auto"/>
        </w:rPr>
        <w:t>电力科学与技术学报, 2023(3):1-13.</w:t>
      </w:r>
      <w:bookmarkEnd w:id="230"/>
    </w:p>
    <w:p w14:paraId="57014CB5">
      <w:pPr>
        <w:numPr>
          <w:ilvl w:val="0"/>
          <w:numId w:val="3"/>
        </w:numPr>
        <w:snapToGrid w:val="0"/>
        <w:spacing w:after="160" w:line="400" w:lineRule="exact"/>
        <w:contextualSpacing/>
        <w:rPr>
          <w:color w:val="auto"/>
        </w:rPr>
      </w:pPr>
      <w:bookmarkStart w:id="231" w:name="_Ref193102649"/>
      <w:r>
        <w:rPr>
          <w:color w:val="auto"/>
        </w:rPr>
        <w:t>黄琬迪,</w:t>
      </w:r>
      <w:r>
        <w:rPr>
          <w:rFonts w:hint="eastAsia"/>
          <w:color w:val="auto"/>
        </w:rPr>
        <w:t xml:space="preserve"> </w:t>
      </w:r>
      <w:r>
        <w:rPr>
          <w:color w:val="auto"/>
        </w:rPr>
        <w:t>张沈习,</w:t>
      </w:r>
      <w:r>
        <w:rPr>
          <w:rFonts w:hint="eastAsia"/>
          <w:color w:val="auto"/>
        </w:rPr>
        <w:t xml:space="preserve"> </w:t>
      </w:r>
      <w:r>
        <w:rPr>
          <w:color w:val="auto"/>
        </w:rPr>
        <w:t>程浩忠,</w:t>
      </w:r>
      <w:r>
        <w:rPr>
          <w:rFonts w:hint="eastAsia"/>
          <w:color w:val="auto"/>
        </w:rPr>
        <w:t xml:space="preserve"> </w:t>
      </w:r>
      <w:r>
        <w:rPr>
          <w:color w:val="auto"/>
        </w:rPr>
        <w:t>等.</w:t>
      </w:r>
      <w:r>
        <w:rPr>
          <w:rFonts w:hint="eastAsia"/>
          <w:color w:val="auto"/>
        </w:rPr>
        <w:t xml:space="preserve"> </w:t>
      </w:r>
      <w:r>
        <w:rPr>
          <w:color w:val="auto"/>
        </w:rPr>
        <w:t>考虑地区发展阶段不确定性的电网投资决策鲁棒优化[J].</w:t>
      </w:r>
      <w:r>
        <w:rPr>
          <w:rFonts w:hint="eastAsia"/>
          <w:color w:val="auto"/>
        </w:rPr>
        <w:t xml:space="preserve"> </w:t>
      </w:r>
      <w:r>
        <w:rPr>
          <w:color w:val="auto"/>
        </w:rPr>
        <w:t>上海交通大学学报, 2023(11):1455-1464.</w:t>
      </w:r>
      <w:bookmarkEnd w:id="231"/>
    </w:p>
    <w:p w14:paraId="67E89764">
      <w:pPr>
        <w:numPr>
          <w:ilvl w:val="0"/>
          <w:numId w:val="3"/>
        </w:numPr>
        <w:snapToGrid w:val="0"/>
        <w:spacing w:after="160" w:line="400" w:lineRule="exact"/>
        <w:contextualSpacing/>
        <w:rPr>
          <w:color w:val="auto"/>
        </w:rPr>
      </w:pPr>
      <w:bookmarkStart w:id="232" w:name="_Ref193102662"/>
      <w:r>
        <w:rPr>
          <w:color w:val="auto"/>
        </w:rPr>
        <w:t>赵会茹,</w:t>
      </w:r>
      <w:r>
        <w:rPr>
          <w:rFonts w:hint="eastAsia"/>
          <w:color w:val="auto"/>
        </w:rPr>
        <w:t xml:space="preserve"> </w:t>
      </w:r>
      <w:r>
        <w:rPr>
          <w:color w:val="auto"/>
        </w:rPr>
        <w:t>姚满宇,</w:t>
      </w:r>
      <w:r>
        <w:rPr>
          <w:rFonts w:hint="eastAsia"/>
          <w:color w:val="auto"/>
        </w:rPr>
        <w:t xml:space="preserve"> </w:t>
      </w:r>
      <w:r>
        <w:rPr>
          <w:color w:val="auto"/>
        </w:rPr>
        <w:t>李兵抗,</w:t>
      </w:r>
      <w:r>
        <w:rPr>
          <w:rFonts w:hint="eastAsia"/>
          <w:color w:val="auto"/>
        </w:rPr>
        <w:t xml:space="preserve"> </w:t>
      </w:r>
      <w:r>
        <w:rPr>
          <w:color w:val="auto"/>
        </w:rPr>
        <w:t>等.</w:t>
      </w:r>
      <w:r>
        <w:rPr>
          <w:rFonts w:hint="eastAsia"/>
          <w:color w:val="auto"/>
        </w:rPr>
        <w:t xml:space="preserve"> </w:t>
      </w:r>
      <w:r>
        <w:rPr>
          <w:color w:val="auto"/>
        </w:rPr>
        <w:t>考虑乡村振兴贡献度的农网项目投资决策模型[J].</w:t>
      </w:r>
      <w:r>
        <w:rPr>
          <w:rFonts w:hint="eastAsia"/>
          <w:color w:val="auto"/>
        </w:rPr>
        <w:t xml:space="preserve"> </w:t>
      </w:r>
      <w:r>
        <w:rPr>
          <w:color w:val="auto"/>
        </w:rPr>
        <w:t>中国电力, 2024(6):181-192.</w:t>
      </w:r>
      <w:bookmarkEnd w:id="232"/>
    </w:p>
    <w:p w14:paraId="64534523">
      <w:pPr>
        <w:numPr>
          <w:ilvl w:val="0"/>
          <w:numId w:val="3"/>
        </w:numPr>
        <w:snapToGrid w:val="0"/>
        <w:spacing w:after="160" w:line="400" w:lineRule="exact"/>
        <w:contextualSpacing/>
        <w:rPr>
          <w:color w:val="auto"/>
        </w:rPr>
      </w:pPr>
      <w:bookmarkStart w:id="233" w:name="_Ref193826548"/>
      <w:r>
        <w:rPr>
          <w:color w:val="auto"/>
        </w:rPr>
        <w:t>贾凡.</w:t>
      </w:r>
      <w:r>
        <w:rPr>
          <w:rFonts w:hint="eastAsia"/>
          <w:color w:val="auto"/>
        </w:rPr>
        <w:t xml:space="preserve"> </w:t>
      </w:r>
      <w:r>
        <w:rPr>
          <w:color w:val="auto"/>
        </w:rPr>
        <w:t>考虑需求响应的电网企业投资优化[D].</w:t>
      </w:r>
      <w:r>
        <w:rPr>
          <w:rFonts w:hint="eastAsia"/>
          <w:color w:val="auto"/>
        </w:rPr>
        <w:t xml:space="preserve"> </w:t>
      </w:r>
      <w:r>
        <w:rPr>
          <w:color w:val="auto"/>
        </w:rPr>
        <w:t>华北电力大学(北京),</w:t>
      </w:r>
      <w:r>
        <w:rPr>
          <w:rFonts w:hint="eastAsia"/>
          <w:color w:val="auto"/>
        </w:rPr>
        <w:t xml:space="preserve"> </w:t>
      </w:r>
      <w:r>
        <w:rPr>
          <w:color w:val="auto"/>
        </w:rPr>
        <w:t>2023.53-54.</w:t>
      </w:r>
      <w:bookmarkEnd w:id="233"/>
    </w:p>
    <w:p w14:paraId="6C70587A">
      <w:pPr>
        <w:numPr>
          <w:ilvl w:val="0"/>
          <w:numId w:val="3"/>
        </w:numPr>
        <w:snapToGrid w:val="0"/>
        <w:spacing w:after="160" w:line="400" w:lineRule="exact"/>
        <w:contextualSpacing/>
        <w:rPr>
          <w:color w:val="auto"/>
        </w:rPr>
      </w:pPr>
      <w:bookmarkStart w:id="234" w:name="_Ref193102758"/>
      <w:r>
        <w:rPr>
          <w:color w:val="auto"/>
        </w:rPr>
        <w:t>董智,</w:t>
      </w:r>
      <w:r>
        <w:rPr>
          <w:rFonts w:hint="eastAsia"/>
          <w:color w:val="auto"/>
        </w:rPr>
        <w:t xml:space="preserve"> </w:t>
      </w:r>
      <w:r>
        <w:rPr>
          <w:color w:val="auto"/>
        </w:rPr>
        <w:t>吴豫,</w:t>
      </w:r>
      <w:r>
        <w:rPr>
          <w:rFonts w:hint="eastAsia"/>
          <w:color w:val="auto"/>
        </w:rPr>
        <w:t xml:space="preserve"> </w:t>
      </w:r>
      <w:r>
        <w:rPr>
          <w:color w:val="auto"/>
        </w:rPr>
        <w:t>张亚飞,</w:t>
      </w:r>
      <w:r>
        <w:rPr>
          <w:rFonts w:hint="eastAsia"/>
          <w:color w:val="auto"/>
        </w:rPr>
        <w:t xml:space="preserve"> </w:t>
      </w:r>
      <w:r>
        <w:rPr>
          <w:color w:val="auto"/>
        </w:rPr>
        <w:t>等.</w:t>
      </w:r>
      <w:r>
        <w:rPr>
          <w:rFonts w:hint="eastAsia"/>
          <w:color w:val="auto"/>
        </w:rPr>
        <w:t xml:space="preserve"> </w:t>
      </w:r>
      <w:r>
        <w:rPr>
          <w:color w:val="auto"/>
        </w:rPr>
        <w:t>新型电力系统背景下配电网的智能化规划与管理研究[J].</w:t>
      </w:r>
      <w:r>
        <w:rPr>
          <w:rFonts w:hint="eastAsia"/>
          <w:color w:val="auto"/>
        </w:rPr>
        <w:t xml:space="preserve"> </w:t>
      </w:r>
      <w:r>
        <w:rPr>
          <w:color w:val="auto"/>
        </w:rPr>
        <w:t>自动化应用, 2024(24):5023-5047</w:t>
      </w:r>
      <w:bookmarkEnd w:id="234"/>
      <w:r>
        <w:rPr>
          <w:color w:val="auto"/>
        </w:rPr>
        <w:t>.</w:t>
      </w:r>
    </w:p>
    <w:p w14:paraId="2C82060A">
      <w:pPr>
        <w:numPr>
          <w:ilvl w:val="0"/>
          <w:numId w:val="3"/>
        </w:numPr>
        <w:snapToGrid w:val="0"/>
        <w:spacing w:after="160" w:line="400" w:lineRule="exact"/>
        <w:contextualSpacing/>
        <w:rPr>
          <w:color w:val="auto"/>
        </w:rPr>
      </w:pPr>
      <w:bookmarkStart w:id="235" w:name="_Ref193827590"/>
      <w:r>
        <w:rPr>
          <w:color w:val="auto"/>
        </w:rPr>
        <w:t>王永利,</w:t>
      </w:r>
      <w:r>
        <w:rPr>
          <w:rFonts w:hint="eastAsia"/>
          <w:color w:val="auto"/>
        </w:rPr>
        <w:t xml:space="preserve"> </w:t>
      </w:r>
      <w:r>
        <w:rPr>
          <w:color w:val="auto"/>
        </w:rPr>
        <w:t>刘晨,</w:t>
      </w:r>
      <w:r>
        <w:rPr>
          <w:rFonts w:hint="eastAsia"/>
          <w:color w:val="auto"/>
        </w:rPr>
        <w:t xml:space="preserve"> </w:t>
      </w:r>
      <w:r>
        <w:rPr>
          <w:color w:val="auto"/>
        </w:rPr>
        <w:t>马子奔,</w:t>
      </w:r>
      <w:r>
        <w:rPr>
          <w:rFonts w:hint="eastAsia"/>
          <w:color w:val="auto"/>
        </w:rPr>
        <w:t xml:space="preserve"> </w:t>
      </w:r>
      <w:r>
        <w:rPr>
          <w:color w:val="auto"/>
        </w:rPr>
        <w:t>等.</w:t>
      </w:r>
      <w:r>
        <w:rPr>
          <w:rFonts w:hint="eastAsia"/>
          <w:color w:val="auto"/>
        </w:rPr>
        <w:t xml:space="preserve"> </w:t>
      </w:r>
      <w:r>
        <w:rPr>
          <w:color w:val="auto"/>
        </w:rPr>
        <w:t>基于双阶段变异差分进化算法的电网业务组合投资决策优化[J].</w:t>
      </w:r>
      <w:r>
        <w:rPr>
          <w:rFonts w:hint="eastAsia"/>
          <w:color w:val="auto"/>
        </w:rPr>
        <w:t xml:space="preserve"> </w:t>
      </w:r>
      <w:r>
        <w:rPr>
          <w:color w:val="auto"/>
        </w:rPr>
        <w:t>电力需求侧管理,</w:t>
      </w:r>
      <w:r>
        <w:rPr>
          <w:rFonts w:hint="eastAsia"/>
          <w:color w:val="auto"/>
        </w:rPr>
        <w:t xml:space="preserve"> </w:t>
      </w:r>
      <w:r>
        <w:rPr>
          <w:color w:val="auto"/>
        </w:rPr>
        <w:t>2023,</w:t>
      </w:r>
      <w:r>
        <w:rPr>
          <w:rFonts w:hint="eastAsia"/>
          <w:color w:val="auto"/>
        </w:rPr>
        <w:t xml:space="preserve"> </w:t>
      </w:r>
      <w:r>
        <w:rPr>
          <w:color w:val="auto"/>
        </w:rPr>
        <w:t>25(1):20-26.</w:t>
      </w:r>
      <w:bookmarkEnd w:id="235"/>
    </w:p>
    <w:p w14:paraId="6D6F04CB">
      <w:pPr>
        <w:numPr>
          <w:ilvl w:val="0"/>
          <w:numId w:val="3"/>
        </w:numPr>
        <w:snapToGrid w:val="0"/>
        <w:spacing w:after="160" w:line="400" w:lineRule="exact"/>
        <w:contextualSpacing/>
        <w:rPr>
          <w:color w:val="auto"/>
        </w:rPr>
      </w:pPr>
      <w:bookmarkStart w:id="236" w:name="_Ref193828138"/>
      <w:bookmarkStart w:id="237" w:name="_Ref193106886"/>
      <w:r>
        <w:rPr>
          <w:color w:val="auto"/>
        </w:rPr>
        <w:t>谭忠富,</w:t>
      </w:r>
      <w:r>
        <w:rPr>
          <w:rFonts w:hint="eastAsia"/>
          <w:color w:val="auto"/>
        </w:rPr>
        <w:t xml:space="preserve"> </w:t>
      </w:r>
      <w:r>
        <w:rPr>
          <w:color w:val="auto"/>
        </w:rPr>
        <w:t>谭彩霞,</w:t>
      </w:r>
      <w:r>
        <w:rPr>
          <w:rFonts w:hint="eastAsia"/>
          <w:color w:val="auto"/>
        </w:rPr>
        <w:t xml:space="preserve"> </w:t>
      </w:r>
      <w:r>
        <w:rPr>
          <w:color w:val="auto"/>
        </w:rPr>
        <w:t>余雪,</w:t>
      </w:r>
      <w:r>
        <w:rPr>
          <w:rFonts w:hint="eastAsia"/>
          <w:color w:val="auto"/>
        </w:rPr>
        <w:t xml:space="preserve"> </w:t>
      </w:r>
      <w:r>
        <w:rPr>
          <w:color w:val="auto"/>
        </w:rPr>
        <w:t>等.</w:t>
      </w:r>
      <w:r>
        <w:rPr>
          <w:rFonts w:hint="eastAsia"/>
          <w:color w:val="auto"/>
        </w:rPr>
        <w:t xml:space="preserve"> </w:t>
      </w:r>
      <w:r>
        <w:rPr>
          <w:color w:val="auto"/>
        </w:rPr>
        <w:t>基于混合布谷鸟算法的智能电网资决策优化[J].</w:t>
      </w:r>
      <w:r>
        <w:rPr>
          <w:rFonts w:hint="eastAsia"/>
          <w:color w:val="auto"/>
        </w:rPr>
        <w:t xml:space="preserve"> </w:t>
      </w:r>
      <w:r>
        <w:rPr>
          <w:color w:val="auto"/>
        </w:rPr>
        <w:t>智慧电力,</w:t>
      </w:r>
      <w:r>
        <w:rPr>
          <w:rFonts w:hint="eastAsia"/>
          <w:color w:val="auto"/>
        </w:rPr>
        <w:t xml:space="preserve"> </w:t>
      </w:r>
      <w:r>
        <w:rPr>
          <w:color w:val="auto"/>
        </w:rPr>
        <w:t>2021,</w:t>
      </w:r>
      <w:r>
        <w:rPr>
          <w:rFonts w:hint="eastAsia"/>
          <w:color w:val="auto"/>
        </w:rPr>
        <w:t xml:space="preserve"> </w:t>
      </w:r>
      <w:r>
        <w:rPr>
          <w:color w:val="auto"/>
        </w:rPr>
        <w:t>49(4):51-57+88.</w:t>
      </w:r>
      <w:bookmarkEnd w:id="236"/>
    </w:p>
    <w:p w14:paraId="1E43E5A0">
      <w:pPr>
        <w:numPr>
          <w:ilvl w:val="0"/>
          <w:numId w:val="3"/>
        </w:numPr>
        <w:snapToGrid w:val="0"/>
        <w:spacing w:after="160" w:line="400" w:lineRule="exact"/>
        <w:contextualSpacing/>
        <w:rPr>
          <w:color w:val="auto"/>
        </w:rPr>
      </w:pPr>
      <w:bookmarkStart w:id="238" w:name="_Ref193828363"/>
      <w:r>
        <w:rPr>
          <w:color w:val="auto"/>
        </w:rPr>
        <w:t>张园园.</w:t>
      </w:r>
      <w:r>
        <w:rPr>
          <w:rFonts w:hint="eastAsia"/>
          <w:color w:val="auto"/>
        </w:rPr>
        <w:t xml:space="preserve"> </w:t>
      </w:r>
      <w:r>
        <w:rPr>
          <w:color w:val="auto"/>
        </w:rPr>
        <w:t>考虑动态投资时序的多目标电网项目优选决策模型与方法[D].</w:t>
      </w:r>
      <w:r>
        <w:rPr>
          <w:rFonts w:hint="eastAsia"/>
          <w:color w:val="auto"/>
        </w:rPr>
        <w:t xml:space="preserve"> </w:t>
      </w:r>
      <w:r>
        <w:rPr>
          <w:color w:val="auto"/>
        </w:rPr>
        <w:t>湖南大学,</w:t>
      </w:r>
      <w:r>
        <w:rPr>
          <w:rFonts w:hint="eastAsia"/>
          <w:color w:val="auto"/>
        </w:rPr>
        <w:t xml:space="preserve"> </w:t>
      </w:r>
      <w:r>
        <w:rPr>
          <w:color w:val="auto"/>
        </w:rPr>
        <w:t>2022.52-53.</w:t>
      </w:r>
      <w:bookmarkEnd w:id="238"/>
    </w:p>
    <w:p w14:paraId="6BA276ED">
      <w:pPr>
        <w:numPr>
          <w:ilvl w:val="0"/>
          <w:numId w:val="3"/>
        </w:numPr>
        <w:snapToGrid w:val="0"/>
        <w:spacing w:after="160" w:line="400" w:lineRule="exact"/>
        <w:contextualSpacing/>
        <w:rPr>
          <w:color w:val="auto"/>
          <w:highlight w:val="yellow"/>
        </w:rPr>
      </w:pPr>
      <w:bookmarkStart w:id="239" w:name="_Ref193984988"/>
      <w:r>
        <w:rPr>
          <w:color w:val="auto"/>
        </w:rPr>
        <w:t>Lumnitzer E , Fabianova J , Janekova J ,</w:t>
      </w:r>
      <w:r>
        <w:rPr>
          <w:rFonts w:hint="eastAsia"/>
          <w:color w:val="auto"/>
        </w:rPr>
        <w:t xml:space="preserve"> </w:t>
      </w:r>
      <w:r>
        <w:rPr>
          <w:color w:val="auto"/>
        </w:rPr>
        <w:t>et al.</w:t>
      </w:r>
      <w:r>
        <w:rPr>
          <w:rFonts w:hint="eastAsia"/>
          <w:color w:val="auto"/>
        </w:rPr>
        <w:t xml:space="preserve"> </w:t>
      </w:r>
      <w:r>
        <w:rPr>
          <w:color w:val="auto"/>
        </w:rPr>
        <w:t>T</w:t>
      </w:r>
      <w:r>
        <w:rPr>
          <w:rFonts w:hint="eastAsia"/>
          <w:color w:val="auto"/>
        </w:rPr>
        <w:t>he</w:t>
      </w:r>
      <w:r>
        <w:rPr>
          <w:color w:val="auto"/>
        </w:rPr>
        <w:t xml:space="preserve"> </w:t>
      </w:r>
      <w:r>
        <w:rPr>
          <w:rFonts w:hint="eastAsia"/>
          <w:color w:val="auto"/>
        </w:rPr>
        <w:t>use</w:t>
      </w:r>
      <w:r>
        <w:rPr>
          <w:color w:val="auto"/>
        </w:rPr>
        <w:t xml:space="preserve"> </w:t>
      </w:r>
      <w:r>
        <w:rPr>
          <w:rFonts w:hint="eastAsia"/>
          <w:color w:val="auto"/>
        </w:rPr>
        <w:t>of</w:t>
      </w:r>
      <w:r>
        <w:rPr>
          <w:color w:val="auto"/>
        </w:rPr>
        <w:t xml:space="preserve"> </w:t>
      </w:r>
      <w:r>
        <w:rPr>
          <w:rFonts w:hint="eastAsia"/>
          <w:color w:val="auto"/>
        </w:rPr>
        <w:t>simulations in investment decision-making and financing</w:t>
      </w:r>
      <w:r>
        <w:rPr>
          <w:color w:val="auto"/>
        </w:rPr>
        <w:t>[J].</w:t>
      </w:r>
      <w:r>
        <w:rPr>
          <w:rFonts w:hint="eastAsia"/>
          <w:color w:val="auto"/>
        </w:rPr>
        <w:t xml:space="preserve"> </w:t>
      </w:r>
      <w:r>
        <w:rPr>
          <w:color w:val="auto"/>
        </w:rPr>
        <w:t>International Journal of Simulation Modelling, 2024(1):3-6.</w:t>
      </w:r>
      <w:bookmarkEnd w:id="239"/>
    </w:p>
    <w:p w14:paraId="463D91A6">
      <w:pPr>
        <w:numPr>
          <w:ilvl w:val="0"/>
          <w:numId w:val="3"/>
        </w:numPr>
        <w:snapToGrid w:val="0"/>
        <w:spacing w:after="160" w:line="400" w:lineRule="exact"/>
        <w:contextualSpacing/>
        <w:rPr>
          <w:color w:val="auto"/>
          <w:highlight w:val="yellow"/>
        </w:rPr>
      </w:pPr>
      <w:bookmarkStart w:id="240" w:name="_Ref193985120"/>
      <w:r>
        <w:rPr>
          <w:rFonts w:hint="eastAsia"/>
          <w:color w:val="auto"/>
        </w:rPr>
        <w:t>刘伟. 基于成本收益分析的电网投资经济性评估方法[D]. 南昌大学,2023.</w:t>
      </w:r>
      <w:bookmarkEnd w:id="240"/>
    </w:p>
    <w:p w14:paraId="1CB90DA4">
      <w:pPr>
        <w:numPr>
          <w:ilvl w:val="0"/>
          <w:numId w:val="3"/>
        </w:numPr>
        <w:snapToGrid w:val="0"/>
        <w:spacing w:after="160" w:line="400" w:lineRule="exact"/>
        <w:contextualSpacing/>
        <w:rPr>
          <w:color w:val="auto"/>
          <w:highlight w:val="yellow"/>
        </w:rPr>
      </w:pPr>
      <w:bookmarkStart w:id="241" w:name="_Ref193988151"/>
      <w:r>
        <w:rPr>
          <w:color w:val="auto"/>
        </w:rPr>
        <w:t>Thoma G .</w:t>
      </w:r>
      <w:r>
        <w:rPr>
          <w:rFonts w:hint="eastAsia"/>
          <w:color w:val="auto"/>
        </w:rPr>
        <w:t xml:space="preserve"> </w:t>
      </w:r>
      <w:r>
        <w:rPr>
          <w:color w:val="auto"/>
        </w:rPr>
        <w:t>Market valuation of international patenting using a real option approach: the moderating role of uncertainty[J].</w:t>
      </w:r>
      <w:r>
        <w:rPr>
          <w:rFonts w:hint="eastAsia"/>
          <w:color w:val="auto"/>
        </w:rPr>
        <w:t xml:space="preserve"> </w:t>
      </w:r>
      <w:r>
        <w:rPr>
          <w:color w:val="auto"/>
        </w:rPr>
        <w:t>Economics of Innovation and New Technology,</w:t>
      </w:r>
      <w:r>
        <w:rPr>
          <w:rFonts w:hint="eastAsia"/>
          <w:color w:val="auto"/>
        </w:rPr>
        <w:t xml:space="preserve"> </w:t>
      </w:r>
      <w:r>
        <w:rPr>
          <w:color w:val="auto"/>
        </w:rPr>
        <w:t>2025(1):22-43.</w:t>
      </w:r>
      <w:bookmarkEnd w:id="241"/>
    </w:p>
    <w:p w14:paraId="3C57500D">
      <w:pPr>
        <w:numPr>
          <w:ilvl w:val="0"/>
          <w:numId w:val="3"/>
        </w:numPr>
        <w:snapToGrid w:val="0"/>
        <w:spacing w:after="160" w:line="400" w:lineRule="exact"/>
        <w:contextualSpacing/>
        <w:rPr>
          <w:color w:val="auto"/>
          <w:highlight w:val="yellow"/>
        </w:rPr>
      </w:pPr>
      <w:bookmarkStart w:id="242" w:name="_Ref193989473"/>
      <w:r>
        <w:rPr>
          <w:rFonts w:hint="eastAsia"/>
          <w:color w:val="auto"/>
        </w:rPr>
        <w:t>柯鑫. 电力企业环境成本内部化及其动因研究[D]. 华北电力大学(北京), 2020.</w:t>
      </w:r>
      <w:bookmarkEnd w:id="242"/>
    </w:p>
    <w:p w14:paraId="2C76F895">
      <w:pPr>
        <w:numPr>
          <w:ilvl w:val="0"/>
          <w:numId w:val="3"/>
        </w:numPr>
        <w:snapToGrid w:val="0"/>
        <w:spacing w:after="160" w:line="400" w:lineRule="exact"/>
        <w:contextualSpacing/>
        <w:rPr>
          <w:color w:val="auto"/>
          <w:highlight w:val="yellow"/>
        </w:rPr>
      </w:pPr>
      <w:bookmarkStart w:id="243" w:name="_Ref193989719"/>
      <w:r>
        <w:rPr>
          <w:rFonts w:hint="eastAsia"/>
          <w:color w:val="auto"/>
        </w:rPr>
        <w:t>程曦, 吴霜, 王静怡, 等. 输配电价改革背景下电网项目多阶段投资优化决策研究[J]. 电力系统保护与控制, 2021(15):4-9.</w:t>
      </w:r>
      <w:bookmarkEnd w:id="243"/>
    </w:p>
    <w:p w14:paraId="6269FCDE">
      <w:pPr>
        <w:numPr>
          <w:ilvl w:val="0"/>
          <w:numId w:val="3"/>
        </w:numPr>
        <w:snapToGrid w:val="0"/>
        <w:spacing w:after="160" w:line="400" w:lineRule="exact"/>
        <w:contextualSpacing/>
        <w:rPr>
          <w:color w:val="auto"/>
          <w:highlight w:val="yellow"/>
        </w:rPr>
      </w:pPr>
      <w:bookmarkStart w:id="244" w:name="_Ref193992691"/>
      <w:r>
        <w:rPr>
          <w:color w:val="auto"/>
          <w:highlight w:val="yellow"/>
        </w:rPr>
        <w:t>Houssein E H, Gad A G, Hussain K, et al. Major advances in particle swarm optimization: theory, analysis, and application[J]. Swarm and Evolutionary Computation, 2021, 63: 100868.</w:t>
      </w:r>
      <w:bookmarkEnd w:id="244"/>
    </w:p>
    <w:p w14:paraId="7879588F">
      <w:pPr>
        <w:numPr>
          <w:ilvl w:val="0"/>
          <w:numId w:val="3"/>
        </w:numPr>
        <w:snapToGrid w:val="0"/>
        <w:spacing w:after="160" w:line="400" w:lineRule="exact"/>
        <w:contextualSpacing/>
        <w:rPr>
          <w:color w:val="auto"/>
          <w:highlight w:val="yellow"/>
        </w:rPr>
      </w:pPr>
      <w:bookmarkStart w:id="245" w:name="_Ref193992791"/>
      <w:r>
        <w:rPr>
          <w:color w:val="auto"/>
        </w:rPr>
        <w:t xml:space="preserve">Holland J H. Adaptation in </w:t>
      </w:r>
      <w:r>
        <w:rPr>
          <w:rFonts w:hint="eastAsia"/>
          <w:color w:val="auto"/>
        </w:rPr>
        <w:t>n</w:t>
      </w:r>
      <w:r>
        <w:rPr>
          <w:color w:val="auto"/>
        </w:rPr>
        <w:t xml:space="preserve">atural and </w:t>
      </w:r>
      <w:r>
        <w:rPr>
          <w:rFonts w:hint="eastAsia"/>
          <w:color w:val="auto"/>
        </w:rPr>
        <w:t>a</w:t>
      </w:r>
      <w:r>
        <w:rPr>
          <w:color w:val="auto"/>
        </w:rPr>
        <w:t xml:space="preserve">rtificial </w:t>
      </w:r>
      <w:r>
        <w:rPr>
          <w:rFonts w:hint="eastAsia"/>
          <w:color w:val="auto"/>
        </w:rPr>
        <w:t>s</w:t>
      </w:r>
      <w:r>
        <w:rPr>
          <w:color w:val="auto"/>
        </w:rPr>
        <w:t xml:space="preserve">ystems: </w:t>
      </w:r>
      <w:r>
        <w:rPr>
          <w:rFonts w:hint="eastAsia"/>
          <w:color w:val="auto"/>
        </w:rPr>
        <w:t>a</w:t>
      </w:r>
      <w:r>
        <w:rPr>
          <w:color w:val="auto"/>
        </w:rPr>
        <w:t xml:space="preserve">n </w:t>
      </w:r>
      <w:r>
        <w:rPr>
          <w:rFonts w:hint="eastAsia"/>
          <w:color w:val="auto"/>
        </w:rPr>
        <w:t>i</w:t>
      </w:r>
      <w:r>
        <w:rPr>
          <w:color w:val="auto"/>
        </w:rPr>
        <w:t xml:space="preserve">ntroductory </w:t>
      </w:r>
      <w:r>
        <w:rPr>
          <w:rFonts w:hint="eastAsia"/>
          <w:color w:val="auto"/>
        </w:rPr>
        <w:t>a</w:t>
      </w:r>
      <w:r>
        <w:rPr>
          <w:color w:val="auto"/>
        </w:rPr>
        <w:t xml:space="preserve">nalysis with </w:t>
      </w:r>
      <w:r>
        <w:rPr>
          <w:rFonts w:hint="eastAsia"/>
          <w:color w:val="auto"/>
        </w:rPr>
        <w:t>a</w:t>
      </w:r>
      <w:r>
        <w:rPr>
          <w:color w:val="auto"/>
        </w:rPr>
        <w:t xml:space="preserve">pplications to </w:t>
      </w:r>
      <w:r>
        <w:rPr>
          <w:rFonts w:hint="eastAsia"/>
          <w:color w:val="auto"/>
        </w:rPr>
        <w:t>b</w:t>
      </w:r>
      <w:r>
        <w:rPr>
          <w:color w:val="auto"/>
        </w:rPr>
        <w:t xml:space="preserve">iology, </w:t>
      </w:r>
      <w:r>
        <w:rPr>
          <w:rFonts w:hint="eastAsia"/>
          <w:color w:val="auto"/>
        </w:rPr>
        <w:t>c</w:t>
      </w:r>
      <w:r>
        <w:rPr>
          <w:color w:val="auto"/>
        </w:rPr>
        <w:t xml:space="preserve">ontrol, and </w:t>
      </w:r>
      <w:r>
        <w:rPr>
          <w:rFonts w:hint="eastAsia"/>
          <w:color w:val="auto"/>
        </w:rPr>
        <w:t>a</w:t>
      </w:r>
      <w:r>
        <w:rPr>
          <w:color w:val="auto"/>
        </w:rPr>
        <w:t xml:space="preserve">rtificial </w:t>
      </w:r>
      <w:r>
        <w:rPr>
          <w:rFonts w:hint="eastAsia"/>
          <w:color w:val="auto"/>
        </w:rPr>
        <w:t>i</w:t>
      </w:r>
      <w:r>
        <w:rPr>
          <w:color w:val="auto"/>
        </w:rPr>
        <w:t>ntelligence[J]. Quarterly Review Biology, 1992, 6(2): 126–137.</w:t>
      </w:r>
      <w:bookmarkEnd w:id="245"/>
    </w:p>
    <w:p w14:paraId="5C58401B">
      <w:pPr>
        <w:numPr>
          <w:ilvl w:val="0"/>
          <w:numId w:val="3"/>
        </w:numPr>
        <w:snapToGrid w:val="0"/>
        <w:spacing w:after="160" w:line="400" w:lineRule="exact"/>
        <w:contextualSpacing/>
        <w:rPr>
          <w:color w:val="auto"/>
          <w:highlight w:val="yellow"/>
        </w:rPr>
      </w:pPr>
      <w:bookmarkStart w:id="246" w:name="_Ref193992866"/>
      <w:r>
        <w:rPr>
          <w:color w:val="auto"/>
        </w:rPr>
        <w:t>谢文庆. 基于遗传算法的深度学习优化方法研究[D]. 黑龙江大学, 2021.</w:t>
      </w:r>
      <w:bookmarkEnd w:id="246"/>
    </w:p>
    <w:p w14:paraId="05DC19F8">
      <w:pPr>
        <w:pStyle w:val="33"/>
        <w:numPr>
          <w:ilvl w:val="0"/>
          <w:numId w:val="3"/>
        </w:numPr>
        <w:ind w:firstLineChars="0"/>
        <w:rPr>
          <w:color w:val="auto"/>
        </w:rPr>
      </w:pPr>
      <w:bookmarkStart w:id="247" w:name="_Ref193992997"/>
      <w:r>
        <w:rPr>
          <w:rFonts w:hint="eastAsia"/>
          <w:color w:val="auto"/>
        </w:rPr>
        <w:t>欧阳晔, 江巍, 吴怡, 等. 广义乘子法求解构造变分问题的神经网络方法[J]. 工程力学, 2023(11):11-20.</w:t>
      </w:r>
      <w:bookmarkEnd w:id="247"/>
    </w:p>
    <w:p w14:paraId="0D53C301">
      <w:pPr>
        <w:pStyle w:val="33"/>
        <w:numPr>
          <w:ilvl w:val="0"/>
          <w:numId w:val="3"/>
        </w:numPr>
        <w:ind w:firstLineChars="0"/>
        <w:rPr>
          <w:rFonts w:hint="eastAsia"/>
          <w:color w:val="auto"/>
        </w:rPr>
      </w:pPr>
      <w:bookmarkStart w:id="248" w:name="_Ref193993062"/>
      <w:r>
        <w:rPr>
          <w:color w:val="auto"/>
        </w:rPr>
        <w:t>Akbar, Prajitno P. Cumulonimbus cloud prediction using artificial neural network (ANN) based on grey wolf optimizer (GWO)[J]. Computational Intelligence and Network Security, 2023(6):63-67.</w:t>
      </w:r>
      <w:bookmarkEnd w:id="248"/>
    </w:p>
    <w:p w14:paraId="3D87FAF8">
      <w:pPr>
        <w:numPr>
          <w:ilvl w:val="0"/>
          <w:numId w:val="3"/>
        </w:numPr>
        <w:snapToGrid w:val="0"/>
        <w:spacing w:after="160" w:line="400" w:lineRule="exact"/>
        <w:contextualSpacing/>
        <w:rPr>
          <w:rFonts w:hint="eastAsia"/>
          <w:color w:val="auto"/>
          <w:highlight w:val="yellow"/>
        </w:rPr>
      </w:pPr>
      <w:r>
        <w:rPr>
          <w:color w:val="auto"/>
          <w:highlight w:val="yellow"/>
        </w:rPr>
        <w:t>杨洁,</w:t>
      </w:r>
      <w:r>
        <w:rPr>
          <w:rFonts w:hint="eastAsia"/>
          <w:color w:val="auto"/>
          <w:highlight w:val="yellow"/>
        </w:rPr>
        <w:t xml:space="preserve"> </w:t>
      </w:r>
      <w:r>
        <w:rPr>
          <w:color w:val="auto"/>
          <w:highlight w:val="yellow"/>
        </w:rPr>
        <w:t>祝传海.</w:t>
      </w:r>
      <w:r>
        <w:rPr>
          <w:rFonts w:hint="eastAsia"/>
          <w:color w:val="auto"/>
          <w:highlight w:val="yellow"/>
        </w:rPr>
        <w:t xml:space="preserve"> </w:t>
      </w:r>
      <w:r>
        <w:rPr>
          <w:color w:val="auto"/>
          <w:highlight w:val="yellow"/>
        </w:rPr>
        <w:t>低碳清洁能源绿色转型的探索之旅--记中国石油大学(北京)能源互联网研究中心[J].</w:t>
      </w:r>
      <w:r>
        <w:rPr>
          <w:rFonts w:hint="eastAsia"/>
          <w:color w:val="auto"/>
          <w:highlight w:val="yellow"/>
        </w:rPr>
        <w:t xml:space="preserve"> </w:t>
      </w:r>
      <w:r>
        <w:rPr>
          <w:color w:val="auto"/>
          <w:highlight w:val="yellow"/>
        </w:rPr>
        <w:t>科学中国人, 2024(8):60-60.</w:t>
      </w:r>
      <w:bookmarkEnd w:id="237"/>
      <w:bookmarkStart w:id="249" w:name="_Ref193106916"/>
    </w:p>
    <w:p w14:paraId="6271C557">
      <w:pPr>
        <w:numPr>
          <w:ilvl w:val="0"/>
          <w:numId w:val="3"/>
        </w:numPr>
        <w:snapToGrid w:val="0"/>
        <w:spacing w:after="160" w:line="400" w:lineRule="exact"/>
        <w:contextualSpacing/>
        <w:rPr>
          <w:color w:val="auto"/>
        </w:rPr>
      </w:pPr>
      <w:r>
        <w:rPr>
          <w:color w:val="auto"/>
        </w:rPr>
        <w:t>舒印彪,</w:t>
      </w:r>
      <w:r>
        <w:rPr>
          <w:rFonts w:hint="eastAsia"/>
          <w:color w:val="auto"/>
        </w:rPr>
        <w:t xml:space="preserve"> </w:t>
      </w:r>
      <w:r>
        <w:rPr>
          <w:color w:val="auto"/>
        </w:rPr>
        <w:t>赵勇,</w:t>
      </w:r>
      <w:r>
        <w:rPr>
          <w:rFonts w:hint="eastAsia"/>
          <w:color w:val="auto"/>
        </w:rPr>
        <w:t xml:space="preserve"> </w:t>
      </w:r>
      <w:r>
        <w:rPr>
          <w:color w:val="auto"/>
        </w:rPr>
        <w:t>赵良,</w:t>
      </w:r>
      <w:r>
        <w:rPr>
          <w:rFonts w:hint="eastAsia"/>
          <w:color w:val="auto"/>
        </w:rPr>
        <w:t xml:space="preserve"> </w:t>
      </w:r>
      <w:r>
        <w:rPr>
          <w:color w:val="auto"/>
        </w:rPr>
        <w:t>等.</w:t>
      </w:r>
      <w:r>
        <w:rPr>
          <w:rFonts w:hint="eastAsia"/>
          <w:color w:val="auto"/>
        </w:rPr>
        <w:t xml:space="preserve"> “</w:t>
      </w:r>
      <w:r>
        <w:rPr>
          <w:color w:val="auto"/>
        </w:rPr>
        <w:t>双碳</w:t>
      </w:r>
      <w:r>
        <w:rPr>
          <w:rFonts w:hint="eastAsia"/>
          <w:color w:val="auto"/>
        </w:rPr>
        <w:t>”</w:t>
      </w:r>
      <w:r>
        <w:rPr>
          <w:color w:val="auto"/>
        </w:rPr>
        <w:t>目标下我国能源电力低碳转型路径[J].</w:t>
      </w:r>
      <w:r>
        <w:rPr>
          <w:rFonts w:hint="eastAsia"/>
          <w:color w:val="auto"/>
        </w:rPr>
        <w:t xml:space="preserve"> </w:t>
      </w:r>
      <w:r>
        <w:rPr>
          <w:color w:val="auto"/>
        </w:rPr>
        <w:t>中国电机工程学报, 2023(3):22-40.</w:t>
      </w:r>
      <w:bookmarkEnd w:id="249"/>
    </w:p>
    <w:p w14:paraId="41AC89CD">
      <w:pPr>
        <w:numPr>
          <w:ilvl w:val="0"/>
          <w:numId w:val="3"/>
        </w:numPr>
        <w:snapToGrid w:val="0"/>
        <w:spacing w:after="160" w:line="400" w:lineRule="exact"/>
        <w:contextualSpacing/>
        <w:rPr>
          <w:color w:val="auto"/>
        </w:rPr>
      </w:pPr>
      <w:bookmarkStart w:id="250" w:name="_Ref193106932"/>
      <w:r>
        <w:rPr>
          <w:color w:val="auto"/>
        </w:rPr>
        <w:t>郭清苗,</w:t>
      </w:r>
      <w:r>
        <w:rPr>
          <w:rFonts w:hint="eastAsia"/>
          <w:color w:val="auto"/>
        </w:rPr>
        <w:t xml:space="preserve"> </w:t>
      </w:r>
      <w:r>
        <w:rPr>
          <w:color w:val="auto"/>
        </w:rPr>
        <w:t>汪建波,</w:t>
      </w:r>
      <w:r>
        <w:rPr>
          <w:rFonts w:hint="eastAsia"/>
          <w:color w:val="auto"/>
        </w:rPr>
        <w:t xml:space="preserve"> </w:t>
      </w:r>
      <w:r>
        <w:rPr>
          <w:color w:val="auto"/>
        </w:rPr>
        <w:t>史纪.</w:t>
      </w:r>
      <w:r>
        <w:rPr>
          <w:rFonts w:hint="eastAsia"/>
          <w:color w:val="auto"/>
        </w:rPr>
        <w:t xml:space="preserve"> </w:t>
      </w:r>
      <w:r>
        <w:rPr>
          <w:color w:val="auto"/>
        </w:rPr>
        <w:t>城市级智能电网规划体系研究[J].</w:t>
      </w:r>
      <w:r>
        <w:rPr>
          <w:rFonts w:hint="eastAsia"/>
          <w:color w:val="auto"/>
        </w:rPr>
        <w:t xml:space="preserve"> </w:t>
      </w:r>
      <w:r>
        <w:rPr>
          <w:color w:val="auto"/>
        </w:rPr>
        <w:t>计算机产品与流通, 2023(2):102-104.</w:t>
      </w:r>
      <w:bookmarkEnd w:id="250"/>
    </w:p>
    <w:p w14:paraId="132F463B">
      <w:pPr>
        <w:numPr>
          <w:ilvl w:val="0"/>
          <w:numId w:val="3"/>
        </w:numPr>
        <w:snapToGrid w:val="0"/>
        <w:spacing w:after="160" w:line="400" w:lineRule="exact"/>
        <w:contextualSpacing/>
        <w:rPr>
          <w:color w:val="auto"/>
        </w:rPr>
      </w:pPr>
      <w:bookmarkStart w:id="251" w:name="_Ref193107115"/>
      <w:r>
        <w:rPr>
          <w:color w:val="auto"/>
        </w:rPr>
        <w:t>国家能源局. 新型电力系统建设行动方案（2023-2030）[Z]. 北京: 国家能源局, 2023.</w:t>
      </w:r>
      <w:bookmarkEnd w:id="251"/>
    </w:p>
    <w:p w14:paraId="17A60739">
      <w:pPr>
        <w:numPr>
          <w:ilvl w:val="0"/>
          <w:numId w:val="3"/>
        </w:numPr>
        <w:snapToGrid w:val="0"/>
        <w:spacing w:after="160" w:line="400" w:lineRule="exact"/>
        <w:contextualSpacing/>
        <w:rPr>
          <w:color w:val="auto"/>
        </w:rPr>
      </w:pPr>
      <w:bookmarkStart w:id="252" w:name="_Ref193107392"/>
      <w:r>
        <w:rPr>
          <w:color w:val="auto"/>
        </w:rPr>
        <w:t>李少强.</w:t>
      </w:r>
      <w:r>
        <w:rPr>
          <w:rFonts w:hint="eastAsia"/>
          <w:color w:val="auto"/>
        </w:rPr>
        <w:t xml:space="preserve"> </w:t>
      </w:r>
      <w:r>
        <w:rPr>
          <w:color w:val="auto"/>
        </w:rPr>
        <w:t>电网基建项目投资统计核算方法变革对电网精准投资的影响研究[J].</w:t>
      </w:r>
      <w:r>
        <w:rPr>
          <w:rFonts w:hint="eastAsia"/>
          <w:color w:val="auto"/>
        </w:rPr>
        <w:t xml:space="preserve"> </w:t>
      </w:r>
      <w:r>
        <w:rPr>
          <w:color w:val="auto"/>
        </w:rPr>
        <w:t>价值工程, 2024(18):11-14.</w:t>
      </w:r>
      <w:bookmarkEnd w:id="252"/>
    </w:p>
    <w:p w14:paraId="576FDB9D">
      <w:pPr>
        <w:numPr>
          <w:ilvl w:val="0"/>
          <w:numId w:val="3"/>
        </w:numPr>
        <w:snapToGrid w:val="0"/>
        <w:spacing w:after="160" w:line="400" w:lineRule="exact"/>
        <w:contextualSpacing/>
        <w:rPr>
          <w:color w:val="auto"/>
        </w:rPr>
      </w:pPr>
      <w:bookmarkStart w:id="253" w:name="_Ref193107458"/>
      <w:r>
        <w:rPr>
          <w:color w:val="auto"/>
        </w:rPr>
        <w:t>国家能源局组织发布《新型电力系统发展蓝皮书》新型电力系统将加强四大体系建设[J].</w:t>
      </w:r>
      <w:r>
        <w:rPr>
          <w:rFonts w:hint="eastAsia"/>
          <w:color w:val="auto"/>
        </w:rPr>
        <w:t xml:space="preserve"> </w:t>
      </w:r>
      <w:r>
        <w:rPr>
          <w:color w:val="auto"/>
        </w:rPr>
        <w:t>农村电工, 2023(7):1-9.</w:t>
      </w:r>
      <w:bookmarkEnd w:id="253"/>
    </w:p>
    <w:p w14:paraId="794901EE">
      <w:pPr>
        <w:numPr>
          <w:ilvl w:val="0"/>
          <w:numId w:val="3"/>
        </w:numPr>
        <w:snapToGrid w:val="0"/>
        <w:spacing w:after="160" w:line="400" w:lineRule="exact"/>
        <w:contextualSpacing/>
        <w:rPr>
          <w:color w:val="auto"/>
        </w:rPr>
      </w:pPr>
      <w:bookmarkStart w:id="254" w:name="_Ref193107507"/>
      <w:r>
        <w:rPr>
          <w:color w:val="auto"/>
        </w:rPr>
        <w:t>国家发展和改革委员会. 关于完善能源绿色低碳转型体制机制和政策措施的意见[Z]. 北京：国家发展和改革委员会，2022.</w:t>
      </w:r>
      <w:bookmarkEnd w:id="254"/>
    </w:p>
    <w:p w14:paraId="00DBF6E2">
      <w:pPr>
        <w:numPr>
          <w:ilvl w:val="0"/>
          <w:numId w:val="3"/>
        </w:numPr>
        <w:snapToGrid w:val="0"/>
        <w:spacing w:after="160" w:line="400" w:lineRule="exact"/>
        <w:contextualSpacing/>
        <w:rPr>
          <w:color w:val="auto"/>
        </w:rPr>
      </w:pPr>
      <w:bookmarkStart w:id="255" w:name="_Ref193107539"/>
      <w:r>
        <w:rPr>
          <w:color w:val="auto"/>
        </w:rPr>
        <w:t>国家发展和改革委员会. 电力可靠性管理办法（暂行）[Z]. 北京：国家发展和改革委员会，2023.</w:t>
      </w:r>
      <w:bookmarkEnd w:id="255"/>
    </w:p>
    <w:p w14:paraId="151479E5">
      <w:pPr>
        <w:numPr>
          <w:ilvl w:val="0"/>
          <w:numId w:val="3"/>
        </w:numPr>
        <w:snapToGrid w:val="0"/>
        <w:spacing w:after="160" w:line="400" w:lineRule="exact"/>
        <w:contextualSpacing/>
        <w:rPr>
          <w:color w:val="auto"/>
        </w:rPr>
      </w:pPr>
      <w:bookmarkStart w:id="256" w:name="_Ref193107683"/>
      <w:r>
        <w:rPr>
          <w:color w:val="auto"/>
        </w:rPr>
        <w:t>GB/T 43329-2023,</w:t>
      </w:r>
      <w:r>
        <w:rPr>
          <w:rFonts w:hint="eastAsia"/>
          <w:color w:val="auto"/>
        </w:rPr>
        <w:t xml:space="preserve"> </w:t>
      </w:r>
      <w:r>
        <w:rPr>
          <w:color w:val="auto"/>
        </w:rPr>
        <w:t>清洁生产评估指标体系编制通则[S].</w:t>
      </w:r>
      <w:r>
        <w:rPr>
          <w:rFonts w:hint="eastAsia"/>
          <w:color w:val="auto"/>
        </w:rPr>
        <w:t xml:space="preserve"> </w:t>
      </w:r>
      <w:r>
        <w:rPr>
          <w:color w:val="auto"/>
        </w:rPr>
        <w:t>2023.</w:t>
      </w:r>
      <w:bookmarkEnd w:id="256"/>
    </w:p>
    <w:p w14:paraId="4D95102F">
      <w:pPr>
        <w:numPr>
          <w:ilvl w:val="0"/>
          <w:numId w:val="3"/>
        </w:numPr>
        <w:snapToGrid w:val="0"/>
        <w:spacing w:after="160" w:line="400" w:lineRule="exact"/>
        <w:contextualSpacing/>
        <w:rPr>
          <w:color w:val="auto"/>
        </w:rPr>
      </w:pPr>
      <w:bookmarkStart w:id="257" w:name="_Ref193109400"/>
      <w:r>
        <w:rPr>
          <w:color w:val="auto"/>
        </w:rPr>
        <w:t>电力行业（燃煤发电企业）清洁生产评估指标体系 [S]. 北京：中国标准出版社</w:t>
      </w:r>
      <w:r>
        <w:rPr>
          <w:rFonts w:hint="eastAsia"/>
          <w:color w:val="auto"/>
        </w:rPr>
        <w:t xml:space="preserve">, </w:t>
      </w:r>
      <w:r>
        <w:rPr>
          <w:color w:val="auto"/>
        </w:rPr>
        <w:t>2015.</w:t>
      </w:r>
      <w:bookmarkEnd w:id="257"/>
    </w:p>
    <w:p w14:paraId="6A9ABB6E">
      <w:pPr>
        <w:numPr>
          <w:ilvl w:val="0"/>
          <w:numId w:val="3"/>
        </w:numPr>
        <w:snapToGrid w:val="0"/>
        <w:spacing w:after="160" w:line="400" w:lineRule="exact"/>
        <w:contextualSpacing/>
        <w:rPr>
          <w:color w:val="auto"/>
        </w:rPr>
      </w:pPr>
      <w:bookmarkStart w:id="258" w:name="_Ref193109434"/>
      <w:r>
        <w:rPr>
          <w:color w:val="auto"/>
        </w:rPr>
        <w:t>GB/Z 36046-2018</w:t>
      </w:r>
      <w:r>
        <w:rPr>
          <w:rFonts w:hint="eastAsia"/>
          <w:color w:val="auto"/>
        </w:rPr>
        <w:t>，</w:t>
      </w:r>
      <w:r>
        <w:rPr>
          <w:color w:val="auto"/>
        </w:rPr>
        <w:t>电力监管指标评估规范[S].</w:t>
      </w:r>
      <w:r>
        <w:rPr>
          <w:rFonts w:hint="eastAsia"/>
          <w:color w:val="auto"/>
        </w:rPr>
        <w:t xml:space="preserve"> </w:t>
      </w:r>
      <w:r>
        <w:rPr>
          <w:color w:val="auto"/>
        </w:rPr>
        <w:t>2018.</w:t>
      </w:r>
      <w:bookmarkEnd w:id="258"/>
    </w:p>
    <w:p w14:paraId="47615717">
      <w:pPr>
        <w:numPr>
          <w:ilvl w:val="0"/>
          <w:numId w:val="3"/>
        </w:numPr>
        <w:snapToGrid w:val="0"/>
        <w:spacing w:after="160" w:line="400" w:lineRule="exact"/>
        <w:contextualSpacing/>
        <w:rPr>
          <w:color w:val="auto"/>
        </w:rPr>
      </w:pPr>
      <w:bookmarkStart w:id="259" w:name="_Ref193109460"/>
      <w:r>
        <w:rPr>
          <w:color w:val="auto"/>
        </w:rPr>
        <w:t>Shaheed I M, Taqi M K, Ali J A M.</w:t>
      </w:r>
      <w:r>
        <w:rPr>
          <w:rFonts w:hint="eastAsia"/>
          <w:color w:val="auto"/>
        </w:rPr>
        <w:t xml:space="preserve"> </w:t>
      </w:r>
      <w:r>
        <w:rPr>
          <w:color w:val="auto"/>
        </w:rPr>
        <w:t xml:space="preserve">Impact of chaotic initial population on the convergence of </w:t>
      </w:r>
      <w:r>
        <w:rPr>
          <w:rFonts w:hint="eastAsia"/>
          <w:color w:val="auto"/>
        </w:rPr>
        <w:t>g</w:t>
      </w:r>
      <w:r>
        <w:rPr>
          <w:color w:val="auto"/>
        </w:rPr>
        <w:t>oa-based task scheduler[J].</w:t>
      </w:r>
      <w:r>
        <w:rPr>
          <w:rFonts w:hint="eastAsia"/>
          <w:color w:val="auto"/>
        </w:rPr>
        <w:t xml:space="preserve"> </w:t>
      </w:r>
      <w:r>
        <w:rPr>
          <w:color w:val="auto"/>
        </w:rPr>
        <w:t>AIP Conference Proceedings, 2024(1):8-10.</w:t>
      </w:r>
      <w:bookmarkEnd w:id="259"/>
    </w:p>
    <w:p w14:paraId="7C56D5CF">
      <w:pPr>
        <w:numPr>
          <w:ilvl w:val="0"/>
          <w:numId w:val="3"/>
        </w:numPr>
        <w:snapToGrid w:val="0"/>
        <w:spacing w:after="160" w:line="400" w:lineRule="exact"/>
        <w:contextualSpacing/>
        <w:rPr>
          <w:color w:val="auto"/>
        </w:rPr>
      </w:pPr>
      <w:bookmarkStart w:id="260" w:name="_Ref193109345"/>
      <w:r>
        <w:rPr>
          <w:color w:val="auto"/>
        </w:rPr>
        <w:t>He X .</w:t>
      </w:r>
      <w:r>
        <w:rPr>
          <w:rFonts w:hint="eastAsia"/>
          <w:color w:val="auto"/>
        </w:rPr>
        <w:t xml:space="preserve"> </w:t>
      </w:r>
      <w:r>
        <w:rPr>
          <w:color w:val="auto"/>
        </w:rPr>
        <w:t xml:space="preserve">Principal </w:t>
      </w:r>
      <w:r>
        <w:rPr>
          <w:rFonts w:hint="eastAsia"/>
          <w:color w:val="auto"/>
        </w:rPr>
        <w:t>c</w:t>
      </w:r>
      <w:r>
        <w:rPr>
          <w:color w:val="auto"/>
        </w:rPr>
        <w:t xml:space="preserve">omponent </w:t>
      </w:r>
      <w:r>
        <w:rPr>
          <w:rFonts w:hint="eastAsia"/>
          <w:color w:val="auto"/>
        </w:rPr>
        <w:t>a</w:t>
      </w:r>
      <w:r>
        <w:rPr>
          <w:color w:val="auto"/>
        </w:rPr>
        <w:t>nalysis [M].</w:t>
      </w:r>
      <w:r>
        <w:rPr>
          <w:rFonts w:hint="eastAsia"/>
          <w:color w:val="auto"/>
        </w:rPr>
        <w:t xml:space="preserve"> </w:t>
      </w:r>
      <w:r>
        <w:rPr>
          <w:color w:val="auto"/>
        </w:rPr>
        <w:t>Springer, Singapore</w:t>
      </w:r>
      <w:r>
        <w:rPr>
          <w:rFonts w:hint="eastAsia"/>
          <w:color w:val="auto"/>
        </w:rPr>
        <w:t xml:space="preserve">, </w:t>
      </w:r>
      <w:r>
        <w:rPr>
          <w:color w:val="auto"/>
        </w:rPr>
        <w:t>2024.</w:t>
      </w:r>
      <w:bookmarkEnd w:id="260"/>
    </w:p>
    <w:p w14:paraId="2A5558D7">
      <w:pPr>
        <w:numPr>
          <w:ilvl w:val="0"/>
          <w:numId w:val="3"/>
        </w:numPr>
        <w:snapToGrid w:val="0"/>
        <w:spacing w:after="160" w:line="400" w:lineRule="exact"/>
        <w:contextualSpacing/>
        <w:rPr>
          <w:color w:val="auto"/>
        </w:rPr>
      </w:pPr>
      <w:bookmarkStart w:id="261" w:name="_Ref193109823"/>
      <w:r>
        <w:rPr>
          <w:color w:val="auto"/>
        </w:rPr>
        <w:t>苑帅</w:t>
      </w:r>
      <w:r>
        <w:rPr>
          <w:rFonts w:hint="eastAsia"/>
          <w:color w:val="auto"/>
        </w:rPr>
        <w:t xml:space="preserve">, </w:t>
      </w:r>
      <w:r>
        <w:rPr>
          <w:color w:val="auto"/>
        </w:rPr>
        <w:t>何鑫</w:t>
      </w:r>
      <w:r>
        <w:rPr>
          <w:rFonts w:hint="eastAsia"/>
          <w:color w:val="auto"/>
        </w:rPr>
        <w:t xml:space="preserve">, </w:t>
      </w:r>
      <w:r>
        <w:rPr>
          <w:color w:val="auto"/>
        </w:rPr>
        <w:t>陈恭</w:t>
      </w:r>
      <w:r>
        <w:rPr>
          <w:rFonts w:hint="eastAsia"/>
          <w:color w:val="auto"/>
        </w:rPr>
        <w:t xml:space="preserve">, </w:t>
      </w:r>
      <w:r>
        <w:rPr>
          <w:color w:val="auto"/>
        </w:rPr>
        <w:t>等.</w:t>
      </w:r>
      <w:r>
        <w:rPr>
          <w:rFonts w:hint="eastAsia"/>
          <w:color w:val="auto"/>
        </w:rPr>
        <w:t xml:space="preserve"> </w:t>
      </w:r>
      <w:r>
        <w:rPr>
          <w:color w:val="auto"/>
        </w:rPr>
        <w:t>新型电力系统视角下中美能源结构与双碳路径[J].</w:t>
      </w:r>
      <w:r>
        <w:rPr>
          <w:rFonts w:hint="eastAsia"/>
          <w:color w:val="auto"/>
        </w:rPr>
        <w:t xml:space="preserve"> </w:t>
      </w:r>
      <w:r>
        <w:rPr>
          <w:color w:val="auto"/>
        </w:rPr>
        <w:t>东北电力技术</w:t>
      </w:r>
      <w:r>
        <w:rPr>
          <w:rFonts w:hint="eastAsia"/>
          <w:color w:val="auto"/>
        </w:rPr>
        <w:t xml:space="preserve">, </w:t>
      </w:r>
      <w:r>
        <w:rPr>
          <w:color w:val="auto"/>
        </w:rPr>
        <w:t>2024(9):5-10.</w:t>
      </w:r>
      <w:bookmarkEnd w:id="261"/>
    </w:p>
    <w:p w14:paraId="6395C708">
      <w:pPr>
        <w:numPr>
          <w:ilvl w:val="0"/>
          <w:numId w:val="3"/>
        </w:numPr>
        <w:snapToGrid w:val="0"/>
        <w:spacing w:after="160" w:line="400" w:lineRule="exact"/>
        <w:contextualSpacing/>
        <w:rPr>
          <w:color w:val="auto"/>
        </w:rPr>
      </w:pPr>
      <w:bookmarkStart w:id="262" w:name="_Ref193109833"/>
      <w:r>
        <w:rPr>
          <w:color w:val="auto"/>
        </w:rPr>
        <w:t>徐俊武</w:t>
      </w:r>
      <w:r>
        <w:rPr>
          <w:rFonts w:hint="eastAsia"/>
          <w:color w:val="auto"/>
        </w:rPr>
        <w:t xml:space="preserve">, </w:t>
      </w:r>
      <w:r>
        <w:rPr>
          <w:color w:val="auto"/>
        </w:rPr>
        <w:t>陈钊雄.</w:t>
      </w:r>
      <w:r>
        <w:rPr>
          <w:rFonts w:hint="eastAsia"/>
          <w:color w:val="auto"/>
        </w:rPr>
        <w:t xml:space="preserve"> </w:t>
      </w:r>
      <w:r>
        <w:rPr>
          <w:color w:val="auto"/>
        </w:rPr>
        <w:t>绿色技术创新对碳排放的影响效应——非线性中介效应与调节效应分析[J].</w:t>
      </w:r>
      <w:r>
        <w:rPr>
          <w:rFonts w:hint="eastAsia"/>
          <w:color w:val="auto"/>
        </w:rPr>
        <w:t xml:space="preserve"> </w:t>
      </w:r>
      <w:r>
        <w:rPr>
          <w:color w:val="auto"/>
        </w:rPr>
        <w:t>科技进步与对策</w:t>
      </w:r>
      <w:r>
        <w:rPr>
          <w:rFonts w:hint="eastAsia"/>
          <w:color w:val="auto"/>
        </w:rPr>
        <w:t xml:space="preserve">, </w:t>
      </w:r>
      <w:r>
        <w:rPr>
          <w:color w:val="auto"/>
        </w:rPr>
        <w:t>2024(8):22-32.</w:t>
      </w:r>
      <w:bookmarkEnd w:id="262"/>
    </w:p>
    <w:p w14:paraId="486FBAEC">
      <w:pPr>
        <w:numPr>
          <w:ilvl w:val="0"/>
          <w:numId w:val="3"/>
        </w:numPr>
        <w:snapToGrid w:val="0"/>
        <w:spacing w:after="160" w:line="400" w:lineRule="exact"/>
        <w:contextualSpacing/>
        <w:rPr>
          <w:color w:val="auto"/>
        </w:rPr>
      </w:pPr>
      <w:bookmarkStart w:id="263" w:name="_Ref193109870"/>
      <w:r>
        <w:rPr>
          <w:color w:val="auto"/>
        </w:rPr>
        <w:t>熊文君</w:t>
      </w:r>
      <w:r>
        <w:rPr>
          <w:rFonts w:hint="eastAsia"/>
          <w:color w:val="auto"/>
        </w:rPr>
        <w:t xml:space="preserve">, </w:t>
      </w:r>
      <w:r>
        <w:rPr>
          <w:color w:val="auto"/>
        </w:rPr>
        <w:t>肖立志</w:t>
      </w:r>
      <w:r>
        <w:rPr>
          <w:rFonts w:hint="eastAsia"/>
          <w:color w:val="auto"/>
        </w:rPr>
        <w:t xml:space="preserve">, </w:t>
      </w:r>
      <w:r>
        <w:rPr>
          <w:color w:val="auto"/>
        </w:rPr>
        <w:t>袁江如</w:t>
      </w:r>
      <w:r>
        <w:rPr>
          <w:rFonts w:hint="eastAsia"/>
          <w:color w:val="auto"/>
        </w:rPr>
        <w:t xml:space="preserve">, </w:t>
      </w:r>
      <w:r>
        <w:rPr>
          <w:color w:val="auto"/>
        </w:rPr>
        <w:t>等.</w:t>
      </w:r>
      <w:r>
        <w:rPr>
          <w:rFonts w:hint="eastAsia"/>
          <w:color w:val="auto"/>
        </w:rPr>
        <w:t xml:space="preserve"> </w:t>
      </w:r>
      <w:r>
        <w:rPr>
          <w:color w:val="auto"/>
        </w:rPr>
        <w:t>基于深度强化学习的测井曲线自动深度校正方法[J].</w:t>
      </w:r>
      <w:r>
        <w:rPr>
          <w:rFonts w:hint="eastAsia"/>
          <w:color w:val="auto"/>
        </w:rPr>
        <w:t xml:space="preserve"> </w:t>
      </w:r>
      <w:r>
        <w:rPr>
          <w:color w:val="auto"/>
        </w:rPr>
        <w:t>石油勘探与开发</w:t>
      </w:r>
      <w:r>
        <w:rPr>
          <w:rFonts w:hint="eastAsia"/>
          <w:color w:val="auto"/>
        </w:rPr>
        <w:t xml:space="preserve">, </w:t>
      </w:r>
      <w:r>
        <w:rPr>
          <w:color w:val="auto"/>
        </w:rPr>
        <w:t>2024(3):553-564.</w:t>
      </w:r>
      <w:bookmarkEnd w:id="263"/>
    </w:p>
    <w:p w14:paraId="0162C8D4">
      <w:pPr>
        <w:numPr>
          <w:ilvl w:val="0"/>
          <w:numId w:val="3"/>
        </w:numPr>
        <w:snapToGrid w:val="0"/>
        <w:spacing w:after="160" w:line="400" w:lineRule="exact"/>
        <w:contextualSpacing/>
        <w:rPr>
          <w:color w:val="auto"/>
        </w:rPr>
      </w:pPr>
      <w:bookmarkStart w:id="264" w:name="_Ref193109874"/>
      <w:r>
        <w:rPr>
          <w:color w:val="auto"/>
        </w:rPr>
        <w:t>欧阳晔</w:t>
      </w:r>
      <w:r>
        <w:rPr>
          <w:rFonts w:hint="eastAsia"/>
          <w:color w:val="auto"/>
        </w:rPr>
        <w:t xml:space="preserve">, </w:t>
      </w:r>
      <w:r>
        <w:rPr>
          <w:color w:val="auto"/>
        </w:rPr>
        <w:t>江巍</w:t>
      </w:r>
      <w:r>
        <w:rPr>
          <w:rFonts w:hint="eastAsia"/>
          <w:color w:val="auto"/>
        </w:rPr>
        <w:t xml:space="preserve">, </w:t>
      </w:r>
      <w:r>
        <w:rPr>
          <w:color w:val="auto"/>
        </w:rPr>
        <w:t>吴怡</w:t>
      </w:r>
      <w:r>
        <w:rPr>
          <w:rFonts w:hint="eastAsia"/>
          <w:color w:val="auto"/>
        </w:rPr>
        <w:t xml:space="preserve">, </w:t>
      </w:r>
      <w:r>
        <w:rPr>
          <w:color w:val="auto"/>
        </w:rPr>
        <w:t>等.</w:t>
      </w:r>
      <w:r>
        <w:rPr>
          <w:rFonts w:hint="eastAsia"/>
          <w:color w:val="auto"/>
        </w:rPr>
        <w:t xml:space="preserve"> </w:t>
      </w:r>
      <w:r>
        <w:rPr>
          <w:color w:val="auto"/>
        </w:rPr>
        <w:t>广义乘子法求解构造变分问题的神经网络方法[J].</w:t>
      </w:r>
      <w:r>
        <w:rPr>
          <w:rFonts w:hint="eastAsia"/>
          <w:color w:val="auto"/>
        </w:rPr>
        <w:t xml:space="preserve"> </w:t>
      </w:r>
      <w:r>
        <w:rPr>
          <w:color w:val="auto"/>
        </w:rPr>
        <w:t>工程力学, 2023, 40(11):11-20.</w:t>
      </w:r>
      <w:bookmarkEnd w:id="264"/>
    </w:p>
    <w:p w14:paraId="45BF1F5E">
      <w:pPr>
        <w:numPr>
          <w:ilvl w:val="0"/>
          <w:numId w:val="3"/>
        </w:numPr>
        <w:snapToGrid w:val="0"/>
        <w:spacing w:after="160" w:line="400" w:lineRule="exact"/>
        <w:contextualSpacing/>
        <w:rPr>
          <w:color w:val="auto"/>
        </w:rPr>
      </w:pPr>
      <w:bookmarkStart w:id="265" w:name="_Ref193109904"/>
      <w:r>
        <w:rPr>
          <w:color w:val="auto"/>
        </w:rPr>
        <w:t>Edlund E M.</w:t>
      </w:r>
      <w:r>
        <w:rPr>
          <w:rFonts w:hint="eastAsia"/>
          <w:color w:val="auto"/>
        </w:rPr>
        <w:t xml:space="preserve"> </w:t>
      </w:r>
      <w:r>
        <w:rPr>
          <w:color w:val="auto"/>
        </w:rPr>
        <w:t>Lagrange points and regionally conserved quantities[J].</w:t>
      </w:r>
      <w:r>
        <w:rPr>
          <w:rFonts w:hint="eastAsia"/>
          <w:color w:val="auto"/>
        </w:rPr>
        <w:t xml:space="preserve"> </w:t>
      </w:r>
      <w:r>
        <w:rPr>
          <w:color w:val="auto"/>
        </w:rPr>
        <w:t>American Journal of Physics, 2024(6):11-14.</w:t>
      </w:r>
      <w:bookmarkEnd w:id="265"/>
    </w:p>
    <w:p w14:paraId="50233563">
      <w:pPr>
        <w:numPr>
          <w:ilvl w:val="0"/>
          <w:numId w:val="3"/>
        </w:numPr>
        <w:snapToGrid w:val="0"/>
        <w:spacing w:after="160" w:line="400" w:lineRule="exact"/>
        <w:contextualSpacing/>
        <w:rPr>
          <w:color w:val="auto"/>
        </w:rPr>
      </w:pPr>
      <w:bookmarkStart w:id="266" w:name="_Ref193109920"/>
      <w:r>
        <w:rPr>
          <w:color w:val="auto"/>
        </w:rPr>
        <w:t>Hjelmstad K D .</w:t>
      </w:r>
      <w:r>
        <w:rPr>
          <w:rFonts w:hint="eastAsia"/>
          <w:color w:val="auto"/>
        </w:rPr>
        <w:t xml:space="preserve"> </w:t>
      </w:r>
      <w:r>
        <w:rPr>
          <w:color w:val="auto"/>
        </w:rPr>
        <w:t>Euler–</w:t>
      </w:r>
      <w:r>
        <w:rPr>
          <w:rFonts w:hint="eastAsia"/>
          <w:color w:val="auto"/>
        </w:rPr>
        <w:t>l</w:t>
      </w:r>
      <w:r>
        <w:rPr>
          <w:color w:val="auto"/>
        </w:rPr>
        <w:t xml:space="preserve">agrange </w:t>
      </w:r>
      <w:r>
        <w:rPr>
          <w:rFonts w:hint="eastAsia"/>
          <w:color w:val="auto"/>
        </w:rPr>
        <w:t>e</w:t>
      </w:r>
      <w:r>
        <w:rPr>
          <w:color w:val="auto"/>
        </w:rPr>
        <w:t>quations[M].</w:t>
      </w:r>
      <w:r>
        <w:rPr>
          <w:rFonts w:hint="eastAsia"/>
          <w:color w:val="auto"/>
        </w:rPr>
        <w:t xml:space="preserve"> </w:t>
      </w:r>
      <w:r>
        <w:rPr>
          <w:color w:val="auto"/>
        </w:rPr>
        <w:t>Springer, Cham,2025(1)</w:t>
      </w:r>
      <w:bookmarkEnd w:id="266"/>
      <w:r>
        <w:rPr>
          <w:color w:val="auto"/>
        </w:rPr>
        <w:t xml:space="preserve">:17-21. </w:t>
      </w:r>
    </w:p>
    <w:p w14:paraId="71C3ECE8">
      <w:pPr>
        <w:numPr>
          <w:ilvl w:val="0"/>
          <w:numId w:val="3"/>
        </w:numPr>
        <w:snapToGrid w:val="0"/>
        <w:spacing w:after="160" w:line="400" w:lineRule="exact"/>
        <w:contextualSpacing/>
        <w:rPr>
          <w:color w:val="auto"/>
        </w:rPr>
      </w:pPr>
      <w:bookmarkStart w:id="267" w:name="_Ref193110112"/>
      <w:r>
        <w:rPr>
          <w:color w:val="auto"/>
        </w:rPr>
        <w:t>Jeremy</w:t>
      </w:r>
      <w:r>
        <w:rPr>
          <w:rFonts w:hint="eastAsia"/>
          <w:color w:val="auto"/>
        </w:rPr>
        <w:t xml:space="preserve"> </w:t>
      </w:r>
      <w:r>
        <w:rPr>
          <w:color w:val="auto"/>
        </w:rPr>
        <w:t>A.K. Horwitz.</w:t>
      </w:r>
      <w:r>
        <w:rPr>
          <w:rFonts w:hint="eastAsia"/>
          <w:color w:val="auto"/>
        </w:rPr>
        <w:t xml:space="preserve"> </w:t>
      </w:r>
      <w:r>
        <w:rPr>
          <w:color w:val="auto"/>
        </w:rPr>
        <w:t>8-</w:t>
      </w:r>
      <w:r>
        <w:rPr>
          <w:rFonts w:hint="eastAsia"/>
          <w:color w:val="auto"/>
        </w:rPr>
        <w:t>i</w:t>
      </w:r>
      <w:r>
        <w:rPr>
          <w:color w:val="auto"/>
        </w:rPr>
        <w:t xml:space="preserve">mproved force models for </w:t>
      </w:r>
      <w:r>
        <w:rPr>
          <w:rFonts w:hint="eastAsia"/>
          <w:color w:val="auto"/>
        </w:rPr>
        <w:t>e</w:t>
      </w:r>
      <w:r>
        <w:rPr>
          <w:color w:val="auto"/>
        </w:rPr>
        <w:t>uler–</w:t>
      </w:r>
      <w:r>
        <w:rPr>
          <w:rFonts w:hint="eastAsia"/>
          <w:color w:val="auto"/>
        </w:rPr>
        <w:t>l</w:t>
      </w:r>
      <w:r>
        <w:rPr>
          <w:color w:val="auto"/>
        </w:rPr>
        <w:t>agrange computations[M].</w:t>
      </w:r>
      <w:r>
        <w:rPr>
          <w:rFonts w:hint="eastAsia"/>
          <w:color w:val="auto"/>
        </w:rPr>
        <w:t xml:space="preserve"> </w:t>
      </w:r>
      <w:r>
        <w:rPr>
          <w:color w:val="auto"/>
        </w:rPr>
        <w:t>Elsevier Inc</w:t>
      </w:r>
      <w:r>
        <w:rPr>
          <w:rFonts w:hint="eastAsia"/>
          <w:color w:val="auto"/>
        </w:rPr>
        <w:t xml:space="preserve">, </w:t>
      </w:r>
      <w:r>
        <w:rPr>
          <w:color w:val="auto"/>
        </w:rPr>
        <w:t>2023(4):44-51.</w:t>
      </w:r>
      <w:bookmarkEnd w:id="267"/>
    </w:p>
    <w:p w14:paraId="0464673D">
      <w:pPr>
        <w:numPr>
          <w:ilvl w:val="0"/>
          <w:numId w:val="3"/>
        </w:numPr>
        <w:snapToGrid w:val="0"/>
        <w:spacing w:after="160" w:line="400" w:lineRule="exact"/>
        <w:contextualSpacing/>
        <w:rPr>
          <w:color w:val="auto"/>
        </w:rPr>
      </w:pPr>
      <w:bookmarkStart w:id="268" w:name="_Ref193110131"/>
      <w:r>
        <w:rPr>
          <w:color w:val="auto"/>
        </w:rPr>
        <w:t>吴国强.</w:t>
      </w:r>
      <w:r>
        <w:rPr>
          <w:rFonts w:hint="eastAsia"/>
          <w:color w:val="auto"/>
        </w:rPr>
        <w:t xml:space="preserve"> </w:t>
      </w:r>
      <w:r>
        <w:rPr>
          <w:color w:val="auto"/>
        </w:rPr>
        <w:t>冗余机械臂轨迹的增广Lagrange-改进粒子群算法优化[J].</w:t>
      </w:r>
      <w:r>
        <w:rPr>
          <w:rFonts w:hint="eastAsia"/>
          <w:color w:val="auto"/>
        </w:rPr>
        <w:t xml:space="preserve"> </w:t>
      </w:r>
      <w:r>
        <w:rPr>
          <w:color w:val="auto"/>
        </w:rPr>
        <w:t>机械建立与制造, 2023(1):268-272.</w:t>
      </w:r>
      <w:bookmarkEnd w:id="268"/>
    </w:p>
    <w:p w14:paraId="1AD93274">
      <w:pPr>
        <w:numPr>
          <w:ilvl w:val="0"/>
          <w:numId w:val="3"/>
        </w:numPr>
        <w:snapToGrid w:val="0"/>
        <w:spacing w:after="160" w:line="400" w:lineRule="exact"/>
        <w:contextualSpacing/>
        <w:rPr>
          <w:color w:val="auto"/>
        </w:rPr>
      </w:pPr>
      <w:bookmarkStart w:id="269" w:name="_Ref193110173"/>
      <w:r>
        <w:rPr>
          <w:color w:val="auto"/>
        </w:rPr>
        <w:t>史光伟</w:t>
      </w:r>
      <w:r>
        <w:rPr>
          <w:rFonts w:hint="eastAsia"/>
          <w:color w:val="auto"/>
        </w:rPr>
        <w:t xml:space="preserve">, </w:t>
      </w:r>
      <w:r>
        <w:rPr>
          <w:color w:val="auto"/>
        </w:rPr>
        <w:t>王启任.</w:t>
      </w:r>
      <w:r>
        <w:rPr>
          <w:rFonts w:hint="eastAsia"/>
          <w:color w:val="auto"/>
        </w:rPr>
        <w:t xml:space="preserve"> </w:t>
      </w:r>
      <w:r>
        <w:rPr>
          <w:color w:val="auto"/>
        </w:rPr>
        <w:t>基于改进灰狼算法的多任务优化算法[J].</w:t>
      </w:r>
      <w:r>
        <w:rPr>
          <w:rFonts w:hint="eastAsia"/>
          <w:color w:val="auto"/>
        </w:rPr>
        <w:t xml:space="preserve"> </w:t>
      </w:r>
      <w:r>
        <w:rPr>
          <w:color w:val="auto"/>
        </w:rPr>
        <w:t>天津工业大学学报, 2023, 42(5):81-86.</w:t>
      </w:r>
      <w:bookmarkEnd w:id="269"/>
    </w:p>
    <w:p w14:paraId="197154D3">
      <w:pPr>
        <w:numPr>
          <w:ilvl w:val="0"/>
          <w:numId w:val="3"/>
        </w:numPr>
        <w:snapToGrid w:val="0"/>
        <w:spacing w:after="160" w:line="400" w:lineRule="exact"/>
        <w:contextualSpacing/>
        <w:rPr>
          <w:color w:val="auto"/>
        </w:rPr>
      </w:pPr>
      <w:bookmarkStart w:id="270" w:name="_Ref193110257"/>
      <w:r>
        <w:rPr>
          <w:color w:val="auto"/>
        </w:rPr>
        <w:t>张文宁</w:t>
      </w:r>
      <w:r>
        <w:rPr>
          <w:rFonts w:hint="eastAsia"/>
          <w:color w:val="auto"/>
        </w:rPr>
        <w:t xml:space="preserve">, </w:t>
      </w:r>
      <w:r>
        <w:rPr>
          <w:color w:val="auto"/>
        </w:rPr>
        <w:t>周清雷</w:t>
      </w:r>
      <w:r>
        <w:rPr>
          <w:rFonts w:hint="eastAsia"/>
          <w:color w:val="auto"/>
        </w:rPr>
        <w:t xml:space="preserve">, </w:t>
      </w:r>
      <w:r>
        <w:rPr>
          <w:color w:val="auto"/>
        </w:rPr>
        <w:t>焦重阳</w:t>
      </w:r>
      <w:r>
        <w:rPr>
          <w:rFonts w:hint="eastAsia"/>
          <w:color w:val="auto"/>
        </w:rPr>
        <w:t xml:space="preserve">, </w:t>
      </w:r>
      <w:r>
        <w:rPr>
          <w:color w:val="auto"/>
        </w:rPr>
        <w:t>等.</w:t>
      </w:r>
      <w:r>
        <w:rPr>
          <w:rFonts w:hint="eastAsia"/>
          <w:color w:val="auto"/>
        </w:rPr>
        <w:t xml:space="preserve"> </w:t>
      </w:r>
      <w:r>
        <w:rPr>
          <w:color w:val="auto"/>
        </w:rPr>
        <w:t>基于灰狼算术混合优化算法的类集成测试序列生成方法[J].</w:t>
      </w:r>
      <w:r>
        <w:rPr>
          <w:rFonts w:hint="eastAsia"/>
          <w:color w:val="auto"/>
        </w:rPr>
        <w:t xml:space="preserve"> </w:t>
      </w:r>
      <w:r>
        <w:rPr>
          <w:color w:val="auto"/>
        </w:rPr>
        <w:t>计算机科学, 2023(5):22-27.</w:t>
      </w:r>
      <w:bookmarkEnd w:id="270"/>
    </w:p>
    <w:p w14:paraId="2BCFDD79">
      <w:pPr>
        <w:numPr>
          <w:ilvl w:val="0"/>
          <w:numId w:val="3"/>
        </w:numPr>
        <w:snapToGrid w:val="0"/>
        <w:spacing w:after="160" w:line="400" w:lineRule="exact"/>
        <w:contextualSpacing/>
        <w:rPr>
          <w:color w:val="auto"/>
        </w:rPr>
      </w:pPr>
      <w:r>
        <w:rPr>
          <w:color w:val="auto"/>
        </w:rPr>
        <w:t>Ma S, Yu N, Wang X,</w:t>
      </w:r>
      <w:r>
        <w:rPr>
          <w:rFonts w:hint="eastAsia"/>
          <w:color w:val="auto"/>
        </w:rPr>
        <w:t xml:space="preserve"> </w:t>
      </w:r>
      <w:r>
        <w:rPr>
          <w:color w:val="auto"/>
        </w:rPr>
        <w:t>et al.</w:t>
      </w:r>
      <w:r>
        <w:rPr>
          <w:rFonts w:hint="eastAsia"/>
          <w:color w:val="auto"/>
        </w:rPr>
        <w:t xml:space="preserve"> </w:t>
      </w:r>
      <w:r>
        <w:rPr>
          <w:color w:val="auto"/>
        </w:rPr>
        <w:t xml:space="preserve">Multi-Criteria </w:t>
      </w:r>
      <w:r>
        <w:rPr>
          <w:rFonts w:hint="eastAsia"/>
          <w:color w:val="auto"/>
        </w:rPr>
        <w:t>d</w:t>
      </w:r>
      <w:r>
        <w:rPr>
          <w:color w:val="auto"/>
        </w:rPr>
        <w:t>ecision-</w:t>
      </w:r>
      <w:r>
        <w:rPr>
          <w:rFonts w:hint="eastAsia"/>
          <w:color w:val="auto"/>
        </w:rPr>
        <w:t>m</w:t>
      </w:r>
      <w:r>
        <w:rPr>
          <w:color w:val="auto"/>
        </w:rPr>
        <w:t xml:space="preserve">aking for </w:t>
      </w:r>
      <w:r>
        <w:rPr>
          <w:rFonts w:hint="eastAsia"/>
          <w:color w:val="auto"/>
        </w:rPr>
        <w:t>p</w:t>
      </w:r>
      <w:r>
        <w:rPr>
          <w:color w:val="auto"/>
        </w:rPr>
        <w:t xml:space="preserve">ower </w:t>
      </w:r>
      <w:r>
        <w:rPr>
          <w:rFonts w:hint="eastAsia"/>
          <w:color w:val="auto"/>
        </w:rPr>
        <w:t>g</w:t>
      </w:r>
      <w:r>
        <w:rPr>
          <w:color w:val="auto"/>
        </w:rPr>
        <w:t xml:space="preserve">rid </w:t>
      </w:r>
      <w:r>
        <w:rPr>
          <w:rFonts w:hint="eastAsia"/>
          <w:color w:val="auto"/>
        </w:rPr>
        <w:t>c</w:t>
      </w:r>
      <w:r>
        <w:rPr>
          <w:color w:val="auto"/>
        </w:rPr>
        <w:t xml:space="preserve">onstruction </w:t>
      </w:r>
      <w:r>
        <w:rPr>
          <w:rFonts w:hint="eastAsia"/>
          <w:color w:val="auto"/>
        </w:rPr>
        <w:t>p</w:t>
      </w:r>
      <w:r>
        <w:rPr>
          <w:color w:val="auto"/>
        </w:rPr>
        <w:t xml:space="preserve">roject </w:t>
      </w:r>
      <w:r>
        <w:rPr>
          <w:rFonts w:hint="eastAsia"/>
          <w:color w:val="auto"/>
        </w:rPr>
        <w:t>i</w:t>
      </w:r>
      <w:r>
        <w:rPr>
          <w:color w:val="auto"/>
        </w:rPr>
        <w:t xml:space="preserve">nvestment </w:t>
      </w:r>
      <w:r>
        <w:rPr>
          <w:rFonts w:hint="eastAsia"/>
          <w:color w:val="auto"/>
        </w:rPr>
        <w:t>r</w:t>
      </w:r>
      <w:r>
        <w:rPr>
          <w:color w:val="auto"/>
        </w:rPr>
        <w:t xml:space="preserve">anking </w:t>
      </w:r>
      <w:r>
        <w:rPr>
          <w:rFonts w:hint="eastAsia"/>
          <w:color w:val="auto"/>
        </w:rPr>
        <w:t>b</w:t>
      </w:r>
      <w:r>
        <w:rPr>
          <w:color w:val="auto"/>
        </w:rPr>
        <w:t xml:space="preserve">ased on the </w:t>
      </w:r>
      <w:r>
        <w:rPr>
          <w:rFonts w:hint="eastAsia"/>
          <w:color w:val="auto"/>
        </w:rPr>
        <w:t>p</w:t>
      </w:r>
      <w:r>
        <w:rPr>
          <w:color w:val="auto"/>
        </w:rPr>
        <w:t xml:space="preserve">rospect </w:t>
      </w:r>
      <w:r>
        <w:rPr>
          <w:rFonts w:hint="eastAsia"/>
          <w:color w:val="auto"/>
        </w:rPr>
        <w:t>t</w:t>
      </w:r>
      <w:r>
        <w:rPr>
          <w:color w:val="auto"/>
        </w:rPr>
        <w:t xml:space="preserve">heory </w:t>
      </w:r>
      <w:r>
        <w:rPr>
          <w:rFonts w:hint="eastAsia"/>
          <w:color w:val="auto"/>
        </w:rPr>
        <w:t>i</w:t>
      </w:r>
      <w:r>
        <w:rPr>
          <w:color w:val="auto"/>
        </w:rPr>
        <w:t xml:space="preserve">mproved by </w:t>
      </w:r>
      <w:r>
        <w:rPr>
          <w:rFonts w:hint="eastAsia"/>
          <w:color w:val="auto"/>
        </w:rPr>
        <w:t>r</w:t>
      </w:r>
      <w:r>
        <w:rPr>
          <w:color w:val="auto"/>
        </w:rPr>
        <w:t xml:space="preserve">ewarding </w:t>
      </w:r>
      <w:r>
        <w:rPr>
          <w:rFonts w:hint="eastAsia"/>
          <w:color w:val="auto"/>
        </w:rPr>
        <w:t>g</w:t>
      </w:r>
      <w:r>
        <w:rPr>
          <w:color w:val="auto"/>
        </w:rPr>
        <w:t xml:space="preserve">ood and </w:t>
      </w:r>
      <w:r>
        <w:rPr>
          <w:rFonts w:hint="eastAsia"/>
          <w:color w:val="auto"/>
        </w:rPr>
        <w:t>p</w:t>
      </w:r>
      <w:r>
        <w:rPr>
          <w:color w:val="auto"/>
        </w:rPr>
        <w:t xml:space="preserve">unishing </w:t>
      </w:r>
      <w:r>
        <w:rPr>
          <w:rFonts w:hint="eastAsia"/>
          <w:color w:val="auto"/>
        </w:rPr>
        <w:t>b</w:t>
      </w:r>
      <w:r>
        <w:rPr>
          <w:color w:val="auto"/>
        </w:rPr>
        <w:t xml:space="preserve">ad </w:t>
      </w:r>
      <w:r>
        <w:rPr>
          <w:rFonts w:hint="eastAsia"/>
          <w:color w:val="auto"/>
        </w:rPr>
        <w:t>l</w:t>
      </w:r>
      <w:r>
        <w:rPr>
          <w:color w:val="auto"/>
        </w:rPr>
        <w:t xml:space="preserve">inear </w:t>
      </w:r>
      <w:r>
        <w:rPr>
          <w:rFonts w:hint="eastAsia"/>
          <w:color w:val="auto"/>
        </w:rPr>
        <w:t>t</w:t>
      </w:r>
      <w:r>
        <w:rPr>
          <w:color w:val="auto"/>
        </w:rPr>
        <w:t>ransformation[J].</w:t>
      </w:r>
      <w:r>
        <w:rPr>
          <w:rFonts w:hint="eastAsia"/>
          <w:color w:val="auto"/>
        </w:rPr>
        <w:t xml:space="preserve"> </w:t>
      </w:r>
      <w:r>
        <w:rPr>
          <w:color w:val="auto"/>
        </w:rPr>
        <w:t>Energy Engineering, 2023(10):2369-2392.</w:t>
      </w:r>
    </w:p>
    <w:p w14:paraId="607034FC">
      <w:pPr>
        <w:numPr>
          <w:ilvl w:val="0"/>
          <w:numId w:val="3"/>
        </w:numPr>
        <w:snapToGrid w:val="0"/>
        <w:spacing w:after="160" w:line="400" w:lineRule="exact"/>
        <w:contextualSpacing/>
        <w:rPr>
          <w:color w:val="auto"/>
        </w:rPr>
      </w:pPr>
      <w:r>
        <w:rPr>
          <w:color w:val="auto"/>
        </w:rPr>
        <w:t>张胜意.</w:t>
      </w:r>
      <w:r>
        <w:rPr>
          <w:rFonts w:hint="eastAsia"/>
          <w:color w:val="auto"/>
        </w:rPr>
        <w:t xml:space="preserve"> </w:t>
      </w:r>
      <w:r>
        <w:rPr>
          <w:color w:val="auto"/>
        </w:rPr>
        <w:t>基于作业成本法的电力工程建设成本控制系统建立[J].</w:t>
      </w:r>
      <w:r>
        <w:rPr>
          <w:rFonts w:hint="eastAsia"/>
          <w:color w:val="auto"/>
        </w:rPr>
        <w:t xml:space="preserve"> </w:t>
      </w:r>
      <w:r>
        <w:rPr>
          <w:color w:val="auto"/>
        </w:rPr>
        <w:t>电气技术与经济, 2024(12):37-41.</w:t>
      </w:r>
    </w:p>
    <w:p w14:paraId="4BAD9312">
      <w:pPr>
        <w:numPr>
          <w:ilvl w:val="0"/>
          <w:numId w:val="3"/>
        </w:numPr>
        <w:snapToGrid w:val="0"/>
        <w:spacing w:after="160" w:line="400" w:lineRule="exact"/>
        <w:contextualSpacing/>
        <w:rPr>
          <w:color w:val="auto"/>
        </w:rPr>
      </w:pPr>
      <w:r>
        <w:rPr>
          <w:color w:val="auto"/>
        </w:rPr>
        <w:t>Yang J</w:t>
      </w:r>
      <w:r>
        <w:rPr>
          <w:rFonts w:hint="eastAsia"/>
          <w:color w:val="auto"/>
        </w:rPr>
        <w:t xml:space="preserve">, </w:t>
      </w:r>
      <w:r>
        <w:rPr>
          <w:color w:val="auto"/>
        </w:rPr>
        <w:t>Jiao J</w:t>
      </w:r>
      <w:r>
        <w:rPr>
          <w:rFonts w:hint="eastAsia"/>
          <w:color w:val="auto"/>
        </w:rPr>
        <w:t xml:space="preserve">, </w:t>
      </w:r>
      <w:r>
        <w:rPr>
          <w:color w:val="auto"/>
        </w:rPr>
        <w:t>Wen X</w:t>
      </w:r>
      <w:r>
        <w:rPr>
          <w:rFonts w:hint="eastAsia"/>
          <w:color w:val="auto"/>
        </w:rPr>
        <w:t>. R</w:t>
      </w:r>
      <w:r>
        <w:rPr>
          <w:color w:val="auto"/>
        </w:rPr>
        <w:t>esearch on optima1 investment decision of distribution network projects under the construction of the new power system[J].</w:t>
      </w:r>
      <w:r>
        <w:rPr>
          <w:rFonts w:hint="eastAsia"/>
          <w:color w:val="auto"/>
        </w:rPr>
        <w:t xml:space="preserve"> </w:t>
      </w:r>
      <w:r>
        <w:rPr>
          <w:color w:val="auto"/>
        </w:rPr>
        <w:t>IOP Publishing Ltd, 2024(4):1742-1831.</w:t>
      </w:r>
    </w:p>
    <w:p w14:paraId="47CF279B">
      <w:pPr>
        <w:numPr>
          <w:ilvl w:val="0"/>
          <w:numId w:val="3"/>
        </w:numPr>
        <w:snapToGrid w:val="0"/>
        <w:spacing w:after="160" w:line="400" w:lineRule="exact"/>
        <w:contextualSpacing/>
        <w:rPr>
          <w:rFonts w:hint="eastAsia"/>
          <w:color w:val="auto"/>
        </w:rPr>
      </w:pPr>
      <w:r>
        <w:rPr>
          <w:color w:val="auto"/>
        </w:rPr>
        <w:t>Dias R N, Filipe R M, Matos H A.</w:t>
      </w:r>
      <w:r>
        <w:rPr>
          <w:rFonts w:hint="eastAsia"/>
          <w:color w:val="auto"/>
        </w:rPr>
        <w:t xml:space="preserve"> </w:t>
      </w:r>
      <w:r>
        <w:rPr>
          <w:color w:val="auto"/>
        </w:rPr>
        <w:t>Decision-making based on sustainability analysis using greenscope[J].</w:t>
      </w:r>
      <w:r>
        <w:rPr>
          <w:rFonts w:hint="eastAsia"/>
          <w:color w:val="auto"/>
        </w:rPr>
        <w:t xml:space="preserve"> </w:t>
      </w:r>
      <w:r>
        <w:rPr>
          <w:color w:val="auto"/>
        </w:rPr>
        <w:t>Clean Technologies &amp; Environmental Policy, 2024(3):1023-1026.</w:t>
      </w:r>
    </w:p>
    <w:p w14:paraId="09DA613B">
      <w:pPr>
        <w:spacing w:line="400" w:lineRule="exact"/>
        <w:rPr>
          <w:rFonts w:eastAsia="黑体"/>
          <w:b/>
          <w:color w:val="auto"/>
          <w:kern w:val="44"/>
          <w:sz w:val="36"/>
          <w:szCs w:val="20"/>
        </w:rPr>
      </w:pPr>
    </w:p>
    <w:sectPr>
      <w:pgSz w:w="11906" w:h="16838"/>
      <w:pgMar w:top="1440" w:right="1800" w:bottom="1440" w:left="1800" w:header="1077"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6">
    <w:p/>
  </w:endnote>
  <w:endnote w:type="continuationSeparator" w:id="7">
    <w:p/>
  </w:endnote>
  <w:endnote w:id="0">
    <w:p w14:paraId="3DF903EE">
      <w:pPr>
        <w:pStyle w:val="10"/>
        <w:spacing w:line="300" w:lineRule="auto"/>
        <w:rPr>
          <w:color w:val="0000FF"/>
        </w:rPr>
      </w:pPr>
    </w:p>
  </w:endnote>
  <w:endnote w:id="1">
    <w:p w14:paraId="2E5C5A4A">
      <w:pPr>
        <w:pStyle w:val="10"/>
        <w:spacing w:line="300" w:lineRule="auto"/>
        <w:rPr>
          <w:color w:val="0000FF"/>
        </w:rPr>
      </w:pPr>
    </w:p>
  </w:endnote>
  <w:endnote w:id="2">
    <w:p w14:paraId="61354CBB">
      <w:pPr>
        <w:pStyle w:val="10"/>
        <w:spacing w:line="300" w:lineRule="auto"/>
        <w:rPr>
          <w:color w:val="0000FF"/>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0002A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2FF" w:usb1="420024FF" w:usb2="00000000" w:usb3="00000000" w:csb0="2000019F" w:csb1="00000000"/>
  </w:font>
  <w:font w:name="MS Mincho">
    <w:altName w:val="Yu Gothic UI"/>
    <w:panose1 w:val="02020609040205080304"/>
    <w:charset w:val="80"/>
    <w:family w:val="modern"/>
    <w:pitch w:val="default"/>
    <w:sig w:usb0="00000000" w:usb1="00000000" w:usb2="08000012" w:usb3="00000000" w:csb0="0002009F" w:csb1="00000000"/>
  </w:font>
  <w:font w:name="ＭＳ 明朝">
    <w:altName w:val="Segoe Print"/>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auto"/>
    <w:pitch w:val="default"/>
    <w:sig w:usb0="80000287" w:usb1="28CF3C50" w:usb2="00000016" w:usb3="00000000" w:csb0="0004001F"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97332">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8663FC">
                          <w:pPr>
                            <w:pStyle w:val="11"/>
                            <w:rPr>
                              <w:rStyle w:val="21"/>
                            </w:rPr>
                          </w:pPr>
                          <w:r>
                            <w:rPr>
                              <w:rStyle w:val="21"/>
                            </w:rPr>
                            <w:fldChar w:fldCharType="begin"/>
                          </w:r>
                          <w:r>
                            <w:rPr>
                              <w:rStyle w:val="21"/>
                            </w:rPr>
                            <w:instrText xml:space="preserve">PAGE  </w:instrText>
                          </w:r>
                          <w:r>
                            <w:rPr>
                              <w:rStyle w:val="21"/>
                            </w:rPr>
                            <w:fldChar w:fldCharType="separate"/>
                          </w:r>
                          <w:r>
                            <w:rPr>
                              <w:rStyle w:val="21"/>
                            </w:rPr>
                            <w:t>I</w:t>
                          </w:r>
                          <w:r>
                            <w:rPr>
                              <w:rStyle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378663FC">
                    <w:pPr>
                      <w:pStyle w:val="11"/>
                      <w:rPr>
                        <w:rStyle w:val="21"/>
                      </w:rPr>
                    </w:pPr>
                    <w:r>
                      <w:rPr>
                        <w:rStyle w:val="21"/>
                      </w:rPr>
                      <w:fldChar w:fldCharType="begin"/>
                    </w:r>
                    <w:r>
                      <w:rPr>
                        <w:rStyle w:val="21"/>
                      </w:rPr>
                      <w:instrText xml:space="preserve">PAGE  </w:instrText>
                    </w:r>
                    <w:r>
                      <w:rPr>
                        <w:rStyle w:val="21"/>
                      </w:rPr>
                      <w:fldChar w:fldCharType="separate"/>
                    </w:r>
                    <w:r>
                      <w:rPr>
                        <w:rStyle w:val="21"/>
                      </w:rPr>
                      <w:t>I</w:t>
                    </w:r>
                    <w:r>
                      <w:rPr>
                        <w:rStyle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92C6F">
    <w:pPr>
      <w:pStyle w:val="11"/>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7160"/>
                          </w:sdtPr>
                          <w:sdtContent>
                            <w:p w14:paraId="2AC97E43">
                              <w:pPr>
                                <w:pStyle w:val="11"/>
                                <w:jc w:val="center"/>
                              </w:pPr>
                              <w:r>
                                <w:fldChar w:fldCharType="begin"/>
                              </w:r>
                              <w:r>
                                <w:instrText xml:space="preserve">PAGE   \* MERGEFORMAT</w:instrText>
                              </w:r>
                              <w:r>
                                <w:fldChar w:fldCharType="separate"/>
                              </w:r>
                              <w:r>
                                <w:rPr>
                                  <w:lang w:val="zh-CN"/>
                                </w:rPr>
                                <w:t>2</w:t>
                              </w:r>
                              <w:r>
                                <w:fldChar w:fldCharType="end"/>
                              </w:r>
                            </w:p>
                          </w:sdtContent>
                        </w:sdt>
                        <w:p w14:paraId="0EFD955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sdt>
                    <w:sdtPr>
                      <w:id w:val="147457160"/>
                    </w:sdtPr>
                    <w:sdtContent>
                      <w:p w14:paraId="2AC97E43">
                        <w:pPr>
                          <w:pStyle w:val="11"/>
                          <w:jc w:val="center"/>
                        </w:pPr>
                        <w:r>
                          <w:fldChar w:fldCharType="begin"/>
                        </w:r>
                        <w:r>
                          <w:instrText xml:space="preserve">PAGE   \* MERGEFORMAT</w:instrText>
                        </w:r>
                        <w:r>
                          <w:fldChar w:fldCharType="separate"/>
                        </w:r>
                        <w:r>
                          <w:rPr>
                            <w:lang w:val="zh-CN"/>
                          </w:rPr>
                          <w:t>2</w:t>
                        </w:r>
                        <w:r>
                          <w:fldChar w:fldCharType="end"/>
                        </w:r>
                      </w:p>
                    </w:sdtContent>
                  </w:sdt>
                  <w:p w14:paraId="0EFD955A"/>
                </w:txbxContent>
              </v:textbox>
            </v:shape>
          </w:pict>
        </mc:Fallback>
      </mc:AlternateContent>
    </w:r>
  </w:p>
  <w:p w14:paraId="245A9F6D">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2180548"/>
      <w:docPartObj>
        <w:docPartGallery w:val="autotext"/>
      </w:docPartObj>
    </w:sdtPr>
    <w:sdtContent>
      <w:p w14:paraId="6AEAF88F">
        <w:pPr>
          <w:pStyle w:val="11"/>
          <w:jc w:val="center"/>
        </w:pPr>
        <w:r>
          <w:fldChar w:fldCharType="begin"/>
        </w:r>
        <w:r>
          <w:instrText xml:space="preserve">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204EA">
    <w:pPr>
      <w:pBdr>
        <w:top w:val="none" w:color="auto" w:sz="0" w:space="1"/>
        <w:left w:val="none" w:color="auto" w:sz="0" w:space="4"/>
        <w:bottom w:val="thinThickSmallGap" w:color="auto" w:sz="24" w:space="4"/>
        <w:right w:val="none" w:color="auto" w:sz="0" w:space="4"/>
      </w:pBdr>
      <w:tabs>
        <w:tab w:val="left" w:pos="2662"/>
        <w:tab w:val="center" w:pos="4153"/>
        <w:tab w:val="right" w:pos="8306"/>
      </w:tabs>
      <w:snapToGrid w:val="0"/>
      <w:jc w:val="left"/>
      <w:rPr>
        <w:sz w:val="18"/>
        <w:szCs w:val="20"/>
      </w:rPr>
    </w:pPr>
    <w:r>
      <w:rPr>
        <w:sz w:val="18"/>
        <w:szCs w:val="20"/>
      </w:rPr>
      <w:tab/>
    </w:r>
    <w:r>
      <w:rPr>
        <w:sz w:val="18"/>
        <w:szCs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FE13D5"/>
    <w:multiLevelType w:val="singleLevel"/>
    <w:tmpl w:val="E9FE13D5"/>
    <w:lvl w:ilvl="0" w:tentative="0">
      <w:start w:val="2"/>
      <w:numFmt w:val="decimal"/>
      <w:suff w:val="nothing"/>
      <w:lvlText w:val="（%1）"/>
      <w:lvlJc w:val="left"/>
    </w:lvl>
  </w:abstractNum>
  <w:abstractNum w:abstractNumId="1">
    <w:nsid w:val="01204155"/>
    <w:multiLevelType w:val="singleLevel"/>
    <w:tmpl w:val="01204155"/>
    <w:lvl w:ilvl="0" w:tentative="0">
      <w:start w:val="1"/>
      <w:numFmt w:val="decimal"/>
      <w:suff w:val="nothing"/>
      <w:lvlText w:val="（%1）"/>
      <w:lvlJc w:val="left"/>
    </w:lvl>
  </w:abstractNum>
  <w:abstractNum w:abstractNumId="2">
    <w:nsid w:val="59E45B8C"/>
    <w:multiLevelType w:val="multilevel"/>
    <w:tmpl w:val="59E45B8C"/>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6"/>
    <w:endnote w:id="7"/>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707AD1"/>
    <w:rsid w:val="00033864"/>
    <w:rsid w:val="00045B33"/>
    <w:rsid w:val="0005679B"/>
    <w:rsid w:val="00061F58"/>
    <w:rsid w:val="000A7541"/>
    <w:rsid w:val="000C5153"/>
    <w:rsid w:val="000C62B8"/>
    <w:rsid w:val="000C780D"/>
    <w:rsid w:val="000F3098"/>
    <w:rsid w:val="00104D04"/>
    <w:rsid w:val="00106A41"/>
    <w:rsid w:val="00116775"/>
    <w:rsid w:val="00117313"/>
    <w:rsid w:val="00162215"/>
    <w:rsid w:val="00170CEA"/>
    <w:rsid w:val="00174358"/>
    <w:rsid w:val="001830D6"/>
    <w:rsid w:val="00192F69"/>
    <w:rsid w:val="00201D7A"/>
    <w:rsid w:val="00213158"/>
    <w:rsid w:val="00227200"/>
    <w:rsid w:val="00230490"/>
    <w:rsid w:val="002464DD"/>
    <w:rsid w:val="00264748"/>
    <w:rsid w:val="00291C76"/>
    <w:rsid w:val="00293A50"/>
    <w:rsid w:val="002A00D1"/>
    <w:rsid w:val="002B56B2"/>
    <w:rsid w:val="002D21B3"/>
    <w:rsid w:val="002D3864"/>
    <w:rsid w:val="002E6886"/>
    <w:rsid w:val="002F2292"/>
    <w:rsid w:val="0030069D"/>
    <w:rsid w:val="00312BAD"/>
    <w:rsid w:val="003441F2"/>
    <w:rsid w:val="0035622F"/>
    <w:rsid w:val="0039704C"/>
    <w:rsid w:val="003C5AD9"/>
    <w:rsid w:val="003D60F0"/>
    <w:rsid w:val="003E1BA4"/>
    <w:rsid w:val="003E67E4"/>
    <w:rsid w:val="004319D7"/>
    <w:rsid w:val="00432F2E"/>
    <w:rsid w:val="00480F7D"/>
    <w:rsid w:val="0048138F"/>
    <w:rsid w:val="004A3DBE"/>
    <w:rsid w:val="004B69BF"/>
    <w:rsid w:val="004D0DE1"/>
    <w:rsid w:val="004D46A3"/>
    <w:rsid w:val="004E082D"/>
    <w:rsid w:val="004E2CB7"/>
    <w:rsid w:val="004F0A15"/>
    <w:rsid w:val="00504E35"/>
    <w:rsid w:val="005078BC"/>
    <w:rsid w:val="00510FE7"/>
    <w:rsid w:val="005275F5"/>
    <w:rsid w:val="0057639B"/>
    <w:rsid w:val="0058396B"/>
    <w:rsid w:val="0058557D"/>
    <w:rsid w:val="005929AC"/>
    <w:rsid w:val="005950D9"/>
    <w:rsid w:val="005954DF"/>
    <w:rsid w:val="005B0215"/>
    <w:rsid w:val="005C3E8B"/>
    <w:rsid w:val="005F6696"/>
    <w:rsid w:val="00602CB9"/>
    <w:rsid w:val="00604E31"/>
    <w:rsid w:val="006109CD"/>
    <w:rsid w:val="006209B1"/>
    <w:rsid w:val="0066302B"/>
    <w:rsid w:val="0068597B"/>
    <w:rsid w:val="006906D8"/>
    <w:rsid w:val="00691719"/>
    <w:rsid w:val="006A66CE"/>
    <w:rsid w:val="006B4724"/>
    <w:rsid w:val="006D223D"/>
    <w:rsid w:val="006E4C59"/>
    <w:rsid w:val="007024D1"/>
    <w:rsid w:val="007273E0"/>
    <w:rsid w:val="00754227"/>
    <w:rsid w:val="0075462C"/>
    <w:rsid w:val="00762F4D"/>
    <w:rsid w:val="00763862"/>
    <w:rsid w:val="00767870"/>
    <w:rsid w:val="0078174B"/>
    <w:rsid w:val="007820B2"/>
    <w:rsid w:val="00792E06"/>
    <w:rsid w:val="007E008A"/>
    <w:rsid w:val="007E1E92"/>
    <w:rsid w:val="007F20D6"/>
    <w:rsid w:val="0081277A"/>
    <w:rsid w:val="00820D2A"/>
    <w:rsid w:val="008243E3"/>
    <w:rsid w:val="00845AA7"/>
    <w:rsid w:val="00866020"/>
    <w:rsid w:val="00867D5D"/>
    <w:rsid w:val="0087259A"/>
    <w:rsid w:val="008842EA"/>
    <w:rsid w:val="008A27F3"/>
    <w:rsid w:val="009107F4"/>
    <w:rsid w:val="00911795"/>
    <w:rsid w:val="009145D2"/>
    <w:rsid w:val="00920483"/>
    <w:rsid w:val="00937B1C"/>
    <w:rsid w:val="00950AC4"/>
    <w:rsid w:val="009653C1"/>
    <w:rsid w:val="009A13BB"/>
    <w:rsid w:val="009B66C7"/>
    <w:rsid w:val="009D239C"/>
    <w:rsid w:val="009D6001"/>
    <w:rsid w:val="009E4B3B"/>
    <w:rsid w:val="009F0CE6"/>
    <w:rsid w:val="00A1633B"/>
    <w:rsid w:val="00A207F5"/>
    <w:rsid w:val="00A20B10"/>
    <w:rsid w:val="00A21707"/>
    <w:rsid w:val="00A35669"/>
    <w:rsid w:val="00A54E4D"/>
    <w:rsid w:val="00A87E3A"/>
    <w:rsid w:val="00AB5EF1"/>
    <w:rsid w:val="00AD196C"/>
    <w:rsid w:val="00AD465D"/>
    <w:rsid w:val="00AF0764"/>
    <w:rsid w:val="00AF5F20"/>
    <w:rsid w:val="00B02BA0"/>
    <w:rsid w:val="00B122B4"/>
    <w:rsid w:val="00B12F3B"/>
    <w:rsid w:val="00B148B6"/>
    <w:rsid w:val="00B20B41"/>
    <w:rsid w:val="00B46150"/>
    <w:rsid w:val="00B54FCD"/>
    <w:rsid w:val="00B5691B"/>
    <w:rsid w:val="00B62764"/>
    <w:rsid w:val="00B63BD8"/>
    <w:rsid w:val="00B72797"/>
    <w:rsid w:val="00BA5A14"/>
    <w:rsid w:val="00BB1B32"/>
    <w:rsid w:val="00C17EA2"/>
    <w:rsid w:val="00C27906"/>
    <w:rsid w:val="00C40C26"/>
    <w:rsid w:val="00C4682B"/>
    <w:rsid w:val="00C5466D"/>
    <w:rsid w:val="00C62A3F"/>
    <w:rsid w:val="00C75021"/>
    <w:rsid w:val="00C814F8"/>
    <w:rsid w:val="00C867EA"/>
    <w:rsid w:val="00C87E38"/>
    <w:rsid w:val="00CA431A"/>
    <w:rsid w:val="00CA6E33"/>
    <w:rsid w:val="00CE0853"/>
    <w:rsid w:val="00CF23AA"/>
    <w:rsid w:val="00CF4F54"/>
    <w:rsid w:val="00D20B52"/>
    <w:rsid w:val="00D24D9B"/>
    <w:rsid w:val="00D44ED9"/>
    <w:rsid w:val="00D47D54"/>
    <w:rsid w:val="00D609FE"/>
    <w:rsid w:val="00D70207"/>
    <w:rsid w:val="00D710D0"/>
    <w:rsid w:val="00D767EC"/>
    <w:rsid w:val="00DA1DDD"/>
    <w:rsid w:val="00DD5C02"/>
    <w:rsid w:val="00DD5D7B"/>
    <w:rsid w:val="00DF79ED"/>
    <w:rsid w:val="00E04307"/>
    <w:rsid w:val="00E123FB"/>
    <w:rsid w:val="00E257C3"/>
    <w:rsid w:val="00E30EA4"/>
    <w:rsid w:val="00E30FBD"/>
    <w:rsid w:val="00E433E5"/>
    <w:rsid w:val="00E527D6"/>
    <w:rsid w:val="00E53DE9"/>
    <w:rsid w:val="00E736B5"/>
    <w:rsid w:val="00E81786"/>
    <w:rsid w:val="00E86DAF"/>
    <w:rsid w:val="00E94B99"/>
    <w:rsid w:val="00EB7790"/>
    <w:rsid w:val="00EC114A"/>
    <w:rsid w:val="00EC3EA5"/>
    <w:rsid w:val="00ED4564"/>
    <w:rsid w:val="00ED4F81"/>
    <w:rsid w:val="00ED5AD6"/>
    <w:rsid w:val="00F21A24"/>
    <w:rsid w:val="00F247B9"/>
    <w:rsid w:val="00F40038"/>
    <w:rsid w:val="00F74234"/>
    <w:rsid w:val="00FB1CFB"/>
    <w:rsid w:val="0DF129EC"/>
    <w:rsid w:val="2F0C4225"/>
    <w:rsid w:val="30707AD1"/>
    <w:rsid w:val="4309471D"/>
    <w:rsid w:val="46585B76"/>
    <w:rsid w:val="57E60D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adjustRightInd w:val="0"/>
      <w:snapToGrid w:val="0"/>
      <w:spacing w:before="400" w:beforeLines="100" w:after="200" w:afterLines="50" w:line="300" w:lineRule="auto"/>
      <w:jc w:val="center"/>
      <w:outlineLvl w:val="0"/>
    </w:pPr>
    <w:rPr>
      <w:rFonts w:eastAsia="黑体"/>
      <w:kern w:val="44"/>
      <w:sz w:val="36"/>
      <w:szCs w:val="36"/>
    </w:rPr>
  </w:style>
  <w:style w:type="paragraph" w:styleId="3">
    <w:name w:val="heading 2"/>
    <w:basedOn w:val="1"/>
    <w:next w:val="1"/>
    <w:qFormat/>
    <w:uiPriority w:val="0"/>
    <w:pPr>
      <w:keepNext/>
      <w:keepLines/>
      <w:adjustRightInd w:val="0"/>
      <w:snapToGrid w:val="0"/>
      <w:spacing w:before="200" w:beforeLines="50" w:after="200" w:afterLines="50" w:line="300" w:lineRule="auto"/>
      <w:outlineLvl w:val="1"/>
    </w:pPr>
    <w:rPr>
      <w:rFonts w:ascii="黑体" w:hAnsi="黑体" w:eastAsia="黑体"/>
      <w:kern w:val="0"/>
      <w:sz w:val="30"/>
      <w:szCs w:val="30"/>
    </w:rPr>
  </w:style>
  <w:style w:type="paragraph" w:styleId="4">
    <w:name w:val="heading 3"/>
    <w:basedOn w:val="1"/>
    <w:next w:val="1"/>
    <w:qFormat/>
    <w:uiPriority w:val="0"/>
    <w:pPr>
      <w:keepNext/>
      <w:keepLines/>
      <w:adjustRightInd w:val="0"/>
      <w:snapToGrid w:val="0"/>
      <w:spacing w:before="200" w:beforeLines="50" w:after="200" w:afterLines="50" w:line="300" w:lineRule="auto"/>
      <w:outlineLvl w:val="2"/>
    </w:pPr>
    <w:rPr>
      <w:rFonts w:eastAsia="黑体"/>
      <w:kern w:val="0"/>
      <w:sz w:val="28"/>
      <w:szCs w:val="28"/>
      <w:lang w:val="zh-CN"/>
    </w:rPr>
  </w:style>
  <w:style w:type="character" w:default="1" w:styleId="19">
    <w:name w:val="Default Paragraph Font"/>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5">
    <w:name w:val="caption"/>
    <w:basedOn w:val="1"/>
    <w:next w:val="1"/>
    <w:unhideWhenUsed/>
    <w:qFormat/>
    <w:uiPriority w:val="0"/>
    <w:rPr>
      <w:rFonts w:eastAsia="黑体" w:asciiTheme="majorHAnsi" w:hAnsiTheme="majorHAnsi" w:cstheme="majorBidi"/>
      <w:sz w:val="20"/>
      <w:szCs w:val="20"/>
    </w:rPr>
  </w:style>
  <w:style w:type="paragraph" w:styleId="6">
    <w:name w:val="annotation text"/>
    <w:basedOn w:val="1"/>
    <w:link w:val="30"/>
    <w:uiPriority w:val="0"/>
    <w:pPr>
      <w:jc w:val="left"/>
    </w:pPr>
  </w:style>
  <w:style w:type="paragraph" w:styleId="7">
    <w:name w:val="toc 3"/>
    <w:basedOn w:val="1"/>
    <w:next w:val="1"/>
    <w:autoRedefine/>
    <w:uiPriority w:val="39"/>
    <w:pPr>
      <w:tabs>
        <w:tab w:val="right" w:leader="dot" w:pos="8296"/>
      </w:tabs>
      <w:ind w:left="840" w:leftChars="400"/>
    </w:pPr>
    <w:rPr>
      <w:rFonts w:eastAsia="黑体"/>
    </w:rPr>
  </w:style>
  <w:style w:type="paragraph" w:styleId="8">
    <w:name w:val="Plain Text"/>
    <w:basedOn w:val="1"/>
    <w:qFormat/>
    <w:uiPriority w:val="0"/>
    <w:rPr>
      <w:rFonts w:ascii="宋体" w:hAnsi="Courier New"/>
      <w:szCs w:val="20"/>
    </w:rPr>
  </w:style>
  <w:style w:type="paragraph" w:styleId="9">
    <w:name w:val="Date"/>
    <w:basedOn w:val="1"/>
    <w:next w:val="1"/>
    <w:link w:val="32"/>
    <w:uiPriority w:val="0"/>
    <w:pPr>
      <w:ind w:left="100" w:leftChars="2500"/>
    </w:pPr>
  </w:style>
  <w:style w:type="paragraph" w:styleId="10">
    <w:name w:val="endnote text"/>
    <w:basedOn w:val="1"/>
    <w:qFormat/>
    <w:uiPriority w:val="0"/>
    <w:pPr>
      <w:snapToGrid w:val="0"/>
      <w:jc w:val="left"/>
    </w:pPr>
  </w:style>
  <w:style w:type="paragraph" w:styleId="11">
    <w:name w:val="footer"/>
    <w:basedOn w:val="1"/>
    <w:link w:val="29"/>
    <w:qFormat/>
    <w:uiPriority w:val="99"/>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autoRedefine/>
    <w:uiPriority w:val="39"/>
    <w:pPr>
      <w:tabs>
        <w:tab w:val="right" w:leader="dot" w:pos="8296"/>
      </w:tabs>
      <w:spacing w:line="360" w:lineRule="exact"/>
    </w:pPr>
    <w:rPr>
      <w:rFonts w:eastAsiaTheme="minorEastAsia"/>
      <w:b/>
      <w:bCs/>
    </w:rPr>
  </w:style>
  <w:style w:type="paragraph" w:styleId="14">
    <w:name w:val="footnote text"/>
    <w:basedOn w:val="1"/>
    <w:qFormat/>
    <w:uiPriority w:val="0"/>
    <w:pPr>
      <w:snapToGrid w:val="0"/>
      <w:jc w:val="left"/>
    </w:pPr>
    <w:rPr>
      <w:sz w:val="18"/>
    </w:rPr>
  </w:style>
  <w:style w:type="paragraph" w:styleId="15">
    <w:name w:val="toc 2"/>
    <w:basedOn w:val="1"/>
    <w:next w:val="1"/>
    <w:autoRedefine/>
    <w:uiPriority w:val="39"/>
    <w:pPr>
      <w:tabs>
        <w:tab w:val="right" w:leader="dot" w:pos="8296"/>
      </w:tabs>
      <w:ind w:left="420" w:leftChars="200"/>
    </w:pPr>
    <w:rPr>
      <w:rFonts w:asciiTheme="minorEastAsia" w:hAnsiTheme="minorEastAsia"/>
    </w:rPr>
  </w:style>
  <w:style w:type="paragraph" w:styleId="16">
    <w:name w:val="annotation subject"/>
    <w:basedOn w:val="6"/>
    <w:next w:val="6"/>
    <w:link w:val="31"/>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endnote reference"/>
    <w:basedOn w:val="19"/>
    <w:qFormat/>
    <w:uiPriority w:val="0"/>
    <w:rPr>
      <w:vertAlign w:val="superscript"/>
    </w:rPr>
  </w:style>
  <w:style w:type="character" w:styleId="21">
    <w:name w:val="page number"/>
    <w:basedOn w:val="19"/>
    <w:qFormat/>
    <w:uiPriority w:val="0"/>
  </w:style>
  <w:style w:type="character" w:styleId="22">
    <w:name w:val="Hyperlink"/>
    <w:basedOn w:val="19"/>
    <w:unhideWhenUsed/>
    <w:qFormat/>
    <w:uiPriority w:val="99"/>
    <w:rPr>
      <w:color w:val="0026E5" w:themeColor="hyperlink"/>
      <w:u w:val="single"/>
      <w14:textFill>
        <w14:solidFill>
          <w14:schemeClr w14:val="hlink"/>
        </w14:solidFill>
      </w14:textFill>
    </w:rPr>
  </w:style>
  <w:style w:type="character" w:styleId="23">
    <w:name w:val="annotation reference"/>
    <w:basedOn w:val="19"/>
    <w:uiPriority w:val="0"/>
    <w:rPr>
      <w:sz w:val="21"/>
      <w:szCs w:val="21"/>
    </w:rPr>
  </w:style>
  <w:style w:type="character" w:styleId="24">
    <w:name w:val="footnote reference"/>
    <w:basedOn w:val="19"/>
    <w:qFormat/>
    <w:uiPriority w:val="0"/>
    <w:rPr>
      <w:vertAlign w:val="superscript"/>
    </w:rPr>
  </w:style>
  <w:style w:type="paragraph" w:customStyle="1" w:styleId="25">
    <w:name w:val="WPSOffice手动目录 1"/>
    <w:qFormat/>
    <w:uiPriority w:val="0"/>
    <w:rPr>
      <w:rFonts w:asciiTheme="minorHAnsi" w:hAnsiTheme="minorHAnsi" w:eastAsiaTheme="minorEastAsia" w:cstheme="minorBidi"/>
      <w:kern w:val="2"/>
      <w:sz w:val="24"/>
      <w:szCs w:val="24"/>
      <w:lang w:val="en-US" w:eastAsia="zh-CN" w:bidi="ar-SA"/>
    </w:rPr>
  </w:style>
  <w:style w:type="paragraph" w:customStyle="1" w:styleId="26">
    <w:name w:val="WPSOffice手动目录 2"/>
    <w:qFormat/>
    <w:uiPriority w:val="0"/>
    <w:pPr>
      <w:ind w:left="200" w:leftChars="200"/>
    </w:pPr>
    <w:rPr>
      <w:rFonts w:asciiTheme="minorHAnsi" w:hAnsiTheme="minorHAnsi" w:eastAsiaTheme="minorEastAsia" w:cstheme="minorBidi"/>
      <w:kern w:val="2"/>
      <w:sz w:val="24"/>
      <w:szCs w:val="24"/>
      <w:lang w:val="en-US" w:eastAsia="zh-CN" w:bidi="ar-SA"/>
    </w:rPr>
  </w:style>
  <w:style w:type="paragraph" w:customStyle="1" w:styleId="27">
    <w:name w:val="WPSOffice手动目录 3"/>
    <w:qFormat/>
    <w:uiPriority w:val="0"/>
    <w:pPr>
      <w:ind w:left="400" w:leftChars="400"/>
    </w:pPr>
    <w:rPr>
      <w:rFonts w:asciiTheme="minorHAnsi" w:hAnsiTheme="minorHAnsi" w:eastAsiaTheme="minorEastAsia" w:cstheme="minorBidi"/>
      <w:kern w:val="2"/>
      <w:sz w:val="24"/>
      <w:szCs w:val="24"/>
      <w:lang w:val="en-US" w:eastAsia="zh-CN" w:bidi="ar-SA"/>
    </w:rPr>
  </w:style>
  <w:style w:type="paragraph" w:customStyle="1" w:styleId="28">
    <w:name w:val="TOC 标题1"/>
    <w:basedOn w:val="2"/>
    <w:next w:val="1"/>
    <w:unhideWhenUsed/>
    <w:qFormat/>
    <w:uiPriority w:val="39"/>
    <w:pPr>
      <w:widowControl/>
      <w:adjustRightInd/>
      <w:snapToGrid/>
      <w:spacing w:before="240" w:beforeLines="0" w:after="0" w:afterLines="0" w:line="259" w:lineRule="auto"/>
      <w:jc w:val="left"/>
      <w:outlineLvl w:val="9"/>
    </w:pPr>
    <w:rPr>
      <w:rFonts w:asciiTheme="majorHAnsi" w:hAnsiTheme="majorHAnsi" w:eastAsiaTheme="majorEastAsia" w:cstheme="majorBidi"/>
      <w:color w:val="2E54A1" w:themeColor="accent1" w:themeShade="BF"/>
      <w:kern w:val="0"/>
      <w:sz w:val="32"/>
      <w:szCs w:val="32"/>
    </w:rPr>
  </w:style>
  <w:style w:type="character" w:customStyle="1" w:styleId="29">
    <w:name w:val="页脚 字符"/>
    <w:basedOn w:val="19"/>
    <w:link w:val="11"/>
    <w:qFormat/>
    <w:uiPriority w:val="99"/>
    <w:rPr>
      <w:kern w:val="2"/>
      <w:sz w:val="18"/>
      <w:szCs w:val="24"/>
    </w:rPr>
  </w:style>
  <w:style w:type="character" w:customStyle="1" w:styleId="30">
    <w:name w:val="批注文字 字符"/>
    <w:basedOn w:val="19"/>
    <w:link w:val="6"/>
    <w:uiPriority w:val="0"/>
    <w:rPr>
      <w:kern w:val="2"/>
      <w:sz w:val="21"/>
      <w:szCs w:val="24"/>
    </w:rPr>
  </w:style>
  <w:style w:type="character" w:customStyle="1" w:styleId="31">
    <w:name w:val="批注主题 字符"/>
    <w:basedOn w:val="30"/>
    <w:link w:val="16"/>
    <w:qFormat/>
    <w:uiPriority w:val="0"/>
    <w:rPr>
      <w:b/>
      <w:bCs/>
      <w:kern w:val="2"/>
      <w:sz w:val="21"/>
      <w:szCs w:val="24"/>
    </w:rPr>
  </w:style>
  <w:style w:type="character" w:customStyle="1" w:styleId="32">
    <w:name w:val="日期 字符"/>
    <w:basedOn w:val="19"/>
    <w:link w:val="9"/>
    <w:qFormat/>
    <w:uiPriority w:val="0"/>
    <w:rPr>
      <w:rFonts w:asciiTheme="minorHAnsi" w:hAnsiTheme="minorHAnsi" w:eastAsiaTheme="minorEastAsia" w:cstheme="minorBidi"/>
      <w:kern w:val="2"/>
      <w:sz w:val="21"/>
      <w:szCs w:val="24"/>
    </w:rPr>
  </w:style>
  <w:style w:type="paragraph" w:styleId="33">
    <w:name w:val="List Paragraph"/>
    <w:basedOn w:val="1"/>
    <w:unhideWhenUsed/>
    <w:qFormat/>
    <w:uiPriority w:val="99"/>
    <w:pPr>
      <w:ind w:firstLine="420" w:firstLineChars="200"/>
    </w:pPr>
  </w:style>
  <w:style w:type="character" w:customStyle="1" w:styleId="34">
    <w:name w:val="react-xocs-alternative-link"/>
    <w:basedOn w:val="19"/>
    <w:uiPriority w:val="0"/>
  </w:style>
  <w:style w:type="character" w:customStyle="1" w:styleId="35">
    <w:name w:val="given-name"/>
    <w:basedOn w:val="19"/>
    <w:uiPriority w:val="0"/>
  </w:style>
  <w:style w:type="character" w:customStyle="1" w:styleId="36">
    <w:name w:val="text"/>
    <w:basedOn w:val="19"/>
    <w:uiPriority w:val="0"/>
  </w:style>
  <w:style w:type="character" w:customStyle="1" w:styleId="37">
    <w:name w:val="author-ref"/>
    <w:basedOn w:val="19"/>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extobjs>
    <extobj name="C9F754DE-2CAD-44b6-B708-469DEB6407EB-1">
      <extobjdata type="C9F754DE-2CAD-44b6-B708-469DEB6407EB" data="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"/>
    </extobj>
    <extobj name="C9F754DE-2CAD-44b6-B708-469DEB6407EB-2">
      <extobjdata type="C9F754DE-2CAD-44b6-B708-469DEB6407EB" data="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"/>
    </extobj>
    <extobj name="C9F754DE-2CAD-44b6-B708-469DEB6407EB-3">
      <extobjdata type="C9F754DE-2CAD-44b6-B708-469DEB6407EB" data="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"/>
    </extobj>
  </extobj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199AC3-8FAE-4694-8F6C-1D2582766B67}">
  <ds:schemaRefs/>
</ds:datastoreItem>
</file>

<file path=docProps/app.xml><?xml version="1.0" encoding="utf-8"?>
<Properties xmlns="http://schemas.openxmlformats.org/officeDocument/2006/extended-properties" xmlns:vt="http://schemas.openxmlformats.org/officeDocument/2006/docPropsVTypes">
  <Template>Normal</Template>
  <Pages>68</Pages>
  <Words>12170</Words>
  <Characters>16153</Characters>
  <Lines>550</Lines>
  <Paragraphs>155</Paragraphs>
  <TotalTime>19</TotalTime>
  <ScaleCrop>false</ScaleCrop>
  <LinksUpToDate>false</LinksUpToDate>
  <CharactersWithSpaces>17063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2025-03-27T15:30:00Z</dcterms:created>
  <dc:creator>往左看@－_－</dc:creator>
  <cp:lastModifiedBy>往左看@－_－</cp:lastModifiedBy>
  <cp:lastPrinted>2025-03-27T03:27:00Z</cp:lastPrinted>
  <dcterms:modified xsi:type="dcterms:W3CDTF">2025-04-05T01:41:32Z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B886166B40F84B799A36B4125E8AD5DF_13</vt:lpwstr>
  </property>
  <property fmtid="{D5CDD505-2E9C-101B-9397-08002B2CF9AE}" pid="4" name="KSOTemplateDocerSaveRecord">
    <vt:lpwstr>eyJoZGlkIjoiMzIxMDE1NzdjODdjYTE5ZjkxYzZmZGExYmMzNDlhODUiLCJ1c2VySWQiOiI0NTc4MDM3NDAifQ==</vt:lpwstr>
  </property>
</Properties>
</file>