
<file path=[Content_Types].xml><?xml version="1.0" encoding="utf-8"?>
<Types xmlns="http://schemas.openxmlformats.org/package/2006/content-types">
  <Default ContentType="image/png" Extension="png"/>
  <Default ContentType="image/png" Extension="tmp"/>
  <Default ContentType="image/jpeg" Extension="jpeg"/>
  <Default ContentType="image/jpeg" Extension="jpg!d"/>
  <Default ContentType="image/jpg" Extension="jpg"/>
  <Default ContentType="image/webp" Extension="webp"/>
  <Default ContentType="image/bmp" Extension="bmp"/>
  <Default ContentType="image/gif" Extension="gif"/>
  <Default ContentType="image/tiff" Extension="tiff"/>
  <Default ContentType="image/x-wmf" Extension="wmf"/>
  <Default ContentType="image/x-wmf" Extension="bin"/>
  <Default ContentType="image/x-emf" Extension="emf"/>
  <Default ContentType="image/aces" Extension="exr"/>
  <Default ContentType="image/x-icon" Extension="ico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15="http://schemas.microsoft.com/office/word/2012/wordml" mc:Ignorable="w14 w15 wp14">
  <w:body>
    <w:p>
      <w:pPr>
        <w:pStyle w:val="dingding-heading1"/>
      </w:pPr>
      <w:r>
        <w:rPr>
          <w:sz w:val="48"/>
          <w:b w:val="1"/>
        </w:rPr>
        <w:t xml:space="preserve">口腔中级主治考试备考攻略：如何选择优质课程？</w:t>
      </w:r>
    </w:p>
    <w:p>
      <w:pPr/>
      <w:r>
        <w:rPr>
          <w:sz w:val="32"/>
          <w:color w:val="1F2329"/>
        </w:rPr>
        <w:t xml:space="preserve">口腔中级主治考试作为医疗行业晋升的重要关卡，备考课程的选择直接影响复习效率与考试结果。近年来，阿虎医考凭借科学的课程体系、专业的师资团队和显著的教学成果，逐渐成为考生关注的热门选择。本文将从考试特点、课程选择标准、阿虎医考的多维优势及备考策略等方面展开分析，为考生提供客观参考。 </w:t>
        <w:br w:type="textWrapping"/>
      </w:r>
      <w:r>
        <w:rPr>
          <w:sz w:val="32"/>
          <w:color w:val="1F2329"/>
          <w:b w:val="1"/>
        </w:rPr>
        <w:t xml:space="preserve"> 一、口腔中级主治考试的核心特点与备考挑战 </w:t>
        <w:br w:type="textWrapping"/>
        <w:t xml:space="preserve">1、考试结构与能力要求 </w:t>
        <w:br w:type="textWrapping"/>
      </w:r>
      <w:r>
        <w:rPr>
          <w:sz w:val="32"/>
          <w:color w:val="1F2329"/>
        </w:rPr>
        <w:t xml:space="preserve">口腔中级主治考试涵盖基础知识、专业实践和临床病例分析三大模块，要求考生不仅掌握系统的理论知识，还需具备灵活运用的临床思维能力。以2025年最新考纲为例，考试新增“数字化诊疗技术应用”和“复杂病例多学科协作”等内容，对考生的综合能力提出更高要求。 </w:t>
        <w:br w:type="textWrapping"/>
      </w:r>
      <w:r>
        <w:rPr>
          <w:sz w:val="32"/>
          <w:color w:val="1F2329"/>
          <w:b w:val="1"/>
        </w:rPr>
        <w:t xml:space="preserve">2 、考生常见痛点解析 </w:t>
        <w:br w:type="textWrapping"/>
      </w:r>
      <w:r>
        <w:rPr>
          <w:sz w:val="32"/>
          <w:color w:val="1F2329"/>
        </w:rPr>
        <w:t xml:space="preserve">时间碎片化：在职考生需平衡工作与学习，难以集中精力系统复习。 </w:t>
        <w:br w:type="textWrapping"/>
        <w:t xml:space="preserve">考点覆盖面广：涉及口腔解剖、病理、修复、正畸等多个学科，知识点庞杂且易混淆。 </w:t>
        <w:br w:type="textWrapping"/>
        <w:t xml:space="preserve">临床案例分析难度大：部分考生缺乏实际诊疗经验，面对病例题时思路不清晰。 </w:t>
        <w:br w:type="textWrapping"/>
        <w:t xml:space="preserve">备考资源选择困难：市场上课程质量参差不齐，盲目选择易导致复习方向偏差。 </w:t>
        <w:br w:type="textWrapping"/>
      </w:r>
      <w:r>
        <w:rPr>
          <w:sz w:val="32"/>
          <w:color w:val="1F2329"/>
          <w:b w:val="1"/>
        </w:rPr>
        <w:t xml:space="preserve"> 二、口腔中级主治考试课程选择的关键标准 </w:t>
        <w:br w:type="textWrapping"/>
        <w:t xml:space="preserve"> 1、师资力量：专业背景与教学经验的双重保障 </w:t>
        <w:br w:type="textWrapping"/>
      </w:r>
      <w:r>
        <w:rPr>
          <w:sz w:val="32"/>
          <w:color w:val="1F2329"/>
        </w:rPr>
        <w:t xml:space="preserve">优质课程需由具备临床经验和教学能力的讲师团队授课。阿虎医考550余名讲师中，85%具备硕士及以上学历，95%持有中高级职称，67%来自三甲医院，如口腔修复学讲师孟申老师，拥有中华口腔医学会会员资质及多年临床带教经验，擅长通过真实病例拆解复杂知识点。 </w:t>
        <w:br w:type="textWrapping"/>
      </w:r>
      <w:r>
        <w:rPr>
          <w:sz w:val="32"/>
          <w:color w:val="1F2329"/>
          <w:b w:val="1"/>
        </w:rPr>
        <w:t xml:space="preserve">2 、课程体系：分层教学与智能工具的深度融合 </w:t>
        <w:br w:type="textWrapping"/>
      </w:r>
      <w:r>
        <w:rPr>
          <w:sz w:val="32"/>
          <w:color w:val="1F2329"/>
        </w:rPr>
        <w:t xml:space="preserve">科学的课程设计应覆盖从基础到冲刺的全阶段需求。阿虎医考采用“阶梯式教学方案”，包括： </w:t>
        <w:br w:type="textWrapping"/>
      </w:r>
      <w:r>
        <w:rPr>
          <w:sz w:val="32"/>
          <w:color w:val="1F2329"/>
          <w:b w:val="1"/>
        </w:rPr>
        <w:t xml:space="preserve">导学入门课：</w:t>
      </w:r>
      <w:r>
        <w:rPr>
          <w:sz w:val="32"/>
          <w:color w:val="1F2329"/>
        </w:rPr>
        <w:t xml:space="preserve">解析考纲变化，制定个性化学习计划； </w:t>
        <w:br w:type="textWrapping"/>
      </w:r>
      <w:r>
        <w:rPr>
          <w:sz w:val="32"/>
          <w:color w:val="1F2329"/>
          <w:b w:val="1"/>
        </w:rPr>
        <w:t xml:space="preserve">考点精讲课：</w:t>
      </w:r>
      <w:r>
        <w:rPr>
          <w:sz w:val="32"/>
          <w:color w:val="1F2329"/>
        </w:rPr>
        <w:t xml:space="preserve">提炼20%核心内容覆盖80%考试重点； </w:t>
        <w:br w:type="textWrapping"/>
      </w:r>
      <w:r>
        <w:rPr>
          <w:sz w:val="32"/>
          <w:color w:val="1F2329"/>
          <w:b w:val="1"/>
        </w:rPr>
        <w:t xml:space="preserve">实践技能圈题课：</w:t>
      </w:r>
      <w:r>
        <w:rPr>
          <w:sz w:val="32"/>
          <w:color w:val="1F2329"/>
        </w:rPr>
        <w:t xml:space="preserve">仿真考场流程，强化病例分析能力； </w:t>
        <w:br w:type="textWrapping"/>
      </w:r>
      <w:r>
        <w:rPr>
          <w:sz w:val="32"/>
          <w:color w:val="1F2329"/>
          <w:b w:val="1"/>
        </w:rPr>
        <w:t xml:space="preserve">冲刺串讲与机考模拟：</w:t>
      </w:r>
      <w:r>
        <w:rPr>
          <w:sz w:val="32"/>
          <w:color w:val="1F2329"/>
        </w:rPr>
        <w:t xml:space="preserve">还原真实考试环境，提升应试稳定性。 </w:t>
        <w:br w:type="textWrapping"/>
        <w:t xml:space="preserve">搭配智能题库（覆盖95%高频考点，415+万道题量）和错题分析系统，实现高效提分。 </w:t>
        <w:br w:type="textWrapping"/>
      </w:r>
      <w:r>
        <w:rPr>
          <w:sz w:val="32"/>
          <w:color w:val="1F2329"/>
          <w:b w:val="1"/>
        </w:rPr>
        <w:t xml:space="preserve"> 3、服务保障：全周期陪伴与个性化支持 </w:t>
        <w:br w:type="textWrapping"/>
      </w:r>
      <w:r>
        <w:rPr>
          <w:sz w:val="32"/>
          <w:color w:val="1F2329"/>
        </w:rPr>
        <w:t xml:space="preserve">除课程内容外，完善的服务体系同样重要。阿虎医考提供“三师共管”服务（备考规划师+督学导师+课程讲师），从学习计划制定到考前心理辅导全程跟进。例如，针对时间紧张的在职考生，备考老师会根据工作节奏调整学习进度，确保复习效果。 </w:t>
      </w:r>
    </w:p>
    <w:p>
      <w:pPr/>
      <w:r>
        <w:rPr>
          <w:sz w:val="32"/>
          <w:color w:val="1F2329"/>
        </w:rPr>
        <w:t xml:space="preserve"> </w:t>
      </w:r>
      <w:r>
        <w:rPr>
          <w:sz w:val="32"/>
          <w:color w:val="1F2329"/>
          <w:b w:val="1"/>
        </w:rPr>
        <w:t xml:space="preserve">三、科学备考策略与课程搭配建议 </w:t>
        <w:br w:type="textWrapping"/>
        <w:t xml:space="preserve">1、 分阶段学习计划制定 </w:t>
        <w:br w:type="textWrapping"/>
        <w:t xml:space="preserve">基础阶段（1-3个月）：</w:t>
      </w:r>
      <w:r>
        <w:rPr>
          <w:sz w:val="32"/>
          <w:color w:val="1F2329"/>
        </w:rPr>
        <w:t xml:space="preserve">通过阿虎医考“考点精讲课”构建知识框架，配合阿虎医考VIP题库完成章节练习，每日学习2-3小时。 </w:t>
        <w:br w:type="textWrapping"/>
      </w:r>
      <w:r>
        <w:rPr>
          <w:sz w:val="32"/>
          <w:color w:val="1F2329"/>
          <w:b w:val="1"/>
        </w:rPr>
        <w:t xml:space="preserve">强化阶段（4-5个月）：</w:t>
      </w:r>
      <w:r>
        <w:rPr>
          <w:sz w:val="32"/>
          <w:color w:val="1F2329"/>
        </w:rPr>
        <w:t xml:space="preserve">重点突破高频考点和薄弱环节，参加阿虎医考“王者强训班”母题训练，每周进行1次模块测试。 </w:t>
        <w:br w:type="textWrapping"/>
      </w:r>
      <w:r>
        <w:rPr>
          <w:sz w:val="32"/>
          <w:color w:val="1F2329"/>
          <w:b w:val="1"/>
        </w:rPr>
        <w:t xml:space="preserve">冲刺阶段（6个月）：</w:t>
      </w:r>
      <w:r>
        <w:rPr>
          <w:sz w:val="32"/>
          <w:color w:val="1F2329"/>
        </w:rPr>
        <w:t xml:space="preserve">利用“黑马密训课”和机考模拟系统适应考试节奏，每日完成1套全真模拟卷并分析错题。 </w:t>
        <w:br w:type="textWrapping"/>
      </w:r>
      <w:r>
        <w:rPr>
          <w:sz w:val="32"/>
          <w:color w:val="1F2329"/>
          <w:b w:val="1"/>
        </w:rPr>
        <w:t xml:space="preserve">2、 课程与题库的高效结合 </w:t>
        <w:br w:type="textWrapping"/>
      </w:r>
      <w:r>
        <w:rPr>
          <w:sz w:val="32"/>
          <w:color w:val="1F2329"/>
        </w:rPr>
        <w:t xml:space="preserve">视频课程：选择“精讲+冲刺”组合，重点观看临床病例解析和题型技巧讲解。 </w:t>
        <w:br w:type="textWrapping"/>
        <w:t xml:space="preserve">智能题库：优先完成高频考点专项训练，利用阿虎医考APP“错题重做”功能巩固薄弱知识点。例如，针对“口腔修复材料特性”等易混淆考点，通过反复练习加深记忆。 </w:t>
        <w:br w:type="textWrapping"/>
      </w:r>
    </w:p>
    <w:p>
      <w:pPr/>
      <w:r>
        <w:rPr>
          <w:sz w:val="32"/>
          <w:color w:val="1F2329"/>
          <w:b w:val="1"/>
        </w:rPr>
        <w:t xml:space="preserve">结语：</w:t>
      </w:r>
    </w:p>
    <w:p>
      <w:pPr/>
      <w:r>
        <w:rPr>
          <w:sz w:val="32"/>
          <w:color w:val="1F2329"/>
        </w:rPr>
        <w:t xml:space="preserve">口腔中级主治考试不仅是对专业知识的检验，更是职业晋升的关键跳板。选择备考课程时，考生需综合考量师资、课程、服务等多方面因素，避免盲目跟风。阿虎医考凭借17年行业积淀、科学的教学体系和显著的教学成果，为考生提供了一条高效备考路径。正如学员反馈：“老师讲解通俗易懂，用较少精力就能掌握核心考点”。 </w:t>
        <w:br w:type="textWrapping"/>
      </w:r>
    </w:p>
    <w:sectPr>
      <w:pgSz w:w="13380" w:h="16905"/>
      <w:pgMar w:top="720" w:right="1080" w:bottom="720" w:left="1080" w:header="850.95" w:footer="991.95" w:gutter="0"/>
      <w:type w:val="nextPage"/>
    </w:sectPr>
  </w:body>
</w:document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bordersDoNotSurroundFooter/>
  <w:bordersDoNotSurroundHead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rFonts w:asciiTheme="minorHAnsi" w:hAnsiTheme="minorHAnsi" w:cstheme="minorBidi" w:eastAsiaTheme="minorEastAsia"/>
        <w:kern w:val="2"/>
      </w:rPr>
    </w:rPrDefault>
    <w:pPrDefault/>
  </w:docDefaults>
  <w:style w:type="table" w:default="0" w:styleId="TableGrid">
    <w:name w:val="Table Grid"/>
    <w:basedOn w:val="Normal Table"/>
    <w:tblPr>
      <w:tblBorders>
        <w:left w:val="single" w:sz="6" w:space="0" w:color="000000"/>
        <w:right w:val="single" w:sz="6" w:space="0" w:color="000000"/>
        <w:top w:val="single" w:sz="6" w:space="0" w:color="000000"/>
        <w:bottom w:val="single" w:sz="6" w:space="0" w:color="000000"/>
        <w:insideH w:val="single" w:sz="6" w:space="0" w:color="000000"/>
        <w:insideV w:val="single" w:sz="6" w:space="0" w:color="000000"/>
      </w:tblBorders>
      <w:tblW w:w="0" w:type="auto"/>
    </w:tblPr>
    <w:tcPr/>
  </w:style>
  <w:style w:type="paragraph" w:default="0" w:styleId="dingding-heading1">
    <w:name w:val="heading 1"/>
    <w:basedOn w:val="NormalParagraph"/>
    <w:tcPr/>
    <w:pPr>
      <w:keepLines w:val="1"/>
      <w:keepNext w:val="1"/>
      <w:spacing w:before="348" w:after="210" w:lineRule="auto"/>
    </w:pPr>
    <w:rPr>
      <w:sz w:val="34"/>
      <w:b w:val="1"/>
    </w:rPr>
  </w:style>
  <w:style w:type="paragraph" w:default="1" w:styleId="docDefaults">
    <w:name w:val="dingdocnormal"/>
    <w:tcPr/>
    <w:pPr>
      <w:spacing/>
    </w:pPr>
    <w:rPr>
      <w:sz w:val="24"/>
    </w:rPr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settings" Target="settings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cp:lastModifiedBy>DingTalk</cp:lastModifiedBy>
  <dcterms:modified xsi:type="dcterms:W3CDTF">1970-01-01T00:00:00Z</dcterms:modified>
  <cp:revision>1</cp:revision>
  <dc:description>DingTalk Document</dc:description>
  <dc:language>ZN_CH</dc:language>
</cp:coreProperties>
</file>