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032D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4"/>
        <w:jc w:val="center"/>
        <w:textAlignment w:val="auto"/>
        <w:rPr>
          <w:rFonts w:hint="eastAsia" w:ascii="仿宋" w:hAnsi="仿宋" w:eastAsia="仿宋"/>
          <w:b/>
          <w:color w:val="000000"/>
          <w:sz w:val="48"/>
          <w:szCs w:val="48"/>
        </w:rPr>
      </w:pPr>
      <w:r>
        <w:rPr>
          <w:color w:val="000000"/>
        </w:rP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-1174750</wp:posOffset>
            </wp:positionH>
            <wp:positionV relativeFrom="paragraph">
              <wp:posOffset>-1456055</wp:posOffset>
            </wp:positionV>
            <wp:extent cx="7809865" cy="11497945"/>
            <wp:effectExtent l="0" t="0" r="635" b="825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09865" cy="1149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2A22D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/>
          <w:color w:val="000000"/>
          <w:sz w:val="52"/>
          <w:szCs w:val="52"/>
          <w:lang w:val="en-US" w:eastAsia="zh-CN"/>
        </w:rPr>
      </w:pPr>
    </w:p>
    <w:p w14:paraId="434032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/>
          <w:b/>
          <w:color w:val="000000"/>
          <w:sz w:val="52"/>
          <w:szCs w:val="52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运动服饰生产</w:t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项目可行性研究报告-运动服饰行业集中度高，国产品牌快速发展</w:t>
      </w:r>
    </w:p>
    <w:p w14:paraId="51A38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1B650E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18A01C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5CA4C0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352CB8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5D40C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1FA01B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0830EF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16F098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6D8504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69FBE3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6190D4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09AF63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402049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32C0DB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/>
        <w:jc w:val="center"/>
        <w:textAlignment w:val="auto"/>
        <w:rPr>
          <w:rFonts w:hint="eastAsia" w:ascii="仿宋" w:hAnsi="仿宋" w:eastAsia="仿宋"/>
          <w:b/>
          <w:color w:val="000000"/>
          <w:sz w:val="36"/>
          <w:szCs w:val="36"/>
        </w:rPr>
      </w:pPr>
    </w:p>
    <w:p w14:paraId="6898F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/>
        <w:jc w:val="center"/>
        <w:textAlignment w:val="auto"/>
        <w:rPr>
          <w:rFonts w:hint="eastAsia" w:ascii="仿宋" w:hAnsi="仿宋" w:eastAsia="仿宋"/>
          <w:b/>
          <w:color w:val="000000"/>
          <w:sz w:val="36"/>
          <w:szCs w:val="36"/>
        </w:rPr>
      </w:pPr>
    </w:p>
    <w:p w14:paraId="0BCA6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/>
        <w:jc w:val="center"/>
        <w:textAlignment w:val="auto"/>
        <w:rPr>
          <w:rFonts w:hint="eastAsia" w:ascii="仿宋" w:hAnsi="仿宋" w:eastAsia="仿宋"/>
          <w:b/>
          <w:color w:val="000000"/>
          <w:sz w:val="36"/>
          <w:szCs w:val="36"/>
        </w:rPr>
      </w:pPr>
    </w:p>
    <w:p w14:paraId="61C3FFA0">
      <w:pPr>
        <w:ind w:firstLine="723" w:firstLineChars="200"/>
      </w:pPr>
      <w:r>
        <w:rPr>
          <w:rFonts w:hint="eastAsia" w:ascii="仿宋" w:hAnsi="仿宋" w:eastAsia="仿宋"/>
          <w:b/>
          <w:color w:val="000000"/>
          <w:sz w:val="36"/>
          <w:szCs w:val="36"/>
        </w:rPr>
        <w:t>编制单位：北京智博睿</w:t>
      </w:r>
      <w:r>
        <w:rPr>
          <w:rFonts w:hint="eastAsia" w:ascii="仿宋" w:hAnsi="仿宋" w:eastAsia="仿宋"/>
          <w:b/>
          <w:color w:val="000000"/>
          <w:sz w:val="36"/>
          <w:szCs w:val="36"/>
          <w:lang w:val="en-US" w:eastAsia="zh-CN"/>
        </w:rPr>
        <w:t>项目管理</w:t>
      </w:r>
      <w:r>
        <w:rPr>
          <w:rFonts w:hint="eastAsia" w:ascii="仿宋" w:hAnsi="仿宋" w:eastAsia="仿宋"/>
          <w:b/>
          <w:color w:val="000000"/>
          <w:sz w:val="36"/>
          <w:szCs w:val="36"/>
        </w:rPr>
        <w:t>有限公司</w:t>
      </w:r>
    </w:p>
    <w:p w14:paraId="28F99C36"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 w14:paraId="21692923">
      <w:pPr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 w14:paraId="5599BDA8">
      <w:pPr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 w14:paraId="57FA6992">
      <w:pPr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1、中国运动服饰行业产业链概况</w:t>
      </w:r>
    </w:p>
    <w:p w14:paraId="04DAB1D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从产业链结构来看，运动服饰的上游主要包括棉花、麻类、合成纤维等原材料供应商，织机、缝纫机等生产设备厂商以及拉链、纽扣的生产商；中游主要为耐克、安踏、阿迪达斯、李宁、特步、斯凯奇、361°、迪卡侬等运动服饰企业；下游领域主要包括自营门店、加盟门店、第三方线下、自营电商和第三方电商等渠道。从产品品类来看，按用途可以分为运动便装和竞技运动服装。运动便装是指普通民众在  进行户外活动或室内健身时穿着的服装，具有造型简洁、衣身宽松合体、便于运动、易洗免烫、强度高、吸湿性好等特点。竞技运动服装是指专业运动员、裁判员在训练和比赛时穿着的服装，如田径服、体操服、球类服、滑冰服、击剑服、游泳衣等，具有简练、舒适、防护等特点。</w:t>
      </w:r>
    </w:p>
    <w:p w14:paraId="52D843B6"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7960" cy="2433955"/>
            <wp:effectExtent l="0" t="0" r="889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43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6215F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2、</w:t>
      </w:r>
      <w:bookmarkStart w:id="0" w:name="OLE_LINK1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中国运动服饰行业发展阶段</w:t>
      </w:r>
    </w:p>
    <w:bookmarkEnd w:id="0"/>
    <w:p w14:paraId="2F54D0CF">
      <w:pPr>
        <w:ind w:firstLine="560" w:firstLineChars="200"/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国运动服的品牌发展经历初始崛起、高速发展、危机调整、升级优化四大阶段。相比于海外市场，中国运动服行业起步较晚，发展历程较为曲折。1983-2000年为初始崛起阶段，安踏、特步等“晋江系”企业不断涌现，大量国产运动品牌创立。2001-2011年为高速发展阶段，2008 年北京奥运会的成功举办，使得国内运动服品牌一度占据优势地位。2012-2014 年为危机调整阶段，2012年和2013年我国运动服饰市场规模出现了负增长。尤其是2012年，运动服行业最为严重的库存危机爆发，国产品牌升级之路遇阻，运动服企业分化严重。2015 年至今中国运动服行业进入升级优化阶段，中国运动服行业品牌、产业、渠道和供应链进一步升级，运动服产品竞争力不断提升。</w:t>
      </w:r>
    </w:p>
    <w:p w14:paraId="7493043C"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353685" cy="2069465"/>
            <wp:effectExtent l="0" t="0" r="18415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53685" cy="206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D28DF">
      <w:pPr>
        <w:numPr>
          <w:ilvl w:val="0"/>
          <w:numId w:val="1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中国运动服饰行业市场发展概况</w:t>
      </w:r>
    </w:p>
    <w:p w14:paraId="24CC1344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国运动服饰市场规模显著增长，渗透率不断增强。2016年以来，政府连续出台多项政策鼓励居民积极参加户外运动。2021年国务院出台《全民健身计划（2021-2025）》深入实施健康中国和全民健身战略，推动体育强国建设。2023年7月，国家体育总局办公厅印发《关于恢复和扩大体育消费的工作方案》，鼓励各地因地制宜举办体育消费季、线上体育消费节等形式多样的促消费活动，通过发放体育消费券等方式广泛吸引社会力量参与，不断恢复和扩大体育消费。从中长期角度来看，在中国政府政策对体育产业的重视及利好政策的推动下，居民运动参与率有望稳步提升，将为中国运动服饰市场发展注入强大推动力。随着人均可支配收入增加以及居民健康意识增强，中国运动服饰消费规模也将不断增长。2022年我国运动服饰行业市场规模为4157亿元，2016-2022 年GACR13.90%。2026 年中国运动服饰市场规模预计达6747亿元，2022-2026 年预计复合增长率为 12.87%。</w:t>
      </w:r>
    </w:p>
    <w:p w14:paraId="4013F8A9">
      <w:pPr>
        <w:ind w:firstLine="42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       </w:t>
      </w:r>
      <w:r>
        <w:drawing>
          <wp:inline distT="0" distB="0" distL="114300" distR="114300">
            <wp:extent cx="3571875" cy="232410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</w:p>
    <w:p w14:paraId="2983006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我国运动服饰行业市场集中度高。从行业集中度来看，2016-2022 年，我国运动服饰行业集中度明显提升，前五大企业市场集中度(CR5)从 59.60%增长至70.90% ，反映了我国运动服饰行业规模集中度高，行业壁垒多重且不断深化。从竞争格局来看，2022 年，我国运动服饰份额前5名分别为耐克（22.60%），安踏（20.40%），阿迪达斯（11.20%），李宁（10.40%），特步（6. 30%）。受新疆棉事件影响，2020年至2022年耐克、阿迪达斯品牌市占率分别下滑 3.10、5.40个百分点，而安踏、李宁、特步、361 度品牌市占率提升2.40、3.6  0、1.70 、0.40 个百分点，国产品牌竞争力不断提升。从渗透率来看，随着运动服饰穿着场景不断延伸以及运动时尚品类的流行，2016-2022 年我国运动服饰渗透率明显提升，由 8.8%上升至13.60%，但与美国（38%）、德国（22%）等发达国家 相比仍有较大提升空间。</w:t>
      </w:r>
    </w:p>
    <w:p w14:paraId="5E80434B">
      <w:pPr>
        <w:ind w:firstLine="420" w:firstLineChars="200"/>
        <w:jc w:val="left"/>
      </w:pPr>
      <w:r>
        <w:rPr>
          <w:rFonts w:hint="eastAsia"/>
          <w:lang w:val="en-US" w:eastAsia="zh-CN"/>
        </w:rPr>
        <w:t xml:space="preserve">        </w:t>
      </w:r>
      <w:r>
        <w:drawing>
          <wp:inline distT="0" distB="0" distL="114300" distR="114300">
            <wp:extent cx="3867150" cy="235267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80C05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疫情后运动服饰行业营业收入快速恢复。2021-2023年，作为国内领先运动服饰企业的安踏营收持续增长从493.28亿元上升至 623.56 亿元，CAGR为12.43% 。同样，李宁营收从 225.72亿元上升至 275.98 亿元，CAGR为10.57% 。受疫情影响，2020年特步营收同比下滑0.13个百分点，随后持续上升。2021-2023年特步营收从 100.13 亿元增加至 143.64 亿元，CAGR为19.70% 。2020年，361度营收同比下降8.97个百分点，而后保持高速增长。2021-2023 年，361 度营收从5 9.33 亿元上升至 </w:t>
      </w:r>
      <w:bookmarkStart w:id="1" w:name="_GoBack"/>
      <w:bookmarkEnd w:id="1"/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84.23 亿元，CAGR为19.15%。</w:t>
      </w:r>
    </w:p>
    <w:p w14:paraId="324C6EF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中国运动服饰企业毛利率保持增长态势。2019-2023年，安踏毛利率整体上保持增长态势，从55.00%增长至 62.59%，上升 7.59 个百分点，安踏毛利率增长主要系公司 DTC 模式转型所致。李宁毛利率轻微下滑，从49.07%降低至48.38%，与安踏毛利率之间的差距从 5.93%扩大至14.21% 。虽然特步毛利率从43.39%下降至42.17%，但是2023年特步毛利率同比上升1.25个百分点。2019-2023年，361度毛利率由 40.30%上升至 41.10%。</w:t>
      </w:r>
    </w:p>
    <w:p w14:paraId="3A64F2F7">
      <w:pPr>
        <w:ind w:firstLine="420" w:firstLineChars="200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3486150" cy="223837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36955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中国运动服饰企业门店数量增加。2021-2023年，各企业门店数量均明显增长且门店数量大致在6000至7000家。安踏/李宁/特步/361度门店数量由 6832、5935 、6151、5270上升至 7053、6240、6571、5734 家，累计增加 221、305、420、464 家。门店总数上，安踏领先其他企业。从增长趋势来看，特步和361度增长速度最快。</w:t>
      </w:r>
    </w:p>
    <w:p w14:paraId="729FB207">
      <w:pPr>
        <w:ind w:firstLine="420" w:firstLineChars="200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3562350" cy="22479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80DE40">
      <w:pPr>
        <w:jc w:val="left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7B93ACCB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第一章概论</w:t>
      </w:r>
    </w:p>
    <w:p w14:paraId="1126ADF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1.1项目概况</w:t>
      </w:r>
    </w:p>
    <w:p w14:paraId="024FC26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1.2项目单位概况</w:t>
      </w:r>
    </w:p>
    <w:p w14:paraId="42EBBBE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1.3编制依据</w:t>
      </w:r>
    </w:p>
    <w:p w14:paraId="1512304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1.4主要结论和建议</w:t>
      </w:r>
    </w:p>
    <w:p w14:paraId="15E3D2D1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第二章项目建设背景及必要性</w:t>
      </w:r>
    </w:p>
    <w:p w14:paraId="034F991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2.1项目建设背景</w:t>
      </w:r>
    </w:p>
    <w:p w14:paraId="6297A3B8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2.2规划政策符合性</w:t>
      </w:r>
    </w:p>
    <w:p w14:paraId="0EA1C02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2.3建设必要性</w:t>
      </w:r>
    </w:p>
    <w:p w14:paraId="5A2A500A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第三章项目需求分析与产出方案</w:t>
      </w:r>
    </w:p>
    <w:p w14:paraId="443D54E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3.1需求分析</w:t>
      </w:r>
    </w:p>
    <w:p w14:paraId="1120B86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3.2建设内容和规模</w:t>
      </w:r>
    </w:p>
    <w:p w14:paraId="148DA2C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3.3项目产出方案</w:t>
      </w:r>
    </w:p>
    <w:p w14:paraId="2FA82B32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第四章项目选址与要素保障</w:t>
      </w:r>
    </w:p>
    <w:p w14:paraId="080DB90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4.1项目选址</w:t>
      </w:r>
    </w:p>
    <w:p w14:paraId="6E67A3A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4.2项目建设条件</w:t>
      </w:r>
    </w:p>
    <w:p w14:paraId="253D3E3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4.3要素保障分析</w:t>
      </w:r>
    </w:p>
    <w:p w14:paraId="54B758E5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第五章建设方案</w:t>
      </w:r>
    </w:p>
    <w:p w14:paraId="7286C9F0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5.1工程方案</w:t>
      </w:r>
    </w:p>
    <w:p w14:paraId="2AA2066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5.2建设管理方案</w:t>
      </w:r>
    </w:p>
    <w:p w14:paraId="1718D80D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第六章项目运营方案</w:t>
      </w:r>
    </w:p>
    <w:p w14:paraId="51953F3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6.1运营模式选择</w:t>
      </w:r>
    </w:p>
    <w:p w14:paraId="1E4170B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6.2运营组织方案</w:t>
      </w:r>
    </w:p>
    <w:p w14:paraId="24A06E58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6.3安全保障方案</w:t>
      </w:r>
    </w:p>
    <w:p w14:paraId="538B6105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6.4绩效管理方案</w:t>
      </w:r>
    </w:p>
    <w:p w14:paraId="6F4F38C8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第七章环境保护</w:t>
      </w:r>
    </w:p>
    <w:p w14:paraId="7A14EB5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7.1执行依据</w:t>
      </w:r>
    </w:p>
    <w:p w14:paraId="7E40B388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7.2建设期环境影响分析及环保措施</w:t>
      </w:r>
    </w:p>
    <w:p w14:paraId="755DE7C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7.3运营期污染防治及处理措施</w:t>
      </w:r>
    </w:p>
    <w:p w14:paraId="1B7E7905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7.4水土保持措施</w:t>
      </w:r>
    </w:p>
    <w:p w14:paraId="52D44344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7.5特殊环境影响分析</w:t>
      </w:r>
    </w:p>
    <w:p w14:paraId="75F847C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7.6结论</w:t>
      </w:r>
    </w:p>
    <w:p w14:paraId="4653FEB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7.7建议</w:t>
      </w:r>
    </w:p>
    <w:p w14:paraId="43F0F63D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第八章节能分析</w:t>
      </w:r>
    </w:p>
    <w:p w14:paraId="3BC488C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8.1编制依据</w:t>
      </w:r>
    </w:p>
    <w:p w14:paraId="637A5D03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8.2节能原则</w:t>
      </w:r>
    </w:p>
    <w:p w14:paraId="3752CB1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8.3项目能源消耗的种类</w:t>
      </w:r>
    </w:p>
    <w:p w14:paraId="2B43EC96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8.4节能措施</w:t>
      </w:r>
    </w:p>
    <w:p w14:paraId="5E0590D2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第九章项目投资估算与资金筹措</w:t>
      </w:r>
    </w:p>
    <w:p w14:paraId="6CE0FE4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9.1投资估算</w:t>
      </w:r>
    </w:p>
    <w:p w14:paraId="3F1831B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9.2资金筹措</w:t>
      </w:r>
    </w:p>
    <w:p w14:paraId="4D37D453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第十章项目影响效果分析</w:t>
      </w:r>
    </w:p>
    <w:p w14:paraId="1D11FD4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10.1社会影响分析</w:t>
      </w:r>
    </w:p>
    <w:p w14:paraId="13015C00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10.2不同利益群体对项目的态度与参与程度</w:t>
      </w:r>
    </w:p>
    <w:p w14:paraId="0EDEBB8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.3生态环境影响分析</w:t>
      </w:r>
    </w:p>
    <w:p w14:paraId="78A9A320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.4资源和能源利用效果分析</w:t>
      </w:r>
    </w:p>
    <w:p w14:paraId="469FEA8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.5碳达峰碳中和分析</w:t>
      </w:r>
    </w:p>
    <w:p w14:paraId="01D920D6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第十一章项目风险管控方案</w:t>
      </w:r>
    </w:p>
    <w:p w14:paraId="0F66566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11.1风险识别与评价</w:t>
      </w:r>
    </w:p>
    <w:p w14:paraId="75AFC07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11.2风险程度分析</w:t>
      </w:r>
    </w:p>
    <w:p w14:paraId="339E3DC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11.3风险管控方案</w:t>
      </w:r>
    </w:p>
    <w:p w14:paraId="7F39D4AE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第十二章社会稳定性风险分析</w:t>
      </w:r>
    </w:p>
    <w:p w14:paraId="266CF9A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12.1风险及其评价</w:t>
      </w:r>
    </w:p>
    <w:p w14:paraId="7DF3874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12.2风险的综合评价</w:t>
      </w:r>
    </w:p>
    <w:p w14:paraId="27B5831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12.3社会稳定风险防范措施</w:t>
      </w:r>
    </w:p>
    <w:p w14:paraId="6BFAA344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12.4维护社会稳定工作方案</w:t>
      </w:r>
    </w:p>
    <w:p w14:paraId="1B9D76E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12.5结论</w:t>
      </w:r>
    </w:p>
    <w:p w14:paraId="02E4AC33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第十三章研究结论及建议</w:t>
      </w:r>
    </w:p>
    <w:p w14:paraId="2D121D1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13.1主要研究结论</w:t>
      </w:r>
    </w:p>
    <w:p w14:paraId="23AEAB8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13.2问题与建议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5341D2"/>
    <w:multiLevelType w:val="singleLevel"/>
    <w:tmpl w:val="9A5341D2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4MDNmZGI5OWRjMzJmYjFiZTJkMWYzYjYxNzVmM2YifQ=="/>
  </w:docVars>
  <w:rsids>
    <w:rsidRoot w:val="187B50E8"/>
    <w:rsid w:val="000337CB"/>
    <w:rsid w:val="0052352C"/>
    <w:rsid w:val="00E77192"/>
    <w:rsid w:val="015062DA"/>
    <w:rsid w:val="02B913EC"/>
    <w:rsid w:val="02CA179F"/>
    <w:rsid w:val="02FE20CD"/>
    <w:rsid w:val="03546191"/>
    <w:rsid w:val="05DC4B7A"/>
    <w:rsid w:val="07E15804"/>
    <w:rsid w:val="098C0CFB"/>
    <w:rsid w:val="0BB30DED"/>
    <w:rsid w:val="0BD75567"/>
    <w:rsid w:val="0D7C07BE"/>
    <w:rsid w:val="0DD43A3C"/>
    <w:rsid w:val="0F3021AE"/>
    <w:rsid w:val="10615A49"/>
    <w:rsid w:val="12727EA3"/>
    <w:rsid w:val="13270D7A"/>
    <w:rsid w:val="14294AD0"/>
    <w:rsid w:val="145D0D13"/>
    <w:rsid w:val="14AC764E"/>
    <w:rsid w:val="14B26B80"/>
    <w:rsid w:val="153B2D0D"/>
    <w:rsid w:val="155838BF"/>
    <w:rsid w:val="166B462C"/>
    <w:rsid w:val="168B3820"/>
    <w:rsid w:val="1783759C"/>
    <w:rsid w:val="17D35235"/>
    <w:rsid w:val="180B049B"/>
    <w:rsid w:val="187B50E8"/>
    <w:rsid w:val="19461C80"/>
    <w:rsid w:val="19565959"/>
    <w:rsid w:val="19656A5A"/>
    <w:rsid w:val="19B45BCA"/>
    <w:rsid w:val="19C73562"/>
    <w:rsid w:val="1A2D7A1F"/>
    <w:rsid w:val="1C442E6B"/>
    <w:rsid w:val="1D525FA2"/>
    <w:rsid w:val="1E403142"/>
    <w:rsid w:val="1EC16D10"/>
    <w:rsid w:val="22014652"/>
    <w:rsid w:val="226338A3"/>
    <w:rsid w:val="233A3AAB"/>
    <w:rsid w:val="23F549CE"/>
    <w:rsid w:val="24394AB8"/>
    <w:rsid w:val="24703491"/>
    <w:rsid w:val="24AD7057"/>
    <w:rsid w:val="253D3903"/>
    <w:rsid w:val="27743E5C"/>
    <w:rsid w:val="27F37477"/>
    <w:rsid w:val="28B81403"/>
    <w:rsid w:val="28E3573D"/>
    <w:rsid w:val="2A9A62D0"/>
    <w:rsid w:val="2ACA1641"/>
    <w:rsid w:val="2BA84F24"/>
    <w:rsid w:val="2BE43B4A"/>
    <w:rsid w:val="2BF81500"/>
    <w:rsid w:val="2C0167A4"/>
    <w:rsid w:val="2D837537"/>
    <w:rsid w:val="2DB41456"/>
    <w:rsid w:val="2DE14EBB"/>
    <w:rsid w:val="2DEF2105"/>
    <w:rsid w:val="2E8F6852"/>
    <w:rsid w:val="2E9D638E"/>
    <w:rsid w:val="2EB3713E"/>
    <w:rsid w:val="30EB705B"/>
    <w:rsid w:val="31CF2D03"/>
    <w:rsid w:val="31E7004C"/>
    <w:rsid w:val="31F46081"/>
    <w:rsid w:val="32D01D02"/>
    <w:rsid w:val="32DF4E05"/>
    <w:rsid w:val="330D0810"/>
    <w:rsid w:val="347B2A5F"/>
    <w:rsid w:val="34D61D4F"/>
    <w:rsid w:val="34E57BDD"/>
    <w:rsid w:val="35312755"/>
    <w:rsid w:val="355E0F17"/>
    <w:rsid w:val="35762033"/>
    <w:rsid w:val="376765E1"/>
    <w:rsid w:val="39836BEC"/>
    <w:rsid w:val="39974868"/>
    <w:rsid w:val="39D72073"/>
    <w:rsid w:val="3A1A2BE3"/>
    <w:rsid w:val="3A824DB6"/>
    <w:rsid w:val="3AAD5BAB"/>
    <w:rsid w:val="3B742860"/>
    <w:rsid w:val="3C087AF1"/>
    <w:rsid w:val="3D8C6ADA"/>
    <w:rsid w:val="3DDA0A65"/>
    <w:rsid w:val="3E1A70B4"/>
    <w:rsid w:val="3F7D5B4C"/>
    <w:rsid w:val="3FC46AE7"/>
    <w:rsid w:val="419D24D5"/>
    <w:rsid w:val="41DD28D2"/>
    <w:rsid w:val="44246EDE"/>
    <w:rsid w:val="44ED72D0"/>
    <w:rsid w:val="45F572A7"/>
    <w:rsid w:val="46362EF9"/>
    <w:rsid w:val="46B00D49"/>
    <w:rsid w:val="471C5C4A"/>
    <w:rsid w:val="47E0311C"/>
    <w:rsid w:val="47FC6BF4"/>
    <w:rsid w:val="48FC3F85"/>
    <w:rsid w:val="49940F29"/>
    <w:rsid w:val="49DF6CB2"/>
    <w:rsid w:val="4A255B06"/>
    <w:rsid w:val="4ABF170F"/>
    <w:rsid w:val="4AC72371"/>
    <w:rsid w:val="4AEB42B2"/>
    <w:rsid w:val="4C144671"/>
    <w:rsid w:val="4C194E4E"/>
    <w:rsid w:val="4D084097"/>
    <w:rsid w:val="4D2770F7"/>
    <w:rsid w:val="4DFD0528"/>
    <w:rsid w:val="4F7F146C"/>
    <w:rsid w:val="4FFD0EF1"/>
    <w:rsid w:val="506A2926"/>
    <w:rsid w:val="50F13E21"/>
    <w:rsid w:val="51545631"/>
    <w:rsid w:val="528A0854"/>
    <w:rsid w:val="535D4D1B"/>
    <w:rsid w:val="53937294"/>
    <w:rsid w:val="54AA6F8B"/>
    <w:rsid w:val="5620433A"/>
    <w:rsid w:val="575B6F2E"/>
    <w:rsid w:val="57763155"/>
    <w:rsid w:val="58426A50"/>
    <w:rsid w:val="58CA290B"/>
    <w:rsid w:val="58E5183E"/>
    <w:rsid w:val="5A0F1A20"/>
    <w:rsid w:val="5ADD0727"/>
    <w:rsid w:val="5BC97600"/>
    <w:rsid w:val="5C5C3190"/>
    <w:rsid w:val="5CA95D7B"/>
    <w:rsid w:val="5E436E4C"/>
    <w:rsid w:val="5ED52E57"/>
    <w:rsid w:val="5F355114"/>
    <w:rsid w:val="5F4B3119"/>
    <w:rsid w:val="6084457E"/>
    <w:rsid w:val="60B66ADC"/>
    <w:rsid w:val="614860F7"/>
    <w:rsid w:val="622D4B39"/>
    <w:rsid w:val="623F6839"/>
    <w:rsid w:val="62BC31DC"/>
    <w:rsid w:val="64002BE9"/>
    <w:rsid w:val="64AA2690"/>
    <w:rsid w:val="661C64F2"/>
    <w:rsid w:val="6635067F"/>
    <w:rsid w:val="66CD2666"/>
    <w:rsid w:val="66E856F1"/>
    <w:rsid w:val="676A4BDC"/>
    <w:rsid w:val="682664D1"/>
    <w:rsid w:val="6846773F"/>
    <w:rsid w:val="685C1EF3"/>
    <w:rsid w:val="69A36249"/>
    <w:rsid w:val="6A624A2F"/>
    <w:rsid w:val="6A633B05"/>
    <w:rsid w:val="6AF311A6"/>
    <w:rsid w:val="6B3A720F"/>
    <w:rsid w:val="6B796D44"/>
    <w:rsid w:val="6BA22313"/>
    <w:rsid w:val="6C2334DB"/>
    <w:rsid w:val="6CC12C6C"/>
    <w:rsid w:val="6CEB7CE9"/>
    <w:rsid w:val="6F4F630E"/>
    <w:rsid w:val="6F6A0833"/>
    <w:rsid w:val="6FB16FC8"/>
    <w:rsid w:val="700F1FCA"/>
    <w:rsid w:val="70FA499F"/>
    <w:rsid w:val="71153B87"/>
    <w:rsid w:val="71441E53"/>
    <w:rsid w:val="72534367"/>
    <w:rsid w:val="729C0B15"/>
    <w:rsid w:val="72E53B61"/>
    <w:rsid w:val="73092C77"/>
    <w:rsid w:val="738549F4"/>
    <w:rsid w:val="75D51537"/>
    <w:rsid w:val="76051E1C"/>
    <w:rsid w:val="769A2923"/>
    <w:rsid w:val="7709593C"/>
    <w:rsid w:val="7719746F"/>
    <w:rsid w:val="773062C6"/>
    <w:rsid w:val="779969FD"/>
    <w:rsid w:val="7879277A"/>
    <w:rsid w:val="789F0098"/>
    <w:rsid w:val="79C505D8"/>
    <w:rsid w:val="7B1F5CAB"/>
    <w:rsid w:val="7B762C35"/>
    <w:rsid w:val="7DC050DC"/>
    <w:rsid w:val="7E2968C4"/>
    <w:rsid w:val="7E631DD5"/>
    <w:rsid w:val="7F8042C1"/>
    <w:rsid w:val="7FD840FD"/>
    <w:rsid w:val="7FEC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21"/>
    <w:basedOn w:val="4"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6">
    <w:name w:val="font31"/>
    <w:basedOn w:val="4"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7">
    <w:name w:val="font41"/>
    <w:basedOn w:val="4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8">
    <w:name w:val="font01"/>
    <w:basedOn w:val="4"/>
    <w:qFormat/>
    <w:uiPriority w:val="0"/>
    <w:rPr>
      <w:rFonts w:ascii="Calibri" w:hAnsi="Calibri" w:cs="Calibri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2314</Words>
  <Characters>2857</Characters>
  <Lines>0</Lines>
  <Paragraphs>0</Paragraphs>
  <TotalTime>3</TotalTime>
  <ScaleCrop>false</ScaleCrop>
  <LinksUpToDate>false</LinksUpToDate>
  <CharactersWithSpaces>2934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2024-09-04T00:38:04Z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DE7B5D4DDDB5430FAE186EE9353F40F0_13</vt:lpwstr>
  </property>
</Properties>
</file>