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BEBAD6">
      <w:pPr>
        <w:pStyle w:val="2"/>
        <w:bidi w:val="0"/>
        <w:rPr>
          <w:rFonts w:hint="eastAsia" w:ascii="楷体" w:hAnsi="楷体" w:eastAsia="楷体" w:cs="楷体"/>
        </w:rPr>
      </w:pPr>
      <w:bookmarkStart w:id="0" w:name="_GoBack"/>
      <w:r>
        <w:rPr>
          <w:rFonts w:hint="eastAsia" w:ascii="楷体" w:hAnsi="楷体" w:eastAsia="楷体" w:cs="楷体"/>
        </w:rPr>
        <w:t>宿主细胞蛋白</w:t>
      </w:r>
      <w:r>
        <w:rPr>
          <w:rFonts w:hint="eastAsia" w:ascii="楷体" w:hAnsi="楷体" w:eastAsia="楷体" w:cs="楷体"/>
          <w:lang w:val="en-US" w:eastAsia="zh-CN"/>
        </w:rPr>
        <w:t>(HCP)</w:t>
      </w:r>
      <w:r>
        <w:rPr>
          <w:rFonts w:hint="eastAsia" w:ascii="楷体" w:hAnsi="楷体" w:eastAsia="楷体" w:cs="楷体"/>
        </w:rPr>
        <w:t>残留检测ELISA试剂盒上市</w:t>
      </w:r>
    </w:p>
    <w:bookmarkEnd w:id="0"/>
    <w:p w14:paraId="74139111">
      <w:pPr>
        <w:rPr>
          <w:rFonts w:hint="eastAsia" w:ascii="楷体" w:hAnsi="楷体" w:eastAsia="楷体" w:cs="楷体"/>
          <w:sz w:val="28"/>
          <w:szCs w:val="28"/>
        </w:rPr>
      </w:pPr>
    </w:p>
    <w:p w14:paraId="5C9166B2">
      <w:pPr>
        <w:pStyle w:val="3"/>
        <w:bidi w:val="0"/>
        <w:rPr>
          <w:rFonts w:hint="eastAsia"/>
        </w:rPr>
      </w:pPr>
      <w:r>
        <w:rPr>
          <w:rFonts w:hint="eastAsia"/>
        </w:rPr>
        <w:t>前  言</w:t>
      </w:r>
    </w:p>
    <w:p w14:paraId="76F2AF9F">
      <w:pPr>
        <w:rPr>
          <w:rFonts w:hint="eastAsia" w:ascii="楷体" w:hAnsi="楷体" w:eastAsia="楷体" w:cs="楷体"/>
          <w:sz w:val="28"/>
          <w:szCs w:val="28"/>
        </w:rPr>
      </w:pPr>
    </w:p>
    <w:p w14:paraId="5ECEC237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生物制品市场发展迅猛，抗体药物、重组蛋白药物、疫苗等广泛受到关注。生物制品的生产制备需要生物体系合成，会残留宿主细胞蛋白（HCP）。HCP残留可能会引起人体免疫反应，已经成为生物制品质量控制的关键属性之一。各国药典和ICH Q6B等法规要求，可采用ELISA、CLIA等免疫检测法进行分析。PLBD2、PLA2G15、CLU、LPL等CHO细胞表达的HCP可对生物制品的有效性和安全性产生不利影响。义翘神州近期成功开发特异性检测PLBL2/PLBD2的ELISA试剂盒，可用于生物制品的质量控制。</w:t>
      </w:r>
    </w:p>
    <w:p w14:paraId="48D26F0F">
      <w:pPr>
        <w:rPr>
          <w:rFonts w:hint="eastAsia" w:ascii="楷体" w:hAnsi="楷体" w:eastAsia="楷体" w:cs="楷体"/>
          <w:sz w:val="28"/>
          <w:szCs w:val="28"/>
        </w:rPr>
      </w:pPr>
    </w:p>
    <w:p w14:paraId="45FB8772">
      <w:pPr>
        <w:pStyle w:val="3"/>
        <w:bidi w:val="0"/>
        <w:rPr>
          <w:rFonts w:hint="eastAsia"/>
        </w:rPr>
      </w:pPr>
      <w:r>
        <w:rPr>
          <w:rFonts w:hint="eastAsia"/>
        </w:rPr>
        <w:t>01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宿主细胞蛋白简介</w:t>
      </w:r>
    </w:p>
    <w:p w14:paraId="71A8D45B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宿主细胞蛋白（Host Cell Protein，HCP）来自生产细胞系的宿主细胞的多蛋白质复合物，存在引起人体过敏反应、超敏反应的潜在风险，如发热、水肿甚至休克。除了免疫原性，HCP潜在的危害还有更多方面。羧基肽酶D导致赖氨酸去除，影响单克隆抗体的稳定性和生物活性。脂肪酶类可降解药物配方中的脂质稳定剂（聚山梨酸酯）导致药物保质期缩短。HCP中的细胞因子和自分泌因子可能会引起过敏、细胞毒性或信号转导等，对患者产生负面的生物学影响。</w:t>
      </w:r>
    </w:p>
    <w:p w14:paraId="5FE42CC9">
      <w:pPr>
        <w:rPr>
          <w:rFonts w:hint="eastAsia" w:ascii="楷体" w:hAnsi="楷体" w:eastAsia="楷体" w:cs="楷体"/>
          <w:sz w:val="28"/>
          <w:szCs w:val="28"/>
        </w:rPr>
      </w:pPr>
    </w:p>
    <w:p w14:paraId="687F2237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在实际生产制备过程中，99%以上的HCP会被去除，但仍会有残留，存在潜在的安全风险。ELISA因其高灵敏度、高覆盖率和高通量而成为HCP检测的“金标准”。ELISA分析的关键成分是靶向HCP的多克隆抗体。根据抗体与样品中HCP免疫反应的标准曲线，对其进行定量检测。</w:t>
      </w:r>
    </w:p>
    <w:p w14:paraId="0707754E">
      <w:pPr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drawing>
          <wp:inline distT="0" distB="0" distL="114300" distR="114300">
            <wp:extent cx="5266690" cy="5208270"/>
            <wp:effectExtent l="0" t="0" r="10160" b="11430"/>
            <wp:docPr id="12" name="图片 1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20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21FD6B">
      <w:pPr>
        <w:rPr>
          <w:rFonts w:hint="eastAsia" w:ascii="楷体" w:hAnsi="楷体" w:eastAsia="楷体" w:cs="楷体"/>
          <w:sz w:val="28"/>
          <w:szCs w:val="28"/>
        </w:rPr>
      </w:pPr>
    </w:p>
    <w:p w14:paraId="5A51C97F">
      <w:pPr>
        <w:pStyle w:val="3"/>
        <w:bidi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/>
        </w:rPr>
        <w:t>02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HCP延长药物开发周期</w:t>
      </w:r>
    </w:p>
    <w:p w14:paraId="5B976933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Lebrikizumab是一种人源化免疫球蛋白IgG4抗体，以高亲和力结合IL13，特异性阻止IL-13Rα1/IL-4Rα异二聚体复合物的形成和随后的信号传导，从而抑制IL13在靶向治疗中的生物学效应。在其Ⅲ期关键性临床研究的材料中检测到PLBD2蛋白，使其正在进行的Ⅲ期被转化为Ⅱb期。</w:t>
      </w:r>
    </w:p>
    <w:p w14:paraId="017F4C21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PLBD2是一种66KD的溶酶体酶，是CHO宿主细胞中难以去除的HCP。PLBD2是一种非人源的酶蛋白，可能通过酶活性或免疫反应增加患者风险。目前PLBD2天然底物尚未确定，纯化获得CHO重组PLBD2对合成的底物不显示磷脂酶活性，因此酶活性相关的风险尚不清楚。仓鼠PLBD2与人同源基因存在明显的序列差异，可能会导致人体产生免疫反应，因此需要调查PLBD2及其对Lebrikizumab免疫原性的潜在影响。</w:t>
      </w:r>
    </w:p>
    <w:p w14:paraId="308EA6E0">
      <w:pPr>
        <w:pStyle w:val="3"/>
        <w:bidi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/>
        </w:rPr>
        <w:t>✦义翘神州HCP相关产品</w:t>
      </w:r>
    </w:p>
    <w:p w14:paraId="00A5A850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义翘神州已成功开发抗体、ELISA试剂盒和高度纯化的重组HCP，便于生物治疗药物的质量控制。近期开发的PLBL2/PLBD2 ELISA试剂盒，能够准确定量中国仓鼠宿主细胞残留的PLBL2/PLBD2。</w:t>
      </w:r>
    </w:p>
    <w:p w14:paraId="71926472">
      <w:pPr>
        <w:rPr>
          <w:rFonts w:hint="eastAsia" w:ascii="楷体" w:hAnsi="楷体" w:eastAsia="楷体" w:cs="楷体"/>
          <w:sz w:val="28"/>
          <w:szCs w:val="28"/>
        </w:rPr>
      </w:pPr>
    </w:p>
    <w:p w14:paraId="1D582B1D">
      <w:pPr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PLBL2 / PLBD2 ELISA Kit, Chinese hamster (Cat:KIT5A7664)</w:t>
      </w:r>
    </w:p>
    <w:p w14:paraId="1295B1CA">
      <w:pPr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drawing>
          <wp:inline distT="0" distB="0" distL="114300" distR="114300">
            <wp:extent cx="5273040" cy="4798695"/>
            <wp:effectExtent l="0" t="0" r="3810" b="1905"/>
            <wp:docPr id="13" name="图片 1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798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47C96C">
      <w:pPr>
        <w:jc w:val="center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Sensitivity: 60 pg/mL</w:t>
      </w:r>
    </w:p>
    <w:p w14:paraId="04FD572C">
      <w:pPr>
        <w:jc w:val="center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Assay range: 390.63-25000 pg/mL</w:t>
      </w:r>
    </w:p>
    <w:p w14:paraId="76C65FE7">
      <w:pPr>
        <w:jc w:val="center"/>
        <w:rPr>
          <w:rFonts w:hint="eastAsia" w:ascii="楷体" w:hAnsi="楷体" w:eastAsia="楷体" w:cs="楷体"/>
          <w:sz w:val="24"/>
          <w:szCs w:val="24"/>
        </w:rPr>
      </w:pPr>
    </w:p>
    <w:p w14:paraId="5AA72C90">
      <w:pPr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Anti-PLBL2 / PLBD2 Antibody, Rabbit Polyclonal  (Cat: 13947-T24)</w:t>
      </w:r>
    </w:p>
    <w:p w14:paraId="7543025D">
      <w:pPr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drawing>
          <wp:inline distT="0" distB="0" distL="114300" distR="114300">
            <wp:extent cx="5266690" cy="3950335"/>
            <wp:effectExtent l="0" t="0" r="10160" b="12065"/>
            <wp:docPr id="14" name="图片 1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04A56">
      <w:pPr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Immunochemical staining of human PLBD2 in human heart with rabbit polyclonal antibody at 1:100 dilution, formalin-fixed paraffin embedded sections.</w:t>
      </w:r>
    </w:p>
    <w:p w14:paraId="4E6523EA">
      <w:pPr>
        <w:jc w:val="left"/>
        <w:rPr>
          <w:rFonts w:hint="eastAsia" w:ascii="楷体" w:hAnsi="楷体" w:eastAsia="楷体" w:cs="楷体"/>
          <w:sz w:val="24"/>
          <w:szCs w:val="24"/>
        </w:rPr>
      </w:pPr>
    </w:p>
    <w:p w14:paraId="1DA73391">
      <w:pPr>
        <w:jc w:val="center"/>
        <w:rPr>
          <w:rFonts w:hint="eastAsia" w:ascii="楷体" w:hAnsi="楷体" w:eastAsia="楷体" w:cs="楷体"/>
          <w:b/>
          <w:bCs/>
          <w:sz w:val="24"/>
          <w:szCs w:val="24"/>
        </w:rPr>
      </w:pPr>
      <w:r>
        <w:rPr>
          <w:rFonts w:hint="eastAsia" w:ascii="楷体" w:hAnsi="楷体" w:eastAsia="楷体" w:cs="楷体"/>
          <w:b/>
          <w:bCs/>
          <w:sz w:val="24"/>
          <w:szCs w:val="24"/>
        </w:rPr>
        <w:t>更多HCP重组蛋白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55362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 w14:paraId="3DD6E671">
            <w:pPr>
              <w:rPr>
                <w:rFonts w:hint="default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货号</w:t>
            </w:r>
          </w:p>
        </w:tc>
        <w:tc>
          <w:tcPr>
            <w:tcW w:w="2130" w:type="dxa"/>
          </w:tcPr>
          <w:p w14:paraId="09DB5617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靶点</w:t>
            </w:r>
          </w:p>
        </w:tc>
        <w:tc>
          <w:tcPr>
            <w:tcW w:w="2131" w:type="dxa"/>
          </w:tcPr>
          <w:p w14:paraId="26DC01B0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标签</w:t>
            </w:r>
          </w:p>
        </w:tc>
        <w:tc>
          <w:tcPr>
            <w:tcW w:w="2131" w:type="dxa"/>
          </w:tcPr>
          <w:p w14:paraId="6BCD44B8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纯度</w:t>
            </w:r>
          </w:p>
        </w:tc>
      </w:tr>
      <w:tr w14:paraId="44568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 w14:paraId="26060146">
            <w:pPr>
              <w:rPr>
                <w:rFonts w:hint="default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5A7664-A08C</w:t>
            </w:r>
          </w:p>
        </w:tc>
        <w:tc>
          <w:tcPr>
            <w:tcW w:w="2130" w:type="dxa"/>
          </w:tcPr>
          <w:p w14:paraId="66794FCE">
            <w:pPr>
              <w:rPr>
                <w:rFonts w:hint="default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PLBD2</w:t>
            </w:r>
          </w:p>
        </w:tc>
        <w:tc>
          <w:tcPr>
            <w:tcW w:w="2131" w:type="dxa"/>
          </w:tcPr>
          <w:p w14:paraId="58E6C655">
            <w:pPr>
              <w:rPr>
                <w:rFonts w:hint="default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His</w:t>
            </w:r>
          </w:p>
        </w:tc>
        <w:tc>
          <w:tcPr>
            <w:tcW w:w="2131" w:type="dxa"/>
          </w:tcPr>
          <w:p w14:paraId="40733333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≥90%☆</w:t>
            </w:r>
          </w:p>
        </w:tc>
      </w:tr>
      <w:tr w14:paraId="07075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 w14:paraId="49F69710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5A7668-A08C</w:t>
            </w:r>
          </w:p>
        </w:tc>
        <w:tc>
          <w:tcPr>
            <w:tcW w:w="2130" w:type="dxa"/>
          </w:tcPr>
          <w:p w14:paraId="6BED8954">
            <w:pPr>
              <w:rPr>
                <w:rFonts w:hint="default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LPL</w:t>
            </w:r>
          </w:p>
        </w:tc>
        <w:tc>
          <w:tcPr>
            <w:tcW w:w="2131" w:type="dxa"/>
          </w:tcPr>
          <w:p w14:paraId="44C15791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His</w:t>
            </w:r>
          </w:p>
        </w:tc>
        <w:tc>
          <w:tcPr>
            <w:tcW w:w="2131" w:type="dxa"/>
          </w:tcPr>
          <w:p w14:paraId="33497386">
            <w:pPr>
              <w:rPr>
                <w:rFonts w:hint="default" w:ascii="楷体" w:hAnsi="楷体" w:eastAsia="楷体" w:cs="楷体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&gt;85%</w:t>
            </w:r>
          </w:p>
        </w:tc>
      </w:tr>
      <w:tr w14:paraId="6E01E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 w14:paraId="5B89C916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5A7663-A08C</w:t>
            </w:r>
          </w:p>
        </w:tc>
        <w:tc>
          <w:tcPr>
            <w:tcW w:w="2130" w:type="dxa"/>
          </w:tcPr>
          <w:p w14:paraId="59B18A5F">
            <w:pPr>
              <w:rPr>
                <w:rFonts w:hint="default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PLA2G15</w:t>
            </w:r>
          </w:p>
        </w:tc>
        <w:tc>
          <w:tcPr>
            <w:tcW w:w="2131" w:type="dxa"/>
          </w:tcPr>
          <w:p w14:paraId="51887A0B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His</w:t>
            </w:r>
          </w:p>
        </w:tc>
        <w:tc>
          <w:tcPr>
            <w:tcW w:w="2131" w:type="dxa"/>
          </w:tcPr>
          <w:p w14:paraId="2E0B658B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&gt;95%</w:t>
            </w:r>
          </w:p>
        </w:tc>
      </w:tr>
      <w:tr w14:paraId="18C4A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 w14:paraId="75F14B92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5A7667-A08C</w:t>
            </w:r>
          </w:p>
        </w:tc>
        <w:tc>
          <w:tcPr>
            <w:tcW w:w="2130" w:type="dxa"/>
          </w:tcPr>
          <w:p w14:paraId="02B46C88">
            <w:pPr>
              <w:rPr>
                <w:rFonts w:hint="default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Clusterin</w:t>
            </w:r>
          </w:p>
        </w:tc>
        <w:tc>
          <w:tcPr>
            <w:tcW w:w="2131" w:type="dxa"/>
          </w:tcPr>
          <w:p w14:paraId="3EB8B71A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His</w:t>
            </w:r>
          </w:p>
        </w:tc>
        <w:tc>
          <w:tcPr>
            <w:tcW w:w="2131" w:type="dxa"/>
          </w:tcPr>
          <w:p w14:paraId="658BA531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&gt;95%</w:t>
            </w:r>
          </w:p>
        </w:tc>
      </w:tr>
    </w:tbl>
    <w:p w14:paraId="2F73F809">
      <w:pPr>
        <w:rPr>
          <w:rFonts w:hint="eastAsia" w:ascii="楷体" w:hAnsi="楷体" w:eastAsia="楷体" w:cs="楷体"/>
          <w:sz w:val="28"/>
          <w:szCs w:val="28"/>
        </w:rPr>
      </w:pPr>
    </w:p>
    <w:p w14:paraId="507D048F">
      <w:pPr>
        <w:rPr>
          <w:rFonts w:hint="eastAsia" w:ascii="楷体" w:hAnsi="楷体" w:eastAsia="楷体" w:cs="楷体"/>
          <w:sz w:val="28"/>
          <w:szCs w:val="28"/>
        </w:rPr>
      </w:pPr>
    </w:p>
    <w:p w14:paraId="3EC2AC05">
      <w:pPr>
        <w:rPr>
          <w:rFonts w:hint="eastAsia" w:ascii="楷体" w:hAnsi="楷体" w:eastAsia="楷体" w:cs="楷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1YTA5Y2Y5Y2I0NzU2ZDExMmM5ZWY5YTU1YWU0MjAifQ=="/>
  </w:docVars>
  <w:rsids>
    <w:rsidRoot w:val="129A648A"/>
    <w:rsid w:val="129A6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2024-09-14T01:52:00Z</dcterms:created>
  <dc:creator>忘了天空的颜色</dc:creator>
  <cp:lastModifiedBy>忘了天空的颜色</cp:lastModifiedBy>
  <dcterms:modified xsi:type="dcterms:W3CDTF">2024-09-14T02:06:06Z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0B8ED16FD1CF4379B26EA71551A5D471_11</vt:lpwstr>
  </property>
</Properties>
</file>