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53597319"/>
      <w:bookmarkStart w:id="2" w:name="_Toc438987549"/>
      <w:bookmarkStart w:id="3" w:name="_Toc481801204"/>
      <w:bookmarkStart w:id="4" w:name="OLE_LINK15"/>
      <w:bookmarkStart w:id="5" w:name="OLE_LINK40"/>
      <w:bookmarkStart w:id="6" w:name="_Toc418070112"/>
      <w:bookmarkStart w:id="7" w:name="OLE_LINK39"/>
      <w:bookmarkStart w:id="8" w:name="OLE_LINK13"/>
      <w:bookmarkStart w:id="9" w:name="_Toc415143481"/>
      <w:bookmarkStart w:id="10" w:name="_Toc415818939"/>
      <w:bookmarkStart w:id="11" w:name="_Toc415142861"/>
      <w:bookmarkStart w:id="12" w:name="OLE_LINK24"/>
      <w:r>
        <w:rPr>
          <w:lang w:eastAsia="zh-CN"/>
        </w:rPr>
        <w:t>裂缝密封设备</w:t>
      </w:r>
      <w:r>
        <w:rPr>
          <w:rFonts w:hint="eastAsia"/>
          <w:lang w:eastAsia="zh-CN"/>
        </w:rPr>
        <w:t>全球市场总体规模</w:t>
      </w:r>
    </w:p>
    <w:p>
      <w:pPr>
        <w:pStyle w:val="145"/>
        <w:rPr>
          <w:lang w:eastAsia="zh-CN"/>
        </w:rPr>
      </w:pPr>
      <w:r>
        <w:rPr>
          <w:rFonts w:hint="eastAsia"/>
          <w:lang w:eastAsia="zh-CN"/>
        </w:rPr>
        <w:t>据QYResearch调研团队最新报告“全球裂缝密封设备市场报告2023-2029”显示，预计2029年全球裂缝密封设备市场规模将达到1.2亿美元，未来几年年复合增长率CAGR为5.3%。</w:t>
      </w:r>
    </w:p>
    <w:p>
      <w:pPr>
        <w:pStyle w:val="148"/>
        <w:rPr>
          <w:lang w:eastAsia="zh-CN"/>
        </w:rPr>
      </w:pPr>
      <w:r>
        <w:rPr>
          <w:lang w:eastAsia="zh-CN"/>
        </w:rPr>
        <w:t>裂缝密封设备</w:t>
      </w:r>
      <w:r>
        <w:rPr>
          <w:rFonts w:hint="eastAsia"/>
          <w:lang w:eastAsia="zh-CN"/>
        </w:rPr>
        <w:t>，全球市场总体规模</w:t>
      </w:r>
    </w:p>
    <w:p>
      <w:pPr>
        <w:pStyle w:val="145"/>
      </w:pPr>
      <w:r>
        <w:drawing>
          <wp:inline distT="0" distB="0" distL="0" distR="0">
            <wp:extent cx="6188710" cy="294068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裂缝密封设备</w:t>
      </w:r>
      <w:r>
        <w:rPr>
          <w:rFonts w:hint="eastAsia"/>
          <w:lang w:eastAsia="zh-CN"/>
        </w:rPr>
        <w:t>市场研究报告2023-2029</w:t>
      </w:r>
      <w:r>
        <w:rPr>
          <w:lang w:eastAsia="zh-CN"/>
        </w:rPr>
        <w:t>.</w:t>
      </w:r>
    </w:p>
    <w:p>
      <w:pPr>
        <w:pStyle w:val="8"/>
      </w:pPr>
      <w:r>
        <w:t>裂缝密封设备</w:t>
      </w:r>
      <w:r>
        <w:rPr>
          <w:rFonts w:hint="eastAsia"/>
        </w:rPr>
        <w:t>定义</w:t>
      </w:r>
    </w:p>
    <w:p>
      <w:pPr>
        <w:ind w:firstLine="357"/>
        <w:rPr>
          <w:rFonts w:hint="eastAsia"/>
        </w:rPr>
      </w:pPr>
      <w:r>
        <w:rPr>
          <w:rFonts w:hint="eastAsia"/>
        </w:rPr>
        <w:t>裂缝密封机，也称为沥青裂缝填充机，是一种专门设计的设备，用于密封沥青路面的裂缝或接缝。 这些裂缝通常是由天气变化、交通负荷和路面老化引起的。 裂缝密封机通常由加热密封剂的加热系统、将密封剂涂抹到裂缝上的软管和喷嘴以及提供气压以在密封前清除裂缝中碎片的压缩机组成。 这些机器使用的密封剂通常是热浇注橡胶沥青，具有优异的粘合性能和耐久性。</w:t>
      </w:r>
    </w:p>
    <w:p>
      <w:pPr>
        <w:pStyle w:val="148"/>
        <w:widowControl/>
        <w:pBdr>
          <w:bottom w:val="none" w:color="auto" w:sz="0" w:space="0"/>
        </w:pBdr>
        <w:spacing w:before="120" w:after="240"/>
      </w:pPr>
      <w:r>
        <w:t>裂缝密封设备</w:t>
      </w:r>
      <w:r>
        <w:rPr>
          <w:lang w:eastAsia="zh-CN"/>
        </w:rPr>
        <w:t>图片</w:t>
      </w:r>
    </w:p>
    <w:p>
      <w:pPr>
        <w:pStyle w:val="145"/>
        <w:rPr>
          <w:lang w:eastAsia="zh-CN"/>
        </w:rPr>
      </w:pPr>
      <w:r>
        <w:drawing>
          <wp:inline distT="0" distB="0" distL="0" distR="0">
            <wp:extent cx="3438525" cy="2386330"/>
            <wp:effectExtent l="0" t="0" r="0" b="0"/>
            <wp:docPr id="450" name="图片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 name="图片 450"/>
                    <pic:cNvPicPr>
                      <a:picLocks noChangeAspect="1"/>
                    </pic:cNvPicPr>
                  </pic:nvPicPr>
                  <pic:blipFill>
                    <a:blip r:embed="rId10"/>
                    <a:stretch>
                      <a:fillRect/>
                    </a:stretch>
                  </pic:blipFill>
                  <pic:spPr>
                    <a:xfrm>
                      <a:off x="0" y="0"/>
                      <a:ext cx="3444101" cy="2390700"/>
                    </a:xfrm>
                    <a:prstGeom prst="rect">
                      <a:avLst/>
                    </a:prstGeom>
                  </pic:spPr>
                </pic:pic>
              </a:graphicData>
            </a:graphic>
          </wp:inline>
        </w:drawing>
      </w:r>
    </w:p>
    <w:p>
      <w:pPr>
        <w:pStyle w:val="148"/>
        <w:rPr>
          <w:lang w:eastAsia="zh-CN"/>
        </w:rPr>
      </w:pPr>
      <w:r>
        <w:rPr>
          <w:rFonts w:hint="eastAsia"/>
          <w:lang w:eastAsia="zh-CN"/>
        </w:rPr>
        <w:t>全球</w:t>
      </w:r>
      <w:r>
        <w:rPr>
          <w:lang w:eastAsia="zh-CN"/>
        </w:rPr>
        <w:t>裂缝密封设备</w:t>
      </w:r>
      <w:r>
        <w:rPr>
          <w:rFonts w:hint="eastAsia"/>
          <w:lang w:eastAsia="zh-CN"/>
        </w:rPr>
        <w:t>市场前</w:t>
      </w:r>
      <w:r>
        <w:rPr>
          <w:lang w:eastAsia="zh-CN"/>
        </w:rPr>
        <w:t>16</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如上图表/数据，摘自QYResearch报告“全球</w:t>
      </w:r>
      <w:r>
        <w:rPr>
          <w:lang w:eastAsia="zh-CN"/>
        </w:rPr>
        <w:t>裂缝密封设备</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rFonts w:hint="eastAsia"/>
        </w:rPr>
      </w:pPr>
      <w:r>
        <w:rPr>
          <w:rFonts w:hint="eastAsia"/>
        </w:rPr>
        <w:t>根据QYResearch头部企业研究中心调研，全球范围内裂缝密封设备生产商主要包括Crafco</w:t>
      </w:r>
      <w:r>
        <w:rPr>
          <w:rFonts w:hint="eastAsia"/>
          <w:lang w:eastAsia="zh-CN"/>
        </w:rPr>
        <w:t>，</w:t>
      </w:r>
      <w:r>
        <w:rPr>
          <w:rFonts w:hint="eastAsia"/>
        </w:rPr>
        <w:t>Cimline Inc</w:t>
      </w:r>
      <w:r>
        <w:rPr>
          <w:rFonts w:hint="eastAsia"/>
          <w:lang w:eastAsia="zh-CN"/>
        </w:rPr>
        <w:t>，</w:t>
      </w:r>
      <w:r>
        <w:rPr>
          <w:rFonts w:hint="eastAsia"/>
        </w:rPr>
        <w:t>ED Etnyre &amp; Co</w:t>
      </w:r>
      <w:r>
        <w:rPr>
          <w:rFonts w:hint="eastAsia"/>
          <w:lang w:eastAsia="zh-CN"/>
        </w:rPr>
        <w:t>，</w:t>
      </w:r>
      <w:r>
        <w:rPr>
          <w:rFonts w:hint="eastAsia"/>
        </w:rPr>
        <w:t>Sealmaster</w:t>
      </w:r>
      <w:r>
        <w:rPr>
          <w:rFonts w:hint="eastAsia"/>
          <w:lang w:eastAsia="zh-CN"/>
        </w:rPr>
        <w:t>，</w:t>
      </w:r>
      <w:r>
        <w:rPr>
          <w:rFonts w:hint="eastAsia"/>
        </w:rPr>
        <w:t>Stepp Manufacturing Co</w:t>
      </w:r>
      <w:r>
        <w:rPr>
          <w:rFonts w:hint="eastAsia"/>
          <w:lang w:eastAsia="zh-CN"/>
        </w:rPr>
        <w:t>，</w:t>
      </w:r>
      <w:r>
        <w:rPr>
          <w:rFonts w:hint="eastAsia"/>
        </w:rPr>
        <w:t>Marathon Equipment Inc</w:t>
      </w:r>
      <w:r>
        <w:rPr>
          <w:rFonts w:hint="eastAsia"/>
          <w:lang w:eastAsia="zh-CN"/>
        </w:rPr>
        <w:t>，</w:t>
      </w:r>
      <w:r>
        <w:rPr>
          <w:rFonts w:hint="eastAsia"/>
        </w:rPr>
        <w:t>Trade Industrial</w:t>
      </w:r>
      <w:r>
        <w:rPr>
          <w:rFonts w:hint="eastAsia"/>
          <w:lang w:eastAsia="zh-CN"/>
        </w:rPr>
        <w:t>，</w:t>
      </w:r>
      <w:r>
        <w:rPr>
          <w:rFonts w:hint="eastAsia"/>
        </w:rPr>
        <w:t>KM International</w:t>
      </w:r>
      <w:r>
        <w:rPr>
          <w:rFonts w:hint="eastAsia"/>
          <w:lang w:eastAsia="zh-CN"/>
        </w:rPr>
        <w:t>，</w:t>
      </w:r>
      <w:r>
        <w:rPr>
          <w:rFonts w:hint="eastAsia"/>
        </w:rPr>
        <w:t>南京路跃交通设备</w:t>
      </w:r>
      <w:r>
        <w:rPr>
          <w:rFonts w:hint="eastAsia"/>
          <w:lang w:eastAsia="zh-CN"/>
        </w:rPr>
        <w:t>，</w:t>
      </w:r>
      <w:r>
        <w:rPr>
          <w:rFonts w:hint="eastAsia"/>
        </w:rPr>
        <w:t>HYDROG等。2022年，全球前五大厂商占有大约60.0%的市场份额。</w:t>
      </w:r>
    </w:p>
    <w:p>
      <w:pPr>
        <w:pStyle w:val="145"/>
      </w:pPr>
      <w:r>
        <w:rPr>
          <w:rFonts w:hint="eastAsia"/>
        </w:rPr>
        <w:t>根据QYResearch头部企业研究中心调研，全球范围内裂缝密封设备生产商主要包括Crafco</w:t>
      </w:r>
      <w:r>
        <w:rPr>
          <w:rFonts w:hint="eastAsia"/>
          <w:lang w:eastAsia="zh-CN"/>
        </w:rPr>
        <w:t>，</w:t>
      </w:r>
      <w:r>
        <w:rPr>
          <w:rFonts w:hint="eastAsia"/>
        </w:rPr>
        <w:t>Cimline Inc</w:t>
      </w:r>
      <w:r>
        <w:rPr>
          <w:rFonts w:hint="eastAsia"/>
          <w:lang w:eastAsia="zh-CN"/>
        </w:rPr>
        <w:t>，</w:t>
      </w:r>
      <w:r>
        <w:rPr>
          <w:rFonts w:hint="eastAsia"/>
        </w:rPr>
        <w:t>ED Etnyre &amp; Co</w:t>
      </w:r>
      <w:r>
        <w:rPr>
          <w:rFonts w:hint="eastAsia"/>
          <w:lang w:eastAsia="zh-CN"/>
        </w:rPr>
        <w:t>，</w:t>
      </w:r>
      <w:r>
        <w:rPr>
          <w:rFonts w:hint="eastAsia"/>
        </w:rPr>
        <w:t>Sealmaster</w:t>
      </w:r>
      <w:r>
        <w:rPr>
          <w:rFonts w:hint="eastAsia"/>
          <w:lang w:eastAsia="zh-CN"/>
        </w:rPr>
        <w:t>，</w:t>
      </w:r>
      <w:r>
        <w:rPr>
          <w:rFonts w:hint="eastAsia"/>
        </w:rPr>
        <w:t>Stepp Manufacturing Co</w:t>
      </w:r>
      <w:r>
        <w:rPr>
          <w:rFonts w:hint="eastAsia"/>
          <w:lang w:eastAsia="zh-CN"/>
        </w:rPr>
        <w:t>，</w:t>
      </w:r>
      <w:r>
        <w:rPr>
          <w:rFonts w:hint="eastAsia"/>
        </w:rPr>
        <w:t>Marathon Equipment Inc</w:t>
      </w:r>
      <w:r>
        <w:rPr>
          <w:rFonts w:hint="eastAsia"/>
          <w:lang w:eastAsia="zh-CN"/>
        </w:rPr>
        <w:t>，</w:t>
      </w:r>
      <w:r>
        <w:rPr>
          <w:rFonts w:hint="eastAsia"/>
        </w:rPr>
        <w:t>Trade Industrial</w:t>
      </w:r>
      <w:r>
        <w:rPr>
          <w:rFonts w:hint="eastAsia"/>
          <w:lang w:eastAsia="zh-CN"/>
        </w:rPr>
        <w:t>，</w:t>
      </w:r>
      <w:r>
        <w:rPr>
          <w:rFonts w:hint="eastAsia"/>
        </w:rPr>
        <w:t>KM International</w:t>
      </w:r>
      <w:r>
        <w:rPr>
          <w:rFonts w:hint="eastAsia"/>
          <w:lang w:eastAsia="zh-CN"/>
        </w:rPr>
        <w:t>，</w:t>
      </w:r>
      <w:r>
        <w:rPr>
          <w:rFonts w:hint="eastAsia"/>
        </w:rPr>
        <w:t>南京路跃交通设备</w:t>
      </w:r>
      <w:r>
        <w:rPr>
          <w:rFonts w:hint="eastAsia"/>
          <w:lang w:eastAsia="zh-CN"/>
        </w:rPr>
        <w:t>，</w:t>
      </w:r>
      <w:r>
        <w:rPr>
          <w:rFonts w:hint="eastAsia"/>
        </w:rPr>
        <w:t>HYDROG等。2022年，全球前十强厂商占有大约71.0%的市场份额。</w:t>
      </w:r>
    </w:p>
    <w:p>
      <w:pPr>
        <w:pStyle w:val="148"/>
        <w:rPr>
          <w:lang w:eastAsia="zh-CN"/>
        </w:rPr>
      </w:pPr>
      <w:r>
        <w:rPr>
          <w:lang w:eastAsia="zh-CN"/>
        </w:rPr>
        <w:t>裂缝密封设备</w:t>
      </w:r>
      <w:r>
        <w:rPr>
          <w:rFonts w:hint="eastAsia"/>
          <w:lang w:eastAsia="zh-CN"/>
        </w:rPr>
        <w:t>，全球市场规模，按产品类型细分，密封罐</w:t>
      </w:r>
      <w:r>
        <w:rPr>
          <w:lang w:eastAsia="zh-CN"/>
        </w:rPr>
        <w:t>容量在</w:t>
      </w:r>
      <w:r>
        <w:rPr>
          <w:rFonts w:hint="eastAsia"/>
          <w:lang w:eastAsia="zh-CN"/>
        </w:rPr>
        <w:t xml:space="preserve"> 150-300 Gal处于主导地位</w:t>
      </w:r>
    </w:p>
    <w:p>
      <w:pPr>
        <w:pStyle w:val="145"/>
        <w:rPr>
          <w:lang w:eastAsia="zh-CN"/>
        </w:rPr>
      </w:pPr>
      <w:r>
        <w:rPr>
          <w:color w:val="auto"/>
          <w:kern w:val="2"/>
          <w:szCs w:val="21"/>
          <w:lang w:val="en-US" w:eastAsia="zh-CN"/>
        </w:rPr>
        <mc:AlternateContent>
          <mc:Choice Requires="wpg">
            <w:drawing>
              <wp:inline distT="0" distB="0" distL="0" distR="0">
                <wp:extent cx="6119495" cy="3059430"/>
                <wp:effectExtent l="0" t="0" r="0" b="7620"/>
                <wp:docPr id="11" name="组合 15"/>
                <wp:cNvGraphicFramePr/>
                <a:graphic xmlns:a="http://schemas.openxmlformats.org/drawingml/2006/main">
                  <a:graphicData uri="http://schemas.microsoft.com/office/word/2010/wordprocessingGroup">
                    <wpg:wgp>
                      <wpg:cNvGrpSpPr/>
                      <wpg:grpSpPr>
                        <a:xfrm>
                          <a:off x="0" y="0"/>
                          <a:ext cx="6120000" cy="3060000"/>
                          <a:chOff x="0" y="0"/>
                          <a:chExt cx="6089688" cy="3407916"/>
                        </a:xfrm>
                      </wpg:grpSpPr>
                      <wpg:graphicFrame>
                        <wpg:cNvPr id="12" name="图表 12"/>
                        <wpg:cNvFrPr/>
                        <wpg:xfrm>
                          <a:off x="3249706" y="0"/>
                          <a:ext cx="2839982" cy="3385504"/>
                        </wpg:xfrm>
                        <a:graphic>
                          <a:graphicData uri="http://schemas.openxmlformats.org/drawingml/2006/chart">
                            <c:chart xmlns:c="http://schemas.openxmlformats.org/drawingml/2006/chart" xmlns:r="http://schemas.openxmlformats.org/officeDocument/2006/relationships" r:id="rId12"/>
                          </a:graphicData>
                        </a:graphic>
                      </wpg:graphicFrame>
                      <wpg:graphicFrame>
                        <wpg:cNvPr id="13" name="图表 13"/>
                        <wpg:cNvFrPr/>
                        <wpg:xfrm>
                          <a:off x="0" y="22412"/>
                          <a:ext cx="2839982" cy="3385504"/>
                        </wpg:xfrm>
                        <a:graphic>
                          <a:graphicData uri="http://schemas.openxmlformats.org/drawingml/2006/chart">
                            <c:chart xmlns:c="http://schemas.openxmlformats.org/drawingml/2006/chart" xmlns:r="http://schemas.openxmlformats.org/officeDocument/2006/relationships" r:id="rId13"/>
                          </a:graphicData>
                        </a:graphic>
                      </wpg:graphicFrame>
                      <wps:wsp>
                        <wps:cNvPr id="14" name="文本框 18"/>
                        <wps:cNvSpPr txBox="1"/>
                        <wps:spPr>
                          <a:xfrm>
                            <a:off x="1741039" y="208634"/>
                            <a:ext cx="2409263" cy="40341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pPr>
                                <w:pStyle w:val="31"/>
                                <w:spacing w:before="0" w:beforeAutospacing="0" w:after="0" w:afterAutospacing="0"/>
                                <w:jc w:val="center"/>
                                <w:rPr>
                                  <w:sz w:val="24"/>
                                </w:rPr>
                              </w:pPr>
                              <w:r>
                                <w:rPr>
                                  <w:rFonts w:ascii="Book Antiqua" w:hAnsi="Book Antiqua" w:eastAsiaTheme="minorEastAsia" w:cstheme="minorBidi"/>
                                  <w:color w:val="000000" w:themeColor="dark1"/>
                                  <w:sz w:val="22"/>
                                  <w:szCs w:val="22"/>
                                  <w14:textFill>
                                    <w14:solidFill>
                                      <w14:schemeClr w14:val="dk1"/>
                                    </w14:solidFill>
                                  </w14:textFill>
                                </w:rPr>
                                <w:t>CAGR: 5.3%, 2023-2029</w:t>
                              </w:r>
                            </w:p>
                          </w:txbxContent>
                        </wps:txbx>
                        <wps:bodyPr wrap="square" rtlCol="0" anchor="ctr"/>
                      </wps:wsp>
                    </wpg:wgp>
                  </a:graphicData>
                </a:graphic>
              </wp:inline>
            </w:drawing>
          </mc:Choice>
          <mc:Fallback>
            <w:pict>
              <v:group id="组合 15" o:spid="_x0000_s1026" o:spt="203" style="height:240.9pt;width:481.85pt;" coordsize="6089688,3407916" o:gfxdata="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">
                <o:lock v:ext="edit" aspectratio="f"/>
                <v:rect id="_x0000_s1026" o:spid="_x0000_s1026" o:spt="75" style="position:absolute;left:3249706;top:0;height:3385504;width:2839982;" coordsize="21600,21600" o:gfxdata="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gOmqugAAANsA&#10;AAAPAAAAAAAAAAEAIAAAACIAAABkcnMvZG93bnJldi54bWxQSwECFAAUAAAACACHTuJAMy8FnjsA&#10;AAA5AAAAEAAAAAAAAAABACAAAAAJAQAAZHJzL3NoYXBleG1sLnhtbFBLBQYAAAAABgAGAFsBAACz&#10;AwAAAAA=&#10;">
                  <v:imagedata r:id="rId14" o:title=""/>
                  <o:lock v:ext="edit"/>
                </v:rect>
                <v:rect id="_x0000_s1026" o:spid="_x0000_s1026" o:spt="75" style="position:absolute;left:0;top:22412;height:3385504;width:2839982;" coordsize="21600,21600" o:gfxdata="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OZ1XqugAAANsA&#10;AAAPAAAAAAAAAAEAIAAAACIAAABkcnMvZG93bnJldi54bWxQSwECFAAUAAAACACHTuJAMy8FnjsA&#10;AAA5AAAAEAAAAAAAAAABACAAAAAJAQAAZHJzL3NoYXBleG1sLnhtbFBLBQYAAAAABgAGAFsBAACz&#10;AwAAAAA=&#10;">
                  <v:imagedata r:id="rId15" o:title=""/>
                  <o:lock v:ext="edit"/>
                </v:rect>
                <v:shape id="文本框 18" o:spid="_x0000_s1026" o:spt="202" type="#_x0000_t202" style="position:absolute;left:1741039;top:208634;height:403410;width:2409263;v-text-anchor:middle;" filled="f" stroked="f" coordsize="21600,21600" o:gfxdata="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yDz4KL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31"/>
                          <w:spacing w:before="0" w:beforeAutospacing="0" w:after="0" w:afterAutospacing="0"/>
                          <w:jc w:val="center"/>
                          <w:rPr>
                            <w:sz w:val="24"/>
                          </w:rPr>
                        </w:pPr>
                        <w:r>
                          <w:rPr>
                            <w:rFonts w:ascii="Book Antiqua" w:hAnsi="Book Antiqua" w:eastAsiaTheme="minorEastAsia" w:cstheme="minorBidi"/>
                            <w:color w:val="000000" w:themeColor="dark1"/>
                            <w:sz w:val="22"/>
                            <w:szCs w:val="22"/>
                            <w14:textFill>
                              <w14:solidFill>
                                <w14:schemeClr w14:val="dk1"/>
                              </w14:solidFill>
                            </w14:textFill>
                          </w:rPr>
                          <w:t>CAGR: 5.3%, 2023-2029</w:t>
                        </w:r>
                      </w:p>
                    </w:txbxContent>
                  </v:textbox>
                </v:shape>
                <w10:wrap type="none"/>
                <w10:anchorlock/>
              </v:group>
            </w:pict>
          </mc:Fallback>
        </mc:AlternateContent>
      </w:r>
    </w:p>
    <w:p>
      <w:pPr>
        <w:pStyle w:val="145"/>
        <w:rPr>
          <w:lang w:eastAsia="zh-CN"/>
        </w:rPr>
      </w:pPr>
      <w:r>
        <w:drawing>
          <wp:inline distT="0" distB="0" distL="0" distR="0">
            <wp:extent cx="6188710" cy="2922270"/>
            <wp:effectExtent l="0" t="0" r="2540" b="0"/>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143"/>
        <w:rPr>
          <w:lang w:eastAsia="zh-CN"/>
        </w:rPr>
      </w:pPr>
      <w:r>
        <w:rPr>
          <w:rFonts w:hint="eastAsia"/>
          <w:lang w:eastAsia="zh-CN"/>
        </w:rPr>
        <w:t>如上图表/数据，摘自QYResearch最新报告“全球</w:t>
      </w:r>
      <w:r>
        <w:rPr>
          <w:lang w:eastAsia="zh-CN"/>
        </w:rPr>
        <w:t>裂缝密封设备</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就产品类型而言，目前密封罐</w:t>
      </w:r>
      <w:r>
        <w:rPr>
          <w:lang w:eastAsia="zh-CN"/>
        </w:rPr>
        <w:t>容量在</w:t>
      </w:r>
      <w:r>
        <w:rPr>
          <w:rFonts w:hint="eastAsia"/>
          <w:lang w:eastAsia="zh-CN"/>
        </w:rPr>
        <w:t xml:space="preserve"> 150-300 Gal是最主要的细分产品，占据大约34.7%的份额。</w:t>
      </w:r>
    </w:p>
    <w:p>
      <w:pPr>
        <w:pStyle w:val="145"/>
        <w:rPr>
          <w:lang w:eastAsia="zh-CN"/>
        </w:rPr>
      </w:pPr>
      <w:r>
        <w:rPr>
          <w:rFonts w:hint="eastAsia"/>
          <w:lang w:eastAsia="zh-CN"/>
        </w:rPr>
        <w:t>就产品应用而言，目前商业用途是最主要的需求来源，占据大约83.9%的份额。</w:t>
      </w:r>
    </w:p>
    <w:p>
      <w:pPr>
        <w:pStyle w:val="148"/>
        <w:rPr>
          <w:lang w:eastAsia="zh-CN"/>
        </w:rPr>
      </w:pPr>
      <w:r>
        <w:rPr>
          <w:rFonts w:hint="eastAsia"/>
          <w:lang w:eastAsia="zh-CN"/>
        </w:rPr>
        <w:t>全球</w:t>
      </w:r>
      <w:r>
        <w:rPr>
          <w:lang w:eastAsia="zh-CN"/>
        </w:rPr>
        <w:t>裂缝密封设备</w:t>
      </w:r>
      <w:r>
        <w:rPr>
          <w:rFonts w:hint="eastAsia"/>
          <w:lang w:eastAsia="zh-CN"/>
        </w:rPr>
        <w:t>规模，主要生产地区份额（按产值）</w:t>
      </w:r>
    </w:p>
    <w:p>
      <w:pPr>
        <w:pStyle w:val="145"/>
        <w:rPr>
          <w:lang w:val="en-US" w:eastAsia="zh-CN"/>
        </w:rPr>
      </w:pPr>
      <w:r>
        <w:drawing>
          <wp:inline distT="0" distB="0" distL="0" distR="0">
            <wp:extent cx="6188710" cy="2922270"/>
            <wp:effectExtent l="0" t="0" r="2540" b="0"/>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pStyle w:val="143"/>
        <w:rPr>
          <w:lang w:eastAsia="zh-CN"/>
        </w:rPr>
      </w:pPr>
      <w:r>
        <w:rPr>
          <w:rFonts w:hint="eastAsia"/>
          <w:lang w:eastAsia="zh-CN"/>
        </w:rPr>
        <w:t>如上图表/数据，摘自QYResearch最新报告“全球</w:t>
      </w:r>
      <w:r>
        <w:rPr>
          <w:lang w:eastAsia="zh-CN"/>
        </w:rPr>
        <w:t>裂缝密封设备</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D1：在全球范围内，政府和私人组织越来越多地投资于基础设施开发，包括道路网络。 这导致对裂缝密封/填充机的需求不断增长，这些机器可以帮助保持这些网络的完整性。</w:t>
      </w:r>
    </w:p>
    <w:p>
      <w:pPr>
        <w:pStyle w:val="145"/>
        <w:rPr>
          <w:rFonts w:hint="eastAsia"/>
          <w:lang w:eastAsia="zh-CN"/>
        </w:rPr>
      </w:pPr>
      <w:r>
        <w:rPr>
          <w:rFonts w:hint="eastAsia"/>
          <w:lang w:eastAsia="zh-CN"/>
        </w:rPr>
        <w:t>D2：预防性维护策略的趋势日益明显，即尽早修复裂缝以防止道路进一步损坏。 这增加了市场对裂缝密封/填充机的需求。</w:t>
      </w:r>
    </w:p>
    <w:p>
      <w:pPr>
        <w:pStyle w:val="145"/>
        <w:rPr>
          <w:lang w:eastAsia="zh-CN"/>
        </w:rPr>
      </w:pPr>
      <w:r>
        <w:rPr>
          <w:rFonts w:hint="eastAsia"/>
          <w:lang w:eastAsia="zh-CN"/>
        </w:rPr>
        <w:t>D3：由于道路和高速公路由于磨损、恶劣天气条件和其他因素而随着时间的推移而恶化，越来越需要定期维护以确保其安全和使用寿命。 这导致对能够高效地执行这些任务的裂缝密封/填充机的需求不断增加。</w:t>
      </w:r>
    </w:p>
    <w:p>
      <w:pPr>
        <w:pStyle w:val="145"/>
        <w:rPr>
          <w:lang w:eastAsia="zh-CN"/>
        </w:rPr>
      </w:pPr>
      <w:r>
        <w:rPr>
          <w:rFonts w:hint="eastAsia"/>
          <w:lang w:eastAsia="zh-CN"/>
        </w:rPr>
        <w:t>主要阻碍因素</w:t>
      </w:r>
      <w:r>
        <w:rPr>
          <w:lang w:eastAsia="zh-CN"/>
        </w:rPr>
        <w:t>:</w:t>
      </w:r>
    </w:p>
    <w:p>
      <w:pPr>
        <w:pStyle w:val="145"/>
        <w:rPr>
          <w:rFonts w:hint="eastAsia"/>
          <w:lang w:eastAsia="zh-CN"/>
        </w:rPr>
      </w:pPr>
      <w:r>
        <w:rPr>
          <w:rFonts w:hint="eastAsia"/>
          <w:lang w:eastAsia="zh-CN"/>
        </w:rPr>
        <w:t>裂缝密封/填充机高度依赖于天气条件，如果它们无法在某些天气条件下有效运行，就会限制其实用性和盈利能力。</w:t>
      </w:r>
    </w:p>
    <w:p>
      <w:pPr>
        <w:pStyle w:val="145"/>
        <w:rPr>
          <w:rFonts w:hint="eastAsia"/>
          <w:lang w:eastAsia="zh-CN"/>
        </w:rPr>
      </w:pPr>
      <w:r>
        <w:rPr>
          <w:rFonts w:hint="eastAsia"/>
          <w:lang w:eastAsia="zh-CN"/>
        </w:rPr>
        <w:t>除了初始成本之外，裂缝密封/填充机还需要定期维护、维修和运营成本，这可能会成本高昂，并可能影响公司的盈利能力。</w:t>
      </w:r>
    </w:p>
    <w:p>
      <w:pPr>
        <w:pStyle w:val="145"/>
        <w:rPr>
          <w:lang w:eastAsia="zh-CN"/>
        </w:rPr>
      </w:pPr>
      <w:r>
        <w:rPr>
          <w:rFonts w:hint="eastAsia"/>
          <w:lang w:eastAsia="zh-CN"/>
        </w:rPr>
        <w:t>裂缝密封/填充机市场的熟练劳动力稀缺，特别是在该行业的技术方面，这可能会限制市场的潜在增长。</w:t>
      </w:r>
    </w:p>
    <w:p>
      <w:pPr>
        <w:pStyle w:val="145"/>
        <w:rPr>
          <w:lang w:eastAsia="zh-CN"/>
        </w:rPr>
      </w:pPr>
      <w:r>
        <w:rPr>
          <w:rFonts w:hint="eastAsia"/>
          <w:lang w:eastAsia="zh-CN"/>
        </w:rPr>
        <w:t>行业发展机遇</w:t>
      </w:r>
      <w:r>
        <w:rPr>
          <w:lang w:eastAsia="zh-CN"/>
        </w:rPr>
        <w:t>:</w:t>
      </w:r>
    </w:p>
    <w:p>
      <w:pPr>
        <w:pStyle w:val="145"/>
        <w:rPr>
          <w:rFonts w:hint="eastAsia"/>
          <w:lang w:eastAsia="zh-CN"/>
        </w:rPr>
      </w:pPr>
      <w:r>
        <w:rPr>
          <w:rFonts w:hint="eastAsia"/>
          <w:lang w:eastAsia="zh-CN"/>
        </w:rPr>
        <w:t>世界各地许多政府都在增加基础设施开发和维护方面的支出，以满足对安全可靠的道路网络不断增长的需求。 这为裂缝密封/填充机制造商创造了重要的机会。</w:t>
      </w:r>
    </w:p>
    <w:p>
      <w:pPr>
        <w:pStyle w:val="145"/>
        <w:rPr>
          <w:rFonts w:hint="eastAsia"/>
          <w:lang w:eastAsia="zh-CN"/>
        </w:rPr>
      </w:pPr>
      <w:r>
        <w:rPr>
          <w:rFonts w:hint="eastAsia"/>
          <w:lang w:eastAsia="zh-CN"/>
        </w:rPr>
        <w:t>中国、印度和东南亚等新兴市场经济快速增长，基础设施建设投资不断增加。 这使得这些地区对裂缝密封/填充机的需求不断增长。</w:t>
      </w:r>
    </w:p>
    <w:p>
      <w:pPr>
        <w:pStyle w:val="145"/>
        <w:rPr>
          <w:lang w:eastAsia="zh-CN"/>
        </w:rPr>
      </w:pPr>
      <w:r>
        <w:rPr>
          <w:rFonts w:hint="eastAsia"/>
          <w:lang w:eastAsia="zh-CN"/>
        </w:rPr>
        <w:t>可持续性正在成为许多组织的首要任务，包括基础设施开发行业的组织。 这导致人们越来越关注开发可持续的裂缝密封/填充机器，以最大限度地减少浪费、减少排放并使用环保材料。</w:t>
      </w: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45"/>
        <w:rPr>
          <w:lang w:eastAsia="zh-CN"/>
        </w:rPr>
      </w:pPr>
    </w:p>
    <w:p>
      <w:pPr>
        <w:pStyle w:val="167"/>
        <w:rPr>
          <w:lang w:eastAsia="zh-CN"/>
        </w:rPr>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r>
        <w:rPr>
          <w:rFonts w:hint="eastAsia"/>
          <w:lang w:eastAsia="zh-CN"/>
        </w:rPr>
        <w:t>王壮 – 本文主要分析师</w:t>
      </w:r>
    </w:p>
    <w:p>
      <w:pPr>
        <w:pStyle w:val="145"/>
        <w:rPr>
          <w:rFonts w:hint="eastAsia"/>
          <w:lang w:eastAsia="zh-CN"/>
        </w:rPr>
      </w:pPr>
    </w:p>
    <w:p>
      <w:pPr>
        <w:pStyle w:val="145"/>
        <w:rPr>
          <w:lang w:eastAsia="zh-CN"/>
        </w:rPr>
      </w:pPr>
      <w:bookmarkStart w:id="19" w:name="_GoBack"/>
      <w:bookmarkEnd w:id="19"/>
      <w:r>
        <w:rPr>
          <w:rFonts w:hint="eastAsia"/>
          <w:lang w:eastAsia="zh-CN"/>
        </w:rPr>
        <w:t>王先生， 王先生是一位资深的市场分析师，具备三年以上的行业经验。他在市场分析和预测方面有着深入的研究和广泛的知识。他精通数据分析和市场趋势的研究方法，能够准确分析和解读市场数据，为客户提供有针对性的市场策略和建议。</w:t>
      </w:r>
    </w:p>
    <w:p>
      <w:pPr>
        <w:pStyle w:val="145"/>
        <w:rPr>
          <w:lang w:eastAsia="zh-CN"/>
        </w:rPr>
      </w:pPr>
      <w:r>
        <w:rPr>
          <w:rFonts w:hint="eastAsia"/>
          <w:lang w:eastAsia="zh-CN"/>
        </w:rPr>
        <w:t>王先生对不同行业和市场领域都有广泛的了解和涉猎，包括金融、科技、消费品等。他在过去的工作中成功地预测了市场变化，并给出了有益的建议，帮助客户做出明智的投资和决策。</w:t>
      </w:r>
    </w:p>
    <w:p>
      <w:pPr>
        <w:pStyle w:val="145"/>
        <w:rPr>
          <w:lang w:eastAsia="zh-CN"/>
        </w:rPr>
      </w:pPr>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87"/>
    <w:bookmarkStart w:id="14" w:name="_Hlk149300689"/>
    <w:bookmarkStart w:id="15" w:name="_Hlk149300691"/>
    <w:bookmarkStart w:id="16" w:name="_Hlk149300692"/>
    <w:bookmarkStart w:id="17" w:name="_Hlk149300690"/>
    <w:bookmarkStart w:id="18" w:name="_Hlk149300688"/>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2336"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1EA"/>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5EBF"/>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5F2"/>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5B8"/>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3D30"/>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2EB"/>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884"/>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B0"/>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5F85"/>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5FFD"/>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5DE"/>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5E2"/>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4704"/>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4DB"/>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753"/>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DE86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autoRedefine/>
    <w:qFormat/>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autoRedefine/>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autoRedefine/>
    <w:uiPriority w:val="99"/>
    <w:rPr>
      <w:rFonts w:ascii="Arial" w:hAnsi="Arial" w:eastAsia="Times New Roman" w:cs="Arial"/>
      <w:kern w:val="0"/>
      <w:sz w:val="18"/>
      <w:szCs w:val="18"/>
      <w:lang w:eastAsia="en-US"/>
    </w:rPr>
  </w:style>
  <w:style w:type="table" w:customStyle="1" w:styleId="105">
    <w:name w:val="网格表 4 - 着色 11"/>
    <w:basedOn w:val="34"/>
    <w:autoRedefine/>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autoRedefine/>
    <w:uiPriority w:val="99"/>
    <w:rPr>
      <w:rFonts w:ascii="Times New Roman" w:hAnsi="Times New Roman" w:eastAsia="Times New Roman" w:cs="Times New Roman"/>
      <w:b/>
      <w:bCs/>
      <w:szCs w:val="21"/>
    </w:rPr>
  </w:style>
  <w:style w:type="character" w:customStyle="1" w:styleId="118">
    <w:name w:val="批注主题 字符1"/>
    <w:link w:val="33"/>
    <w:autoRedefine/>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autoRedefine/>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autoRedefine/>
    <w:uiPriority w:val="0"/>
    <w:pPr>
      <w:jc w:val="right"/>
    </w:pPr>
    <w:rPr>
      <w:rFonts w:cs="宋体"/>
      <w:kern w:val="0"/>
      <w:szCs w:val="20"/>
    </w:rPr>
  </w:style>
  <w:style w:type="paragraph" w:customStyle="1" w:styleId="126">
    <w:name w:val="样式 10 磅 左"/>
    <w:basedOn w:val="1"/>
    <w:next w:val="1"/>
    <w:autoRedefine/>
    <w:uiPriority w:val="0"/>
    <w:pPr>
      <w:jc w:val="left"/>
    </w:pPr>
    <w:rPr>
      <w:rFonts w:cs="宋体"/>
      <w:kern w:val="0"/>
      <w:sz w:val="20"/>
      <w:szCs w:val="20"/>
    </w:rPr>
  </w:style>
  <w:style w:type="paragraph" w:customStyle="1" w:styleId="127">
    <w:name w:val="样式 10 磅 左1"/>
    <w:basedOn w:val="1"/>
    <w:next w:val="1"/>
    <w:autoRedefine/>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uiPriority w:val="99"/>
    <w:rPr>
      <w:color w:val="605E5C"/>
      <w:shd w:val="clear" w:color="auto" w:fill="E1DFDD"/>
    </w:rPr>
  </w:style>
  <w:style w:type="character" w:customStyle="1" w:styleId="192">
    <w:name w:val="标题 7 字符"/>
    <w:basedOn w:val="67"/>
    <w:link w:val="8"/>
    <w:autoRedefine/>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istrator\Desktop\work\20231226\&#35266;&#28857;%20-%20&#21103;&#26412;%20(10)\&#35266;&#28857;&#25968;&#25454;&#22270;&#34920;&#27169;&#26495;-&#27169;&#26495;%20202312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work\20231226\&#35266;&#28857;%20-%20&#21103;&#26412;%20(10)\&#35266;&#28857;&#25968;&#25454;&#22270;&#34920;&#27169;&#26495;-&#27169;&#26495;%20202312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work\20231226\&#35266;&#28857;%20-%20&#21103;&#26412;%20(10)\&#35266;&#28857;&#25968;&#25454;&#22270;&#34920;&#27169;&#26495;-&#27169;&#26495;%202023122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work\20231226\&#35266;&#28857;%20-%20&#21103;&#26412;%20(10)\&#35266;&#28857;&#25968;&#25454;&#22270;&#34920;&#27169;&#26495;-&#27169;&#26495;%202023122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work\20231226\&#35266;&#28857;%20-%20&#21103;&#26412;%20(10)\&#35266;&#28857;&#25968;&#25454;&#22270;&#34920;&#27169;&#26495;-&#27169;&#26495;%202023122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work\20231226\&#35266;&#28857;%20-%20&#21103;&#26412;%20(10)\&#35266;&#28857;&#25968;&#25454;&#22270;&#34920;&#27169;&#26495;-&#27169;&#26495;%20202312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全球市场规模（百万美元），</a:t>
            </a:r>
            <a:r>
              <a:rPr lang="en-US" altLang="zh-CN" sz="1100">
                <a:latin typeface="Book Antiqua" panose="02040602050305030304" pitchFamily="1" charset="0"/>
              </a:rPr>
              <a:t>2022 VS 2029</a:t>
            </a:r>
            <a:endParaRPr lang="en-US" altLang="zh-CN" sz="11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全球总体!$C$21:$D$21</c:f>
              <c:numCache>
                <c:formatCode>General</c:formatCode>
                <c:ptCount val="2"/>
                <c:pt idx="0">
                  <c:v>2022</c:v>
                </c:pt>
                <c:pt idx="1">
                  <c:v>2029</c:v>
                </c:pt>
              </c:numCache>
            </c:numRef>
          </c:cat>
          <c:val>
            <c:numRef>
              <c:f>全球总体!$C$22:$D$22</c:f>
              <c:numCache>
                <c:formatCode>#,##0_ </c:formatCode>
                <c:ptCount val="2"/>
                <c:pt idx="0">
                  <c:v>83.03</c:v>
                </c:pt>
                <c:pt idx="1">
                  <c:v>118.54</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Lbls>
            <c:delete val="1"/>
          </c:dLbls>
          <c:cat>
            <c:strRef>
              <c:f>企业排序!$F$2:$F$25</c:f>
              <c:strCache>
                <c:ptCount val="16"/>
                <c:pt idx="0">
                  <c:v>济宁宜迅机械</c:v>
                </c:pt>
                <c:pt idx="1">
                  <c:v>中山安畅科技</c:v>
                </c:pt>
                <c:pt idx="2">
                  <c:v>豫工机械</c:v>
                </c:pt>
                <c:pt idx="3">
                  <c:v>杰和机械</c:v>
                </c:pt>
                <c:pt idx="4">
                  <c:v>山东济宁福瑞得机械</c:v>
                </c:pt>
                <c:pt idx="5">
                  <c:v>浙江美通筑路机械</c:v>
                </c:pt>
                <c:pt idx="6">
                  <c:v>HYDROG</c:v>
                </c:pt>
                <c:pt idx="7">
                  <c:v>南京路跃交通设备</c:v>
                </c:pt>
                <c:pt idx="8">
                  <c:v>KM International</c:v>
                </c:pt>
                <c:pt idx="9">
                  <c:v>Trade Industrial</c:v>
                </c:pt>
                <c:pt idx="10">
                  <c:v>Marathon Equipment Inc</c:v>
                </c:pt>
                <c:pt idx="11">
                  <c:v>Stepp Manufacturing Co</c:v>
                </c:pt>
                <c:pt idx="12">
                  <c:v>Sealmaster</c:v>
                </c:pt>
                <c:pt idx="13">
                  <c:v>ED Etnyre &amp; Co</c:v>
                </c:pt>
                <c:pt idx="14">
                  <c:v>Cimline Inc</c:v>
                </c:pt>
                <c:pt idx="15">
                  <c:v>Crafco</c:v>
                </c:pt>
              </c:strCache>
            </c:strRef>
          </c:cat>
          <c:val>
            <c:numRef>
              <c:f>企业排序!$G$2:$G$25</c:f>
              <c:numCache>
                <c:formatCode>#,##0.00_ </c:formatCode>
                <c:ptCount val="16"/>
                <c:pt idx="0">
                  <c:v>0.44</c:v>
                </c:pt>
                <c:pt idx="1">
                  <c:v>0.45</c:v>
                </c:pt>
                <c:pt idx="2">
                  <c:v>0.51</c:v>
                </c:pt>
                <c:pt idx="3">
                  <c:v>0.57</c:v>
                </c:pt>
                <c:pt idx="4">
                  <c:v>0.79</c:v>
                </c:pt>
                <c:pt idx="5">
                  <c:v>0.89</c:v>
                </c:pt>
                <c:pt idx="6">
                  <c:v>0.92</c:v>
                </c:pt>
                <c:pt idx="7">
                  <c:v>1.84</c:v>
                </c:pt>
                <c:pt idx="8">
                  <c:v>2.1</c:v>
                </c:pt>
                <c:pt idx="9">
                  <c:v>2.11</c:v>
                </c:pt>
                <c:pt idx="10">
                  <c:v>3.24</c:v>
                </c:pt>
                <c:pt idx="11">
                  <c:v>4.71</c:v>
                </c:pt>
                <c:pt idx="12">
                  <c:v>5.19</c:v>
                </c:pt>
                <c:pt idx="13">
                  <c:v>7.25</c:v>
                </c:pt>
                <c:pt idx="14">
                  <c:v>12.91</c:v>
                </c:pt>
                <c:pt idx="15">
                  <c:v>19.4</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3872537855828"/>
          <c:y val="0.360681488323866"/>
        </c:manualLayout>
      </c:layout>
      <c:overlay val="0"/>
      <c:spPr>
        <a:noFill/>
        <a:ln>
          <a:noFill/>
        </a:ln>
        <a:effectLst/>
      </c:spPr>
    </c:title>
    <c:autoTitleDeleted val="0"/>
    <c:plotArea>
      <c:layout/>
      <c:doughnutChart>
        <c:varyColors val="1"/>
        <c:ser>
          <c:idx val="0"/>
          <c:order val="0"/>
          <c:tx>
            <c:strRef>
              <c:f>分类!$AG$1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分类!$R$2:$R$10</c:f>
              <c:strCache>
                <c:ptCount val="4"/>
                <c:pt idx="0">
                  <c:v>Sealant Tank Capacity Less than 50 Gal</c:v>
                </c:pt>
                <c:pt idx="1">
                  <c:v>Sealant Tank Capacity between 50-150 Gal</c:v>
                </c:pt>
                <c:pt idx="2">
                  <c:v>Sealant Tank Capacity between 150-300 Gal</c:v>
                </c:pt>
                <c:pt idx="3">
                  <c:v>Sealant Tank Capacity More than 300 Gal</c:v>
                </c:pt>
              </c:strCache>
            </c:strRef>
          </c:cat>
          <c:val>
            <c:numRef>
              <c:f>分类!$AG$2:$AG$10</c:f>
              <c:numCache>
                <c:formatCode>0.0%</c:formatCode>
                <c:ptCount val="4"/>
                <c:pt idx="0">
                  <c:v>0.0761768179517462</c:v>
                </c:pt>
                <c:pt idx="1">
                  <c:v>0.28311118609752</c:v>
                </c:pt>
                <c:pt idx="2">
                  <c:v>0.367133457060908</c:v>
                </c:pt>
                <c:pt idx="3">
                  <c:v>0.273578538889826</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31731273899678"/>
          <c:y val="0.385748300259616"/>
        </c:manualLayout>
      </c:layout>
      <c:overlay val="0"/>
      <c:spPr>
        <a:noFill/>
        <a:ln>
          <a:noFill/>
        </a:ln>
        <a:effectLst/>
      </c:spPr>
    </c:title>
    <c:autoTitleDeleted val="0"/>
    <c:plotArea>
      <c:layout/>
      <c:doughnutChart>
        <c:varyColors val="1"/>
        <c:ser>
          <c:idx val="0"/>
          <c:order val="0"/>
          <c:tx>
            <c:strRef>
              <c:f>分类!$AF$1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分类!$R$2:$R$10</c:f>
              <c:strCache>
                <c:ptCount val="4"/>
                <c:pt idx="0">
                  <c:v>Sealant Tank Capacity Less than 50 Gal</c:v>
                </c:pt>
                <c:pt idx="1">
                  <c:v>Sealant Tank Capacity between 50-150 Gal</c:v>
                </c:pt>
                <c:pt idx="2">
                  <c:v>Sealant Tank Capacity between 150-300 Gal</c:v>
                </c:pt>
                <c:pt idx="3">
                  <c:v>Sealant Tank Capacity More than 300 Gal</c:v>
                </c:pt>
              </c:strCache>
            </c:strRef>
          </c:cat>
          <c:val>
            <c:numRef>
              <c:f>分类!$AF$2:$AF$10</c:f>
              <c:numCache>
                <c:formatCode>0.0%</c:formatCode>
                <c:ptCount val="4"/>
                <c:pt idx="0">
                  <c:v>0.113814283993737</c:v>
                </c:pt>
                <c:pt idx="1">
                  <c:v>0.277249187040829</c:v>
                </c:pt>
                <c:pt idx="2">
                  <c:v>0.347344333373479</c:v>
                </c:pt>
                <c:pt idx="3">
                  <c:v>0.261592195591955</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Sealant Tank Capacity Less than 50 Gal</c:v>
                </c:pt>
              </c:strCache>
            </c:strRef>
          </c:tx>
          <c:spPr>
            <a:solidFill>
              <a:srgbClr val="002060"/>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分类!$B$2:$M$2</c:f>
              <c:numCache>
                <c:formatCode>#,##0_);[Red]\(#,##0\)</c:formatCode>
                <c:ptCount val="12"/>
                <c:pt idx="0">
                  <c:v>9.46</c:v>
                </c:pt>
                <c:pt idx="1">
                  <c:v>9.33</c:v>
                </c:pt>
                <c:pt idx="2">
                  <c:v>7.88</c:v>
                </c:pt>
                <c:pt idx="3">
                  <c:v>8.34</c:v>
                </c:pt>
                <c:pt idx="4">
                  <c:v>9.45</c:v>
                </c:pt>
                <c:pt idx="5">
                  <c:v>8.43</c:v>
                </c:pt>
                <c:pt idx="6">
                  <c:v>8.72</c:v>
                </c:pt>
                <c:pt idx="7">
                  <c:v>8.38</c:v>
                </c:pt>
                <c:pt idx="8">
                  <c:v>10.08</c:v>
                </c:pt>
                <c:pt idx="9">
                  <c:v>8.79</c:v>
                </c:pt>
                <c:pt idx="10">
                  <c:v>8.32</c:v>
                </c:pt>
                <c:pt idx="11">
                  <c:v>9.03</c:v>
                </c:pt>
              </c:numCache>
            </c:numRef>
          </c:val>
        </c:ser>
        <c:ser>
          <c:idx val="1"/>
          <c:order val="1"/>
          <c:tx>
            <c:strRef>
              <c:f>分类!$A$3</c:f>
              <c:strCache>
                <c:ptCount val="1"/>
                <c:pt idx="0">
                  <c:v>Sealant Tank Capacity between 50-150 Gal</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分类!$B$3:$M$3</c:f>
              <c:numCache>
                <c:formatCode>#,##0_);[Red]\(#,##0\)</c:formatCode>
                <c:ptCount val="12"/>
                <c:pt idx="0">
                  <c:v>19.98</c:v>
                </c:pt>
                <c:pt idx="1">
                  <c:v>21.6</c:v>
                </c:pt>
                <c:pt idx="2">
                  <c:v>20.34</c:v>
                </c:pt>
                <c:pt idx="3">
                  <c:v>22.45</c:v>
                </c:pt>
                <c:pt idx="4">
                  <c:v>23.02</c:v>
                </c:pt>
                <c:pt idx="5">
                  <c:v>25.08</c:v>
                </c:pt>
                <c:pt idx="6">
                  <c:v>26.39</c:v>
                </c:pt>
                <c:pt idx="7">
                  <c:v>27.85</c:v>
                </c:pt>
                <c:pt idx="8">
                  <c:v>28.83</c:v>
                </c:pt>
                <c:pt idx="9">
                  <c:v>31.68</c:v>
                </c:pt>
                <c:pt idx="10">
                  <c:v>33.57</c:v>
                </c:pt>
                <c:pt idx="11">
                  <c:v>33.56</c:v>
                </c:pt>
              </c:numCache>
            </c:numRef>
          </c:val>
        </c:ser>
        <c:ser>
          <c:idx val="2"/>
          <c:order val="2"/>
          <c:tx>
            <c:strRef>
              <c:f>分类!$A$4</c:f>
              <c:strCache>
                <c:ptCount val="1"/>
                <c:pt idx="0">
                  <c:v>Sealant Tank Capacity between 150-300 Gal</c:v>
                </c:pt>
              </c:strCache>
            </c:strRef>
          </c:tx>
          <c:spPr>
            <a:solidFill>
              <a:schemeClr val="accent6">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分类!$B$4:$M$4</c:f>
              <c:numCache>
                <c:formatCode>#,##0_);[Red]\(#,##0\)</c:formatCode>
                <c:ptCount val="12"/>
                <c:pt idx="0">
                  <c:v>24.39</c:v>
                </c:pt>
                <c:pt idx="1">
                  <c:v>26.37</c:v>
                </c:pt>
                <c:pt idx="2">
                  <c:v>25.09</c:v>
                </c:pt>
                <c:pt idx="3">
                  <c:v>27.62</c:v>
                </c:pt>
                <c:pt idx="4">
                  <c:v>28.84</c:v>
                </c:pt>
                <c:pt idx="5">
                  <c:v>30.44</c:v>
                </c:pt>
                <c:pt idx="6">
                  <c:v>32.94</c:v>
                </c:pt>
                <c:pt idx="7">
                  <c:v>34.3</c:v>
                </c:pt>
                <c:pt idx="8">
                  <c:v>35.88</c:v>
                </c:pt>
                <c:pt idx="9">
                  <c:v>38.1</c:v>
                </c:pt>
                <c:pt idx="10">
                  <c:v>42.01</c:v>
                </c:pt>
                <c:pt idx="11">
                  <c:v>43.52</c:v>
                </c:pt>
              </c:numCache>
            </c:numRef>
          </c:val>
        </c:ser>
        <c:ser>
          <c:idx val="3"/>
          <c:order val="3"/>
          <c:tx>
            <c:strRef>
              <c:f>分类!$A$5</c:f>
              <c:strCache>
                <c:ptCount val="1"/>
                <c:pt idx="0">
                  <c:v>Sealant Tank Capacity More than 300 Gal</c:v>
                </c:pt>
              </c:strCache>
            </c:strRef>
          </c:tx>
          <c:spPr>
            <a:solidFill>
              <a:schemeClr val="tx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分类!$B$5:$M$5</c:f>
              <c:numCache>
                <c:formatCode>#,##0_);[Red]\(#,##0\)</c:formatCode>
                <c:ptCount val="12"/>
                <c:pt idx="0">
                  <c:v>18.2</c:v>
                </c:pt>
                <c:pt idx="1">
                  <c:v>19.95</c:v>
                </c:pt>
                <c:pt idx="2">
                  <c:v>18.91</c:v>
                </c:pt>
                <c:pt idx="3">
                  <c:v>20.64</c:v>
                </c:pt>
                <c:pt idx="4">
                  <c:v>21.72</c:v>
                </c:pt>
                <c:pt idx="5">
                  <c:v>22.9</c:v>
                </c:pt>
                <c:pt idx="6">
                  <c:v>24.42</c:v>
                </c:pt>
                <c:pt idx="7">
                  <c:v>25.59</c:v>
                </c:pt>
                <c:pt idx="8">
                  <c:v>26.8</c:v>
                </c:pt>
                <c:pt idx="9">
                  <c:v>29.12</c:v>
                </c:pt>
                <c:pt idx="10">
                  <c:v>31.55</c:v>
                </c:pt>
                <c:pt idx="11">
                  <c:v>32.43</c:v>
                </c:pt>
              </c:numCache>
            </c:numRef>
          </c:val>
        </c:ser>
        <c:ser>
          <c:idx val="4"/>
          <c:order val="4"/>
          <c:tx>
            <c:strRef>
              <c:f>分类!$A$6</c:f>
              <c:strCache>
                <c:ptCount val="1"/>
                <c:pt idx="0">
                  <c:v/>
                </c:pt>
              </c:strCache>
            </c:strRef>
          </c:tx>
          <c:spPr>
            <a:solidFill>
              <a:schemeClr val="accent1">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分类!$B$6:$M$6</c:f>
            </c:numRef>
          </c:val>
        </c:ser>
        <c:ser>
          <c:idx val="5"/>
          <c:order val="5"/>
          <c:tx>
            <c:strRef>
              <c:f>分类!$A$7</c:f>
              <c:strCache>
                <c:ptCount val="1"/>
                <c:pt idx="0">
                  <c:v/>
                </c:pt>
              </c:strCache>
            </c:strRef>
          </c:tx>
          <c:spPr>
            <a:solidFill>
              <a:schemeClr val="accent4">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分类!$B$7:$M$7</c:f>
            </c:numRef>
          </c:val>
        </c:ser>
        <c:ser>
          <c:idx val="6"/>
          <c:order val="6"/>
          <c:tx>
            <c:strRef>
              <c:f>分类!$A$8</c:f>
              <c:strCache>
                <c:ptCount val="1"/>
                <c:pt idx="0">
                  <c:v/>
                </c:pt>
              </c:strCache>
            </c:strRef>
          </c:tx>
          <c:spPr>
            <a:solidFill>
              <a:schemeClr val="accent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分类!$B$8:$M$8</c:f>
            </c:numRef>
          </c:val>
        </c:ser>
        <c:ser>
          <c:idx val="7"/>
          <c:order val="7"/>
          <c:tx>
            <c:strRef>
              <c:f>分类!$A$9</c:f>
              <c:strCache>
                <c:ptCount val="1"/>
                <c:pt idx="0">
                  <c:v/>
                </c:pt>
              </c:strCache>
            </c:strRef>
          </c:tx>
          <c:spPr>
            <a:solidFill>
              <a:schemeClr val="bg2">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分类!$B$9:$M$9</c:f>
            </c:numRef>
          </c:val>
        </c:ser>
        <c:ser>
          <c:idx val="8"/>
          <c:order val="8"/>
          <c:tx>
            <c:strRef>
              <c:f>分类!$A$10</c:f>
              <c:strCache>
                <c:ptCount val="1"/>
                <c:pt idx="0">
                  <c:v/>
                </c:pt>
              </c:strCache>
            </c:strRef>
          </c:tx>
          <c:spPr>
            <a:solidFill>
              <a:schemeClr val="accent5">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分类!$A$11</c:f>
              <c:strCache>
                <c:ptCount val="1"/>
                <c:pt idx="0">
                  <c:v>Total</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分类!$B$11:$M$11</c:f>
              <c:numCache>
                <c:formatCode>#,##0_);[Red]\(#,##0\)</c:formatCode>
                <c:ptCount val="12"/>
                <c:pt idx="0">
                  <c:v>72.03</c:v>
                </c:pt>
                <c:pt idx="1">
                  <c:v>77.25</c:v>
                </c:pt>
                <c:pt idx="2">
                  <c:v>72.22</c:v>
                </c:pt>
                <c:pt idx="3">
                  <c:v>79.05</c:v>
                </c:pt>
                <c:pt idx="4">
                  <c:v>83.03</c:v>
                </c:pt>
                <c:pt idx="5">
                  <c:v>86.85</c:v>
                </c:pt>
                <c:pt idx="6">
                  <c:v>92.47</c:v>
                </c:pt>
                <c:pt idx="7">
                  <c:v>96.12</c:v>
                </c:pt>
                <c:pt idx="8">
                  <c:v>101.59</c:v>
                </c:pt>
                <c:pt idx="9">
                  <c:v>107.69</c:v>
                </c:pt>
                <c:pt idx="10">
                  <c:v>115.45</c:v>
                </c:pt>
                <c:pt idx="11">
                  <c:v>118.54</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'地区-生产'!$A$2</c:f>
              <c:strCache>
                <c:ptCount val="1"/>
                <c:pt idx="0">
                  <c:v>North America</c:v>
                </c:pt>
              </c:strCache>
            </c:strRef>
          </c:tx>
          <c:spPr>
            <a:solidFill>
              <a:srgbClr val="00206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'地区-生产'!$B$2:$M$2</c:f>
              <c:numCache>
                <c:formatCode>#,##0_);[Red]\(#,##0\)</c:formatCode>
                <c:ptCount val="12"/>
                <c:pt idx="0">
                  <c:v>49.7</c:v>
                </c:pt>
                <c:pt idx="1">
                  <c:v>53.48</c:v>
                </c:pt>
                <c:pt idx="2">
                  <c:v>50.25</c:v>
                </c:pt>
                <c:pt idx="3">
                  <c:v>53.9</c:v>
                </c:pt>
                <c:pt idx="4">
                  <c:v>56.43</c:v>
                </c:pt>
                <c:pt idx="5">
                  <c:v>58.86</c:v>
                </c:pt>
                <c:pt idx="6">
                  <c:v>62.57</c:v>
                </c:pt>
                <c:pt idx="7">
                  <c:v>65.22</c:v>
                </c:pt>
                <c:pt idx="8">
                  <c:v>68.59</c:v>
                </c:pt>
                <c:pt idx="9">
                  <c:v>72.67</c:v>
                </c:pt>
                <c:pt idx="10">
                  <c:v>77.61</c:v>
                </c:pt>
                <c:pt idx="11">
                  <c:v>78.85</c:v>
                </c:pt>
              </c:numCache>
            </c:numRef>
          </c:val>
        </c:ser>
        <c:ser>
          <c:idx val="1"/>
          <c:order val="1"/>
          <c:tx>
            <c:strRef>
              <c:f>'地区-生产'!$A$3</c:f>
              <c:strCache>
                <c:ptCount val="1"/>
                <c:pt idx="0">
                  <c:v>Europe</c:v>
                </c:pt>
              </c:strCache>
            </c:strRef>
          </c:tx>
          <c:spPr>
            <a:solidFill>
              <a:schemeClr val="bg1">
                <a:lumMod val="5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'地区-生产'!$B$3:$M$3</c:f>
              <c:numCache>
                <c:formatCode>#,##0_);[Red]\(#,##0\)</c:formatCode>
                <c:ptCount val="12"/>
                <c:pt idx="0">
                  <c:v>8.93</c:v>
                </c:pt>
                <c:pt idx="1">
                  <c:v>9.58</c:v>
                </c:pt>
                <c:pt idx="2">
                  <c:v>8.85</c:v>
                </c:pt>
                <c:pt idx="3">
                  <c:v>10.1</c:v>
                </c:pt>
                <c:pt idx="4">
                  <c:v>10.8</c:v>
                </c:pt>
                <c:pt idx="5">
                  <c:v>11.31</c:v>
                </c:pt>
                <c:pt idx="6">
                  <c:v>11.89</c:v>
                </c:pt>
                <c:pt idx="7">
                  <c:v>12.07</c:v>
                </c:pt>
                <c:pt idx="8">
                  <c:v>12.68</c:v>
                </c:pt>
                <c:pt idx="9">
                  <c:v>13.4</c:v>
                </c:pt>
                <c:pt idx="10">
                  <c:v>14.4</c:v>
                </c:pt>
                <c:pt idx="11">
                  <c:v>15.13</c:v>
                </c:pt>
              </c:numCache>
            </c:numRef>
          </c:val>
        </c:ser>
        <c:ser>
          <c:idx val="2"/>
          <c:order val="2"/>
          <c:tx>
            <c:strRef>
              <c:f>'地区-生产'!$A$4</c:f>
              <c:strCache>
                <c:ptCount val="1"/>
                <c:pt idx="0">
                  <c:v>China</c:v>
                </c:pt>
              </c:strCache>
            </c:strRef>
          </c:tx>
          <c:spPr>
            <a:solidFill>
              <a:srgbClr val="0070C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'地区-生产'!$B$4:$M$4</c:f>
              <c:numCache>
                <c:formatCode>#,##0_);[Red]\(#,##0\)</c:formatCode>
                <c:ptCount val="12"/>
                <c:pt idx="0">
                  <c:v>8.08</c:v>
                </c:pt>
                <c:pt idx="1">
                  <c:v>8.67</c:v>
                </c:pt>
                <c:pt idx="2">
                  <c:v>8.01</c:v>
                </c:pt>
                <c:pt idx="3">
                  <c:v>8.99</c:v>
                </c:pt>
                <c:pt idx="4">
                  <c:v>9.15</c:v>
                </c:pt>
                <c:pt idx="5">
                  <c:v>9.89</c:v>
                </c:pt>
                <c:pt idx="6">
                  <c:v>10.9</c:v>
                </c:pt>
                <c:pt idx="7">
                  <c:v>11.52</c:v>
                </c:pt>
                <c:pt idx="8">
                  <c:v>12.58</c:v>
                </c:pt>
                <c:pt idx="9">
                  <c:v>13.48</c:v>
                </c:pt>
                <c:pt idx="10">
                  <c:v>14.75</c:v>
                </c:pt>
                <c:pt idx="11">
                  <c:v>15.47</c:v>
                </c:pt>
              </c:numCache>
            </c:numRef>
          </c:val>
        </c:ser>
        <c:ser>
          <c:idx val="3"/>
          <c:order val="3"/>
          <c:tx>
            <c:strRef>
              <c:f>'地区-生产'!$A$5</c:f>
              <c:strCache>
                <c:ptCount val="1"/>
                <c:pt idx="0">
                  <c:v>Other Regions</c:v>
                </c:pt>
              </c:strCache>
            </c:strRef>
          </c:tx>
          <c:spPr>
            <a:solidFill>
              <a:srgbClr val="FFC00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'地区-生产'!$B$5:$M$5</c:f>
              <c:numCache>
                <c:formatCode>#,##0_);[Red]\(#,##0\)</c:formatCode>
                <c:ptCount val="12"/>
                <c:pt idx="0">
                  <c:v>5.32</c:v>
                </c:pt>
                <c:pt idx="1">
                  <c:v>5.52</c:v>
                </c:pt>
                <c:pt idx="2">
                  <c:v>5.11</c:v>
                </c:pt>
                <c:pt idx="3">
                  <c:v>6.06</c:v>
                </c:pt>
                <c:pt idx="4">
                  <c:v>6.65</c:v>
                </c:pt>
                <c:pt idx="5">
                  <c:v>6.79</c:v>
                </c:pt>
                <c:pt idx="6">
                  <c:v>7.11</c:v>
                </c:pt>
                <c:pt idx="7">
                  <c:v>7.31</c:v>
                </c:pt>
                <c:pt idx="8">
                  <c:v>7.74</c:v>
                </c:pt>
                <c:pt idx="9">
                  <c:v>8.14</c:v>
                </c:pt>
                <c:pt idx="10">
                  <c:v>8.69</c:v>
                </c:pt>
                <c:pt idx="11">
                  <c:v>9.09</c:v>
                </c:pt>
              </c:numCache>
            </c:numRef>
          </c:val>
        </c:ser>
        <c:ser>
          <c:idx val="4"/>
          <c:order val="4"/>
          <c:tx>
            <c:strRef>
              <c:f>'地区-生产'!$A$6</c:f>
              <c:strCache>
                <c:ptCount val="1"/>
                <c:pt idx="0">
                  <c:v/>
                </c:pt>
              </c:strCache>
            </c:strRef>
          </c:tx>
          <c:spPr>
            <a:solidFill>
              <a:schemeClr val="tx1">
                <a:lumMod val="65000"/>
                <a:lumOff val="35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'地区-生产'!$B$6:$M$6</c:f>
            </c:numRef>
          </c:val>
        </c:ser>
        <c:ser>
          <c:idx val="5"/>
          <c:order val="5"/>
          <c:tx>
            <c:strRef>
              <c:f>'地区-生产'!$A$7</c:f>
              <c:strCache>
                <c:ptCount val="1"/>
                <c:pt idx="0">
                  <c:v/>
                </c:pt>
              </c:strCache>
            </c:strRef>
          </c:tx>
          <c:spPr>
            <a:solidFill>
              <a:srgbClr val="C0000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'地区-生产'!$B$7:$M$7</c:f>
            </c:numRef>
          </c:val>
        </c:ser>
        <c:ser>
          <c:idx val="6"/>
          <c:order val="6"/>
          <c:tx>
            <c:strRef>
              <c:f>'地区-生产'!$A$8</c:f>
              <c:strCache>
                <c:ptCount val="1"/>
                <c:pt idx="0">
                  <c:v/>
                </c:pt>
              </c:strCache>
            </c:strRef>
          </c:tx>
          <c:spPr>
            <a:solidFill>
              <a:srgbClr val="7030A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'地区-生产'!$B$8:$M$8</c:f>
            </c:numRef>
          </c:val>
        </c:ser>
        <c:ser>
          <c:idx val="7"/>
          <c:order val="7"/>
          <c:tx>
            <c:strRef>
              <c:f>'地区-生产'!$A$9</c:f>
              <c:strCache>
                <c:ptCount val="1"/>
                <c:pt idx="0">
                  <c:v/>
                </c:pt>
              </c:strCache>
            </c:strRef>
          </c:tx>
          <c:spPr>
            <a:solidFill>
              <a:schemeClr val="tx2">
                <a:lumMod val="60000"/>
                <a:lumOff val="4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'地区-生产'!$B$9:$M$9</c:f>
            </c:numRef>
          </c:val>
        </c:ser>
        <c:ser>
          <c:idx val="8"/>
          <c:order val="8"/>
          <c:tx>
            <c:strRef>
              <c:f>'地区-生产'!$A$10</c:f>
              <c:strCache>
                <c:ptCount val="1"/>
                <c:pt idx="0">
                  <c:v>Middle East and Africa</c:v>
                </c:pt>
              </c:strCache>
            </c:strRef>
          </c:tx>
          <c:spPr>
            <a:solidFill>
              <a:schemeClr val="accent6">
                <a:lumMod val="75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'地区-生产'!$B$10:$M$10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0.33706</cdr:x>
      <cdr:y>0.25588</cdr:y>
    </cdr:from>
    <cdr:to>
      <cdr:x>0.66335</cdr:x>
      <cdr:y>0.45994</cdr:y>
    </cdr:to>
    <cdr:grpSp>
      <cdr:nvGrpSpPr>
        <cdr:cNvPr id="2" name="组合 1"/>
        <cdr:cNvGrpSpPr/>
      </cdr:nvGrpSpPr>
      <cdr:grpSpPr xmlns:a="http://schemas.openxmlformats.org/drawingml/2006/main">
        <a:xfrm rot="439955">
          <a:off x="2085967" y="752462"/>
          <a:ext cx="2019314" cy="600076"/>
          <a:chOff x="2390128" y="974138"/>
          <a:chExt cx="1398114" cy="613191"/>
        </a:xfrm>
      </cdr:grpSpPr>
      <cdr:cxnSp>
        <cdr:nvCxnSpPr>
          <cdr:cNvPr id="3" name="直接箭头连接符 2"/>
          <cdr:cNvCxnSpPr/>
        </cdr:nvCxnSpPr>
        <cdr:spPr xmlns:a="http://schemas.openxmlformats.org/drawingml/2006/main">
          <a:xfrm xmlns:a="http://schemas.openxmlformats.org/drawingml/2006/main" rot="21160045" flipV="1">
            <a:off x="2390128" y="974138"/>
            <a:ext cx="1398114" cy="613191"/>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012677">
            <a:off x="2765268" y="1173460"/>
            <a:ext cx="551647" cy="312357"/>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latin typeface="Book Antiqua" panose="02040602050305030304" pitchFamily="1" charset="0"/>
                <a:ea typeface="宋体" panose="02010600030101010101" charset="-122"/>
              </a:rPr>
              <a:t>5.3%</a:t>
            </a:r>
            <a:endParaRPr lang="zh-CN" baseline="0">
              <a:latin typeface="Book Antiqua" panose="02040602050305030304" pitchFamily="1" charset="0"/>
              <a:ea typeface="宋体" panose="02010600030101010101" charset="-122"/>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40622B-AA09-4DDF-B6F9-9D06F4B4AFCD}">
  <ds:schemaRefs/>
</ds:datastoreItem>
</file>

<file path=docProps/app.xml><?xml version="1.0" encoding="utf-8"?>
<Properties xmlns="http://schemas.openxmlformats.org/officeDocument/2006/extended-properties" xmlns:vt="http://schemas.openxmlformats.org/officeDocument/2006/docPropsVTypes">
  <Template>Normal</Template>
  <Pages>9</Pages>
  <Words>416</Words>
  <Characters>2375</Characters>
  <Lines>19</Lines>
  <Paragraphs>5</Paragraphs>
  <TotalTime>0</TotalTime>
  <ScaleCrop>false</ScaleCrop>
  <LinksUpToDate>false</LinksUpToDate>
  <CharactersWithSpaces>2786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2024-01-02T05:51:18Z</dcterms:modified>
  <cp:revision>824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EFF8891845DF4BE7AAED8BE6BFEF101C_12</vt:lpwstr>
  </property>
</Properties>
</file>