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13" w:name="_GoBack"/>
      <w:bookmarkStart w:id="0" w:name="_Toc415142861"/>
      <w:bookmarkStart w:id="1" w:name="OLE_LINK24"/>
      <w:bookmarkStart w:id="2" w:name="OLE_LINK39"/>
      <w:bookmarkStart w:id="3" w:name="_Toc418070112"/>
      <w:bookmarkStart w:id="4" w:name="_Toc453597319"/>
      <w:bookmarkStart w:id="5" w:name="OLE_LINK15"/>
      <w:bookmarkStart w:id="6" w:name="_Toc415143481"/>
      <w:bookmarkStart w:id="7" w:name="_Toc481801204"/>
      <w:bookmarkStart w:id="8" w:name="OLE_LINK13"/>
      <w:bookmarkStart w:id="9" w:name="_Toc438987549"/>
      <w:bookmarkStart w:id="10" w:name="OLE_LINK40"/>
      <w:bookmarkStart w:id="11" w:name="_Toc517262917"/>
      <w:bookmarkStart w:id="12" w:name="_Toc415818939"/>
      <w:r>
        <w:rPr>
          <w:rFonts w:hint="eastAsia"/>
          <w:lang w:eastAsia="zh-CN"/>
        </w:rPr>
        <w:t>电子束灭菌服务市场总体规模</w:t>
      </w:r>
    </w:p>
    <w:bookmarkEnd w:id="13"/>
    <w:p>
      <w:r>
        <w:rPr>
          <w:rFonts w:hint="eastAsia"/>
        </w:rPr>
        <w:t>据QYResearch调研团队最新报告“全球电子束灭菌服务市场报告2023-2029”显示，预计2029年全球电子束灭菌服务市场规模将达到11.3亿美元，未来几年年复合增长率CAGR为8.8%。</w:t>
      </w:r>
    </w:p>
    <w:p>
      <w:pPr>
        <w:pStyle w:val="145"/>
        <w:rPr>
          <w:lang w:eastAsia="zh-CN"/>
        </w:rPr>
      </w:pPr>
    </w:p>
    <w:p>
      <w:pPr>
        <w:pStyle w:val="148"/>
      </w:pPr>
      <w:r>
        <w:rPr>
          <w:rFonts w:hint="eastAsia"/>
          <w:lang w:eastAsia="zh-CN"/>
        </w:rPr>
        <w:t>电子束灭菌服务，全球市场总体规模，预计2</w:t>
      </w:r>
      <w:r>
        <w:rPr>
          <w:lang w:eastAsia="zh-CN"/>
        </w:rPr>
        <w:t>029</w:t>
      </w:r>
      <w:r>
        <w:rPr>
          <w:rFonts w:hint="eastAsia"/>
          <w:lang w:eastAsia="zh-CN"/>
        </w:rPr>
        <w:t>年达到</w:t>
      </w:r>
      <w:r>
        <w:rPr>
          <w:rFonts w:hint="eastAsia"/>
          <w:lang w:val="en-US" w:eastAsia="zh-CN"/>
        </w:rPr>
        <w:t>11.3</w:t>
      </w:r>
      <w:r>
        <w:rPr>
          <w:rFonts w:hint="eastAsia"/>
          <w:lang w:eastAsia="zh-CN"/>
        </w:rPr>
        <w:t>亿美元</w:t>
      </w:r>
    </w:p>
    <w:p>
      <w:pPr>
        <w:pStyle w:val="145"/>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电子束灭菌服务</w:t>
      </w:r>
      <w:r>
        <w:rPr>
          <w:rFonts w:hint="eastAsia"/>
        </w:rPr>
        <w:t>市场研究报告2023-2029</w:t>
      </w:r>
      <w:r>
        <w:t>.</w:t>
      </w:r>
    </w:p>
    <w:p>
      <w:pPr>
        <w:pStyle w:val="145"/>
      </w:pPr>
    </w:p>
    <w:p>
      <w:pPr>
        <w:pStyle w:val="148"/>
        <w:rPr>
          <w:lang w:eastAsia="zh-CN"/>
        </w:rPr>
      </w:pPr>
      <w:r>
        <w:rPr>
          <w:rFonts w:hint="eastAsia"/>
          <w:lang w:eastAsia="zh-CN"/>
        </w:rPr>
        <w:t>全球电子束灭菌服务市场前</w:t>
      </w:r>
      <w:r>
        <w:rPr>
          <w:rFonts w:hint="eastAsia"/>
          <w:lang w:val="en-US" w:eastAsia="zh-CN"/>
        </w:rPr>
        <w:t>13</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114300" distR="114300">
            <wp:extent cx="4572000" cy="4457065"/>
            <wp:effectExtent l="0" t="0" r="0" b="635"/>
            <wp:docPr id="1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电子束灭菌服务</w:t>
      </w:r>
      <w:r>
        <w:rPr>
          <w:rFonts w:hint="eastAsia"/>
        </w:rPr>
        <w:t>市场研究报告2023-2029</w:t>
      </w:r>
      <w:r>
        <w:rPr>
          <w:rFonts w:hint="eastAsia"/>
          <w:lang w:eastAsia="zh-CN"/>
        </w:rPr>
        <w:t>中的2</w:t>
      </w:r>
      <w:r>
        <w:rPr>
          <w:lang w:eastAsia="zh-CN"/>
        </w:rPr>
        <w:t>021</w:t>
      </w:r>
      <w:r>
        <w:rPr>
          <w:rFonts w:hint="eastAsia"/>
          <w:lang w:eastAsia="zh-CN"/>
        </w:rPr>
        <w:t>年数据</w:t>
      </w:r>
      <w:r>
        <w:t>.</w:t>
      </w:r>
    </w:p>
    <w:p>
      <w:pPr>
        <w:pStyle w:val="145"/>
        <w:rPr>
          <w:rFonts w:hint="eastAsia"/>
          <w:lang w:eastAsia="zh-CN"/>
        </w:rPr>
      </w:pPr>
      <w:r>
        <w:rPr>
          <w:rFonts w:hint="eastAsia"/>
          <w:lang w:eastAsia="zh-CN"/>
        </w:rPr>
        <w:t>全球范围内电子束灭菌服务生产商主要包括STERIS AST、Sterigenics、E-BEAM Services, Inc、BGS Beta-Gamma-Service GmbH、Cretex Companies、Life Science Outsourcing、Acsion、Steri-Tek、Kansai Electron Beam、Pro-Tech等。2021年，全球前五大厂商占有大约66.0%的市场份额。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2023年全球电子束灭菌服务行业总体规模、主要企业国内外市场占有率及排名</w:t>
      </w:r>
    </w:p>
    <w:p>
      <w:pPr>
        <w:pStyle w:val="145"/>
        <w:rPr>
          <w:rFonts w:hint="eastAsia"/>
          <w:lang w:eastAsia="zh-CN"/>
        </w:rPr>
      </w:pPr>
      <w:r>
        <w:rPr>
          <w:rFonts w:hint="eastAsia"/>
          <w:lang w:eastAsia="zh-CN"/>
        </w:rPr>
        <w:t>根据研究团队调研统计，2022年全球电子束灭菌服务市场销售额达到了39亿元，预计2029年将达到71亿元，年复合增长率（CAGR）为8.9%（2023-2029）。中国市场在过去几年变化较快，2022年市场规模为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全球提供电子束灭菌服务（E-Beam Sterilization Services）的核心厂商包括STERIS AST和Sterigenics等，前两大厂商占有全球超过60%的市场份额。北美是全球最大的市场，占有大约55%的市场份额，之后是欧洲和亚太别占比23%和16%。</w:t>
      </w:r>
    </w:p>
    <w:p>
      <w:pPr>
        <w:pStyle w:val="145"/>
        <w:rPr>
          <w:rFonts w:hint="eastAsia"/>
          <w:lang w:eastAsia="zh-CN"/>
        </w:rPr>
      </w:pPr>
      <w:r>
        <w:rPr>
          <w:rFonts w:hint="eastAsia"/>
          <w:lang w:eastAsia="zh-CN"/>
        </w:rPr>
        <w:t>本文侧重研究全球电子束灭菌服务总体规模及主要厂商占有率和排名，主要统计指标包括电子束灭菌服务业务收入、市场份额及排名等，企业数据主要侧重近三年行业内主要厂商的市场销售情况。地区层面，主要分析过去五年和未来五年行业内主要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STERIS AST</w:t>
      </w:r>
    </w:p>
    <w:p>
      <w:pPr>
        <w:pStyle w:val="145"/>
        <w:rPr>
          <w:rFonts w:hint="eastAsia"/>
          <w:lang w:eastAsia="zh-CN"/>
        </w:rPr>
      </w:pPr>
      <w:r>
        <w:rPr>
          <w:rFonts w:hint="eastAsia"/>
          <w:lang w:eastAsia="zh-CN"/>
        </w:rPr>
        <w:t xml:space="preserve">    Sterigenics</w:t>
      </w:r>
    </w:p>
    <w:p>
      <w:pPr>
        <w:pStyle w:val="145"/>
        <w:rPr>
          <w:rFonts w:hint="eastAsia"/>
          <w:lang w:eastAsia="zh-CN"/>
        </w:rPr>
      </w:pPr>
      <w:r>
        <w:rPr>
          <w:rFonts w:hint="eastAsia"/>
          <w:lang w:eastAsia="zh-CN"/>
        </w:rPr>
        <w:t xml:space="preserve">    BGS Beta-Gamma-Service GmbH</w:t>
      </w:r>
    </w:p>
    <w:p>
      <w:pPr>
        <w:pStyle w:val="145"/>
        <w:rPr>
          <w:rFonts w:hint="eastAsia"/>
          <w:lang w:eastAsia="zh-CN"/>
        </w:rPr>
      </w:pPr>
      <w:r>
        <w:rPr>
          <w:rFonts w:hint="eastAsia"/>
          <w:lang w:eastAsia="zh-CN"/>
        </w:rPr>
        <w:t xml:space="preserve">    E-BEAM Services, Inc</w:t>
      </w:r>
    </w:p>
    <w:p>
      <w:pPr>
        <w:pStyle w:val="145"/>
        <w:rPr>
          <w:rFonts w:hint="eastAsia"/>
          <w:lang w:eastAsia="zh-CN"/>
        </w:rPr>
      </w:pPr>
      <w:r>
        <w:rPr>
          <w:rFonts w:hint="eastAsia"/>
          <w:lang w:eastAsia="zh-CN"/>
        </w:rPr>
        <w:t xml:space="preserve">    Cretex Companies</w:t>
      </w:r>
    </w:p>
    <w:p>
      <w:pPr>
        <w:pStyle w:val="145"/>
        <w:rPr>
          <w:rFonts w:hint="eastAsia"/>
          <w:lang w:eastAsia="zh-CN"/>
        </w:rPr>
      </w:pPr>
      <w:r>
        <w:rPr>
          <w:rFonts w:hint="eastAsia"/>
          <w:lang w:eastAsia="zh-CN"/>
        </w:rPr>
        <w:t xml:space="preserve">    Life Science Outsourcing</w:t>
      </w:r>
    </w:p>
    <w:p>
      <w:pPr>
        <w:pStyle w:val="145"/>
        <w:rPr>
          <w:rFonts w:hint="eastAsia"/>
          <w:lang w:eastAsia="zh-CN"/>
        </w:rPr>
      </w:pPr>
      <w:r>
        <w:rPr>
          <w:rFonts w:hint="eastAsia"/>
          <w:lang w:eastAsia="zh-CN"/>
        </w:rPr>
        <w:t xml:space="preserve">    Acsion</w:t>
      </w:r>
    </w:p>
    <w:p>
      <w:pPr>
        <w:pStyle w:val="145"/>
        <w:rPr>
          <w:rFonts w:hint="eastAsia"/>
          <w:lang w:eastAsia="zh-CN"/>
        </w:rPr>
      </w:pPr>
      <w:r>
        <w:rPr>
          <w:rFonts w:hint="eastAsia"/>
          <w:lang w:eastAsia="zh-CN"/>
        </w:rPr>
        <w:t xml:space="preserve">    Steri-Tek</w:t>
      </w:r>
    </w:p>
    <w:p>
      <w:pPr>
        <w:pStyle w:val="145"/>
        <w:rPr>
          <w:rFonts w:hint="eastAsia"/>
          <w:lang w:eastAsia="zh-CN"/>
        </w:rPr>
      </w:pPr>
      <w:r>
        <w:rPr>
          <w:rFonts w:hint="eastAsia"/>
          <w:lang w:eastAsia="zh-CN"/>
        </w:rPr>
        <w:t xml:space="preserve">    Kansai Electron Beam</w:t>
      </w:r>
    </w:p>
    <w:p>
      <w:pPr>
        <w:pStyle w:val="145"/>
        <w:rPr>
          <w:rFonts w:hint="eastAsia"/>
          <w:lang w:eastAsia="zh-CN"/>
        </w:rPr>
      </w:pPr>
      <w:r>
        <w:rPr>
          <w:rFonts w:hint="eastAsia"/>
          <w:lang w:eastAsia="zh-CN"/>
        </w:rPr>
        <w:t xml:space="preserve">    Pro-Tech</w:t>
      </w:r>
    </w:p>
    <w:p>
      <w:pPr>
        <w:pStyle w:val="145"/>
        <w:rPr>
          <w:rFonts w:hint="eastAsia"/>
          <w:lang w:eastAsia="zh-CN"/>
        </w:rPr>
      </w:pPr>
      <w:r>
        <w:rPr>
          <w:rFonts w:hint="eastAsia"/>
          <w:lang w:eastAsia="zh-CN"/>
        </w:rPr>
        <w:t xml:space="preserve">    Nutek Bravo</w:t>
      </w:r>
    </w:p>
    <w:p>
      <w:pPr>
        <w:pStyle w:val="145"/>
        <w:rPr>
          <w:rFonts w:hint="eastAsia"/>
          <w:lang w:eastAsia="zh-CN"/>
        </w:rPr>
      </w:pPr>
      <w:r>
        <w:rPr>
          <w:rFonts w:hint="eastAsia"/>
          <w:lang w:eastAsia="zh-CN"/>
        </w:rPr>
        <w:t xml:space="preserve">    Eagle Medical, Inc</w:t>
      </w:r>
    </w:p>
    <w:p>
      <w:pPr>
        <w:pStyle w:val="145"/>
        <w:rPr>
          <w:rFonts w:hint="eastAsia"/>
          <w:lang w:eastAsia="zh-CN"/>
        </w:rPr>
      </w:pPr>
      <w:r>
        <w:rPr>
          <w:rFonts w:hint="eastAsia"/>
          <w:lang w:eastAsia="zh-CN"/>
        </w:rPr>
        <w:t xml:space="preserve">    Surgical Technologies</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合同灭菌服务</w:t>
      </w:r>
    </w:p>
    <w:p>
      <w:pPr>
        <w:pStyle w:val="145"/>
        <w:rPr>
          <w:rFonts w:hint="eastAsia"/>
          <w:lang w:eastAsia="zh-CN"/>
        </w:rPr>
      </w:pPr>
      <w:r>
        <w:rPr>
          <w:rFonts w:hint="eastAsia"/>
          <w:lang w:eastAsia="zh-CN"/>
        </w:rPr>
        <w:t xml:space="preserve">    灭菌验证服务</w:t>
      </w:r>
    </w:p>
    <w:p>
      <w:pPr>
        <w:pStyle w:val="145"/>
        <w:rPr>
          <w:rFonts w:hint="eastAsia"/>
          <w:lang w:eastAsia="zh-CN"/>
        </w:rPr>
      </w:pPr>
      <w:r>
        <w:rPr>
          <w:rFonts w:hint="eastAsia"/>
          <w:lang w:eastAsia="zh-CN"/>
        </w:rPr>
        <w:t>按照不同应用，包括如下几个方面：</w:t>
      </w:r>
    </w:p>
    <w:p>
      <w:pPr>
        <w:pStyle w:val="145"/>
        <w:rPr>
          <w:rFonts w:hint="eastAsia"/>
          <w:lang w:eastAsia="zh-CN"/>
        </w:rPr>
      </w:pPr>
      <w:r>
        <w:rPr>
          <w:rFonts w:hint="eastAsia"/>
          <w:lang w:eastAsia="zh-CN"/>
        </w:rPr>
        <w:t xml:space="preserve">    医疗器械公司</w:t>
      </w:r>
    </w:p>
    <w:p>
      <w:pPr>
        <w:pStyle w:val="145"/>
        <w:rPr>
          <w:rFonts w:hint="eastAsia"/>
          <w:lang w:eastAsia="zh-CN"/>
        </w:rPr>
      </w:pPr>
      <w:r>
        <w:rPr>
          <w:rFonts w:hint="eastAsia"/>
          <w:lang w:eastAsia="zh-CN"/>
        </w:rPr>
        <w:t xml:space="preserve">    医院诊所</w:t>
      </w:r>
    </w:p>
    <w:p>
      <w:pPr>
        <w:pStyle w:val="145"/>
        <w:rPr>
          <w:rFonts w:hint="eastAsia"/>
          <w:lang w:eastAsia="zh-CN"/>
        </w:rPr>
      </w:pPr>
      <w:r>
        <w:rPr>
          <w:rFonts w:hint="eastAsia"/>
          <w:lang w:eastAsia="zh-CN"/>
        </w:rPr>
        <w:t xml:space="preserve">    生物制药</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本文正文共9章，各章节主要内容如下：</w:t>
      </w:r>
    </w:p>
    <w:p>
      <w:pPr>
        <w:pStyle w:val="145"/>
        <w:rPr>
          <w:rFonts w:hint="eastAsia"/>
          <w:lang w:eastAsia="zh-CN"/>
        </w:rPr>
      </w:pPr>
      <w:r>
        <w:rPr>
          <w:rFonts w:hint="eastAsia"/>
          <w:lang w:eastAsia="zh-CN"/>
        </w:rPr>
        <w:t>第1章：报告统计范围、所属行业、全球及中国总体规模</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第3章：全球电子束灭菌服务主要地区市场规模及份额等</w:t>
      </w:r>
    </w:p>
    <w:p>
      <w:pPr>
        <w:pStyle w:val="145"/>
        <w:rPr>
          <w:rFonts w:hint="eastAsia"/>
          <w:lang w:eastAsia="zh-CN"/>
        </w:rPr>
      </w:pPr>
      <w:r>
        <w:rPr>
          <w:rFonts w:hint="eastAsia"/>
          <w:lang w:eastAsia="zh-CN"/>
        </w:rPr>
        <w:t>第4章：按产品类型细分，全球电子束灭菌服务市场规模及份额等</w:t>
      </w:r>
    </w:p>
    <w:p>
      <w:pPr>
        <w:pStyle w:val="145"/>
        <w:rPr>
          <w:rFonts w:hint="eastAsia"/>
          <w:lang w:eastAsia="zh-CN"/>
        </w:rPr>
      </w:pPr>
      <w:r>
        <w:rPr>
          <w:rFonts w:hint="eastAsia"/>
          <w:lang w:eastAsia="zh-CN"/>
        </w:rPr>
        <w:t>第5章：按应用细分，全球电子束灭菌服务市场规模及份额等</w:t>
      </w:r>
    </w:p>
    <w:p>
      <w:pPr>
        <w:pStyle w:val="145"/>
        <w:rPr>
          <w:rFonts w:hint="eastAsia"/>
          <w:lang w:eastAsia="zh-CN"/>
        </w:rPr>
      </w:pPr>
      <w:r>
        <w:rPr>
          <w:rFonts w:hint="eastAsia"/>
          <w:lang w:eastAsia="zh-CN"/>
        </w:rPr>
        <w:t>第6章：全球主要企业基本情况介绍，包括公司简介、电子束灭菌服务产品、收入及最新动态等</w:t>
      </w:r>
    </w:p>
    <w:p>
      <w:pPr>
        <w:pStyle w:val="145"/>
        <w:rPr>
          <w:rFonts w:hint="eastAsia"/>
          <w:lang w:eastAsia="zh-CN"/>
        </w:rPr>
      </w:pPr>
      <w:r>
        <w:rPr>
          <w:rFonts w:hint="eastAsia"/>
          <w:lang w:eastAsia="zh-CN"/>
        </w:rPr>
        <w:t>第7章：行业发展趋势、驱动因素、行业政策等</w:t>
      </w:r>
    </w:p>
    <w:p>
      <w:pPr>
        <w:pStyle w:val="145"/>
        <w:rPr>
          <w:rFonts w:hint="eastAsia"/>
          <w:lang w:eastAsia="zh-CN"/>
        </w:rPr>
      </w:pPr>
      <w:r>
        <w:rPr>
          <w:rFonts w:hint="eastAsia"/>
          <w:lang w:eastAsia="zh-CN"/>
        </w:rPr>
        <w:t>第8章：产业链、上下游分析、生产模式、销售，模式及销售渠道分析等</w:t>
      </w:r>
    </w:p>
    <w:p>
      <w:pPr>
        <w:pStyle w:val="145"/>
        <w:rPr>
          <w:rFonts w:hint="eastAsia"/>
          <w:lang w:eastAsia="zh-CN"/>
        </w:rPr>
      </w:pPr>
      <w:r>
        <w:rPr>
          <w:rFonts w:hint="eastAsia"/>
          <w:lang w:eastAsia="zh-CN"/>
        </w:rPr>
        <w:t>第9章：报告结论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Franklin Gothic Demi">
    <w:altName w:val="Yu Gothic UI Semibold"/>
    <w:panose1 w:val="020B07030201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FD4578"/>
    <w:rsid w:val="11840F07"/>
    <w:rsid w:val="14CB3DD9"/>
    <w:rsid w:val="34C26C1E"/>
    <w:rsid w:val="37635EED"/>
    <w:rsid w:val="3BF249E7"/>
    <w:rsid w:val="3DB83523"/>
    <w:rsid w:val="4096281B"/>
    <w:rsid w:val="47874069"/>
    <w:rsid w:val="50966E45"/>
    <w:rsid w:val="55A77192"/>
    <w:rsid w:val="560143A9"/>
    <w:rsid w:val="57FF3E6E"/>
    <w:rsid w:val="5C1916A5"/>
    <w:rsid w:val="5DF55733"/>
    <w:rsid w:val="6012002C"/>
    <w:rsid w:val="65062F7B"/>
    <w:rsid w:val="65A130BB"/>
    <w:rsid w:val="713524C7"/>
    <w:rsid w:val="76D74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manualLayout>
          <c:xMode val="edge"/>
          <c:yMode val="edge"/>
          <c:x val="0.372673849167483"/>
          <c:y val="0.0249117708117085"/>
        </c:manualLayout>
      </c:layout>
      <c:overlay val="0"/>
      <c:spPr>
        <a:noFill/>
        <a:ln>
          <a:noFill/>
        </a:ln>
        <a:effectLst/>
      </c:spPr>
    </c:title>
    <c:autoTitleDeleted val="0"/>
    <c:plotArea>
      <c:layout>
        <c:manualLayout>
          <c:layoutTarget val="inner"/>
          <c:xMode val="edge"/>
          <c:yMode val="edge"/>
          <c:x val="0.0563497418410902"/>
          <c:y val="0.113841104625366"/>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430.4</c:v>
                </c:pt>
                <c:pt idx="1">
                  <c:v>622.26</c:v>
                </c:pt>
                <c:pt idx="2">
                  <c:v>1125.4</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8270778652668"/>
          <c:y val="0.0346320818516983"/>
        </c:manualLayout>
      </c:layout>
      <c:overlay val="0"/>
      <c:spPr>
        <a:noFill/>
        <a:ln>
          <a:noFill/>
        </a:ln>
        <a:effectLst/>
      </c:spPr>
    </c:title>
    <c:autoTitleDeleted val="0"/>
    <c:plotArea>
      <c:layout>
        <c:manualLayout>
          <c:layoutTarget val="inner"/>
          <c:xMode val="edge"/>
          <c:yMode val="edge"/>
          <c:x val="0.460222222222222"/>
          <c:y val="0.0984409368719328"/>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'[观点数据图表模板-全球20230927 实习同学(1).xlsx]企业排序'!$F$2:$F$14</c:f>
              <c:strCache>
                <c:ptCount val="13"/>
                <c:pt idx="0">
                  <c:v>Surgical Technologies</c:v>
                </c:pt>
                <c:pt idx="1">
                  <c:v>Eagle Medical, Inc</c:v>
                </c:pt>
                <c:pt idx="2">
                  <c:v>Nutek Bravo</c:v>
                </c:pt>
                <c:pt idx="3">
                  <c:v>Pro-Tech</c:v>
                </c:pt>
                <c:pt idx="4">
                  <c:v>Kansai Electron Beam</c:v>
                </c:pt>
                <c:pt idx="5">
                  <c:v>Steri-Tek</c:v>
                </c:pt>
                <c:pt idx="6">
                  <c:v>Acsion</c:v>
                </c:pt>
                <c:pt idx="7">
                  <c:v>Life Science Outsourcing</c:v>
                </c:pt>
                <c:pt idx="8">
                  <c:v>Cretex Companies</c:v>
                </c:pt>
                <c:pt idx="9">
                  <c:v>BGS Beta-Gamma-Service GmbH</c:v>
                </c:pt>
                <c:pt idx="10">
                  <c:v>E-BEAM Services, Inc</c:v>
                </c:pt>
                <c:pt idx="11">
                  <c:v>Sterigenics</c:v>
                </c:pt>
                <c:pt idx="12">
                  <c:v>STERIS AST</c:v>
                </c:pt>
              </c:strCache>
            </c:strRef>
          </c:cat>
          <c:val>
            <c:numRef>
              <c:f>'[观点数据图表模板-全球20230927 实习同学(1).xlsx]企业排序'!$G$2:$G$14</c:f>
              <c:numCache>
                <c:formatCode>General</c:formatCode>
                <c:ptCount val="13"/>
                <c:pt idx="0">
                  <c:v>0.41</c:v>
                </c:pt>
                <c:pt idx="1">
                  <c:v>0.8</c:v>
                </c:pt>
                <c:pt idx="2">
                  <c:v>1.57</c:v>
                </c:pt>
                <c:pt idx="3">
                  <c:v>1.75</c:v>
                </c:pt>
                <c:pt idx="4">
                  <c:v>2.13</c:v>
                </c:pt>
                <c:pt idx="5">
                  <c:v>3.91</c:v>
                </c:pt>
                <c:pt idx="6">
                  <c:v>4.56</c:v>
                </c:pt>
                <c:pt idx="7">
                  <c:v>5.55</c:v>
                </c:pt>
                <c:pt idx="8">
                  <c:v>6.99</c:v>
                </c:pt>
                <c:pt idx="9">
                  <c:v>12.65</c:v>
                </c:pt>
                <c:pt idx="10">
                  <c:v>12.78</c:v>
                </c:pt>
                <c:pt idx="11">
                  <c:v>106.03</c:v>
                </c:pt>
                <c:pt idx="12">
                  <c:v>239.75</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0.56052889324192</cdr:x>
      <cdr:y>0.145941457338592</cdr:y>
    </cdr:from>
    <cdr:to>
      <cdr:x>0.792262487757101</cdr:x>
      <cdr:y>0.434917998754411</cdr:y>
    </cdr:to>
    <cdr:grpSp>
      <cdr:nvGrpSpPr>
        <cdr:cNvPr id="2" name="组合 1"/>
        <cdr:cNvGrpSpPr/>
      </cdr:nvGrpSpPr>
      <cdr:grpSpPr xmlns:a="http://schemas.openxmlformats.org/drawingml/2006/main">
        <a:xfrm rot="0">
          <a:off x="3468951" y="428519"/>
          <a:ext cx="1434132" cy="848504"/>
          <a:chOff x="2669062" y="1425016"/>
          <a:chExt cx="951093" cy="597767"/>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669062" y="1425016"/>
            <a:ext cx="951093" cy="597767"/>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797592">
            <a:off x="2955676" y="1623842"/>
            <a:ext cx="397160" cy="253364"/>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8.8%</a:t>
            </a:r>
            <a:endParaRPr lang="en-US" alt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0.292458374142997</cdr:x>
      <cdr:y>0.330080963255138</cdr:y>
    </cdr:from>
    <cdr:to>
      <cdr:x>0.457884427032321</cdr:x>
      <cdr:y>0.687564874403156</cdr:y>
    </cdr:to>
    <cdr:grpSp>
      <cdr:nvGrpSpPr>
        <cdr:cNvPr id="5" name="组合 4"/>
        <cdr:cNvGrpSpPr/>
      </cdr:nvGrpSpPr>
      <cdr:grpSpPr xmlns:a="http://schemas.openxmlformats.org/drawingml/2006/main">
        <a:xfrm rot="1723322">
          <a:off x="1809940" y="969197"/>
          <a:ext cx="1023774" cy="1049659"/>
          <a:chOff x="4068432" y="4414357"/>
          <a:chExt cx="474997" cy="4094766"/>
        </a:xfrm>
      </cdr:grpSpPr>
      <cdr:cxnSp>
        <cdr:nvCxnSpPr>
          <cdr:cNvPr id="6" name="直接箭头连接符 5"/>
          <cdr:cNvCxnSpPr/>
        </cdr:nvCxnSpPr>
        <cdr:spPr xmlns:a="http://schemas.openxmlformats.org/drawingml/2006/main">
          <a:xfrm xmlns:a="http://schemas.openxmlformats.org/drawingml/2006/main" flipV="1">
            <a:off x="4068432" y="4414357"/>
            <a:ext cx="474997" cy="409476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959997">
            <a:off x="4166498" y="5910497"/>
            <a:ext cx="291073" cy="138394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9.7%</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133</Words>
  <Characters>759</Characters>
  <Lines>6</Lines>
  <Paragraphs>1</Paragraphs>
  <TotalTime>2</TotalTime>
  <ScaleCrop>false</ScaleCrop>
  <LinksUpToDate>false</LinksUpToDate>
  <CharactersWithSpaces>891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2023-11-03T08:07:25Z</dcterms:modified>
  <cp:revision>797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510CF15D81FF4BD08C7EC3F7ADFD0077_13</vt:lpwstr>
  </property>
</Properties>
</file>