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theme/themeOverride2.xml" ContentType="application/vnd.openxmlformats-officedocument.themeOverride+xml"/>
  <Override PartName="/word/theme/themeOverride3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4" w:name="_GoBack"/>
      <w:bookmarkEnd w:id="14"/>
      <w:bookmarkStart w:id="0" w:name="_Toc418070112"/>
      <w:bookmarkStart w:id="1" w:name="OLE_LINK15"/>
      <w:bookmarkStart w:id="2" w:name="OLE_LINK13"/>
      <w:bookmarkStart w:id="3" w:name="_Toc453597319"/>
      <w:bookmarkStart w:id="4" w:name="_Toc415818939"/>
      <w:bookmarkStart w:id="5" w:name="_Toc415143481"/>
      <w:bookmarkStart w:id="6" w:name="_Toc415142861"/>
      <w:bookmarkStart w:id="7" w:name="OLE_LINK40"/>
      <w:bookmarkStart w:id="8" w:name="_Toc517262917"/>
      <w:bookmarkStart w:id="9" w:name="_Toc438987549"/>
      <w:bookmarkStart w:id="10" w:name="_Toc481801204"/>
      <w:bookmarkStart w:id="11" w:name="OLE_LINK39"/>
      <w:bookmarkStart w:id="12" w:name="OLE_LINK24"/>
      <w:r>
        <w:rPr>
          <w:lang w:eastAsia="zh-CN"/>
        </w:rPr>
        <w:t>运动营养补充剂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运动营养补充剂是指为运动人群提供额外营养素或能量的一种食品。它可以帮助运动人群满足日常的营养需求，提高运动能力，促进身体恢复。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运动营养补充剂的种类繁多，常见的有以下几类：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蛋白质补充剂：蛋白质是肌肉生长和修复的必需物质，补充蛋白质可以帮助运动人群提高肌肉质量和力量。常见的蛋白质补充剂包括乳清蛋白、酪蛋白、植物蛋白等。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碳水化合物补充剂：碳水化合物是人体的主要能量来源，补充碳水化合物可以帮助运动人群在运动中保持体力。常见的碳水化合物补充剂包括运动饮料、能量棒等。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维生素和矿物质补充剂：维生素和矿物质是人体正常生长发育和运动所必需的，补充维生素和矿物质可以帮助运动人群提高免疫力、预防疾病。常见的维生素和矿物质补充剂包括维生素B族、维生素C、矿物质片等。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其他补充剂：除了上述几类常见的补充剂外，还有一些其他的补充剂，如肌酸、BCAA、咖啡因等，可以帮助运动人群提高运动能力、减轻疲劳。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运动营养补充剂</w:t>
      </w:r>
      <w:r>
        <w:rPr>
          <w:rFonts w:hint="eastAsia"/>
          <w:lang w:eastAsia="zh-CN"/>
        </w:rPr>
        <w:t>市场规模将达到4</w:t>
      </w:r>
      <w:r>
        <w:rPr>
          <w:lang w:eastAsia="zh-CN"/>
        </w:rPr>
        <w:t>02.69</w:t>
      </w:r>
      <w:r>
        <w:rPr>
          <w:rFonts w:hint="eastAsia"/>
          <w:lang w:eastAsia="zh-CN"/>
        </w:rPr>
        <w:t>亿美元，未来几年年复合增长率CAGR为6</w:t>
      </w:r>
      <w:r>
        <w:rPr>
          <w:lang w:eastAsia="zh-CN"/>
        </w:rPr>
        <w:t>.4</w:t>
      </w:r>
      <w:r>
        <w:rPr>
          <w:rFonts w:hint="eastAsia"/>
          <w:lang w:eastAsia="zh-CN"/>
        </w:rPr>
        <w:t>%。</w:t>
      </w:r>
    </w:p>
    <w:p>
      <w:pPr>
        <w:pStyle w:val="148"/>
        <w:rPr>
          <w:lang w:eastAsia="zh-CN"/>
        </w:rPr>
      </w:pPr>
      <w:r>
        <w:rPr>
          <w:lang w:eastAsia="zh-CN"/>
        </w:rPr>
        <w:t>运动营养补充剂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402.</w:t>
      </w:r>
      <w:r>
        <w:rPr>
          <w:rFonts w:hint="eastAsia"/>
          <w:lang w:eastAsia="zh-CN"/>
        </w:rPr>
        <w:t>6</w:t>
      </w:r>
      <w:r>
        <w:rPr>
          <w:lang w:eastAsia="zh-CN"/>
        </w:rPr>
        <w:t>9</w:t>
      </w:r>
      <w:r>
        <w:rPr>
          <w:rFonts w:hint="eastAsia"/>
          <w:lang w:eastAsia="zh-CN"/>
        </w:rPr>
        <w:t>亿美元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35605"/>
            <wp:effectExtent l="0" t="0" r="0" b="0"/>
            <wp:docPr id="135890567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运动营养补充剂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健康意识的提高：随着人们对健康的重视程度不断提高，越来越多的人开始注重运动健身，并希望通过运动来改善身体健康。运动营养补充剂可以帮助运动员提高运动表现，并促进身体健康。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健身理念的转变：传统的健身理念认为，只要通过运动就可以获得健康和健美的体型。然而，随着科学研究的进展，人们逐渐认识到，运动营养对于健身也至关重要。运动营养补充剂可以帮助运动员补充营养，促进肌肉生长和修复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营销宣传的推广：近年来，运动营养补充剂的市场规模不断扩大，相关企业也加大了对运动营养补充剂的宣传力度。这也促使了运动营养补充剂的消费需求。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安全性问题：运动营养补充剂中可能含有有害成分，如兴奋剂、激素等。这些成分可能会对运动员的健康造成损害。例如，兴奋剂可以提高运动表现，但也可能导致心脏病、肝损伤等健康问题。激素可以促进肌肉生长，但也可能导致睾丸萎缩、女性乳房发育等副作用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虚假宣传：一些运动营养补充剂的宣传存在夸大或虚假成分，这可能会误导消费者。例如，一些宣传声称运动营养补充剂可以“快速增肌”、“快速减脂”，但这些宣传往往是没有科学依据的。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价格高昂：运动营养补充剂的价格普遍较高，这可能会影响一些消费者的购买意愿。例如，一瓶蛋白粉的价格可能在几十到上百元之间，这对于一些普通消费者来说可能是一个不小的负担。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市场规模不断扩大：随着人们健康意识的提高和健身理念的转变，运动营养补充剂的市场规模将继续扩大。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产品种类不断丰富：随着科学技术的进步，运动营养补充剂的产品种类不断丰富，满足了不同运动员的需求。例如，蛋白粉、氨基酸、运动饮料等产品已经成为运动营养补充剂的主流产品。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渠道拓展：随着电商和社交媒体的普及，运动营养补充剂的销售渠道不断拓展，为企业提供了更多的销售机会。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bookmarkStart w:id="13" w:name="_Hlk149036437"/>
      <w:r>
        <w:rPr>
          <w:rFonts w:hint="eastAsia"/>
          <w:lang w:eastAsia="zh-CN"/>
        </w:rPr>
        <w:t>全球</w:t>
      </w:r>
      <w:r>
        <w:rPr>
          <w:lang w:eastAsia="zh-CN"/>
        </w:rPr>
        <w:t>运动营养补充剂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17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  <w:rPr>
          <w:lang w:val="en-US" w:eastAsia="zh-CN"/>
        </w:rPr>
      </w:pPr>
      <w:r>
        <w:drawing>
          <wp:inline distT="0" distB="0" distL="0" distR="0">
            <wp:extent cx="4572000" cy="4399915"/>
            <wp:effectExtent l="0" t="0" r="0" b="635"/>
            <wp:docPr id="201411153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运动营养补充剂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运动营养补充剂</w:t>
      </w:r>
      <w:r>
        <w:rPr>
          <w:rFonts w:hint="eastAsia"/>
          <w:lang w:eastAsia="zh-CN"/>
        </w:rPr>
        <w:t>主要生产商包括</w:t>
      </w:r>
      <w:r>
        <w:rPr>
          <w:lang w:eastAsia="zh-CN"/>
        </w:rPr>
        <w:t>Glanbia Nutritionals</w:t>
      </w:r>
      <w:r>
        <w:rPr>
          <w:rFonts w:hint="eastAsia"/>
          <w:lang w:eastAsia="zh-CN"/>
        </w:rPr>
        <w:t>、</w:t>
      </w:r>
      <w:r>
        <w:rPr>
          <w:lang w:eastAsia="zh-CN"/>
        </w:rPr>
        <w:t>BellRing Brands</w:t>
      </w:r>
      <w:r>
        <w:rPr>
          <w:rFonts w:hint="eastAsia"/>
          <w:lang w:eastAsia="zh-CN"/>
        </w:rPr>
        <w:t>、</w:t>
      </w:r>
      <w:r>
        <w:rPr>
          <w:lang w:eastAsia="zh-CN"/>
        </w:rPr>
        <w:t>Cellucor</w:t>
      </w:r>
      <w:r>
        <w:rPr>
          <w:rFonts w:hint="eastAsia"/>
          <w:lang w:eastAsia="zh-CN"/>
        </w:rPr>
        <w:t>、康宝莱、雀巢、等，其中前五大厂商占有大约1</w:t>
      </w:r>
      <w:r>
        <w:rPr>
          <w:lang w:eastAsia="zh-CN"/>
        </w:rPr>
        <w:t>9.47%</w:t>
      </w:r>
      <w:r>
        <w:rPr>
          <w:rFonts w:hint="eastAsia"/>
          <w:lang w:eastAsia="zh-CN"/>
        </w:rPr>
        <w:t>的市场份额。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目前，全球核心厂商主要分布在北美、欧洲、中国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运动营养补充剂</w:t>
      </w:r>
      <w:r>
        <w:rPr>
          <w:rFonts w:hint="eastAsia"/>
          <w:lang w:eastAsia="zh-CN"/>
        </w:rPr>
        <w:t>，全球市场规模，按产品类型细分，蛋白质处于主导地位</w:t>
      </w:r>
    </w:p>
    <w:p>
      <w:pPr>
        <w:pStyle w:val="145"/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426075" cy="3060700"/>
            <wp:effectExtent l="0" t="0" r="0" b="0"/>
            <wp:docPr id="14447093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709302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6075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运动营养补充剂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就产品类型而言，目前蛋白质是最主要的细分产品，占据大约</w:t>
      </w:r>
      <w:r>
        <w:rPr>
          <w:lang w:eastAsia="zh-CN"/>
        </w:rPr>
        <w:t>56.16%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运动营养补充剂</w:t>
      </w:r>
      <w:r>
        <w:rPr>
          <w:rFonts w:hint="eastAsia"/>
          <w:lang w:eastAsia="zh-CN"/>
        </w:rPr>
        <w:t>，全球市场规模，按应用细分，Application</w:t>
      </w:r>
      <w:r>
        <w:rPr>
          <w:lang w:eastAsia="zh-CN"/>
        </w:rPr>
        <w:t xml:space="preserve"> 1</w:t>
      </w:r>
      <w:r>
        <w:rPr>
          <w:rFonts w:hint="eastAsia"/>
          <w:lang w:eastAsia="zh-CN"/>
        </w:rPr>
        <w:t>是最大的下游市场，占有xx份额。</w:t>
      </w:r>
    </w:p>
    <w:p>
      <w:pPr>
        <w:pStyle w:val="145"/>
        <w:jc w:val="center"/>
      </w:pPr>
      <w:r>
        <w:drawing>
          <wp:inline distT="0" distB="0" distL="0" distR="0">
            <wp:extent cx="5267325" cy="3060700"/>
            <wp:effectExtent l="0" t="0" r="0" b="0"/>
            <wp:docPr id="4500014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001440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运动营养补充剂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就产品类型而言，目前线上销售是最主要的需求来源，占据大约</w:t>
      </w:r>
      <w:r>
        <w:rPr>
          <w:lang w:eastAsia="zh-CN"/>
        </w:rPr>
        <w:t>68%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运动营养补充剂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0" b="0"/>
            <wp:docPr id="148035856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运动营养补充剂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bookmarkEnd w:id="13"/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06E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ACD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B3A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A2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D87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787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6D67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83D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5F4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3DB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3EA3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85A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3F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3E0B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73E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74165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C0C0C" w:themeColor="text1" w:themeTint="F2"/>
      <w:sz w:val="32"/>
      <w:szCs w:val="32"/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C0C0C" w:themeColor="text1" w:themeTint="F2"/>
      <w:sz w:val="28"/>
      <w:szCs w:val="32"/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91919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uiPriority w:val="39"/>
    <w:pPr>
      <w:ind w:left="867" w:leftChars="300" w:hanging="567"/>
    </w:pPr>
    <w:rPr>
      <w:color w:val="1F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C0C0C" w:themeColor="text1" w:themeTint="F2"/>
      <w:sz w:val="32"/>
      <w:szCs w:val="32"/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C0C0C" w:themeColor="text1" w:themeTint="F2"/>
      <w:sz w:val="28"/>
      <w:szCs w:val="32"/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1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5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C0C0C" w:themeColor="text1" w:themeTint="F2"/>
      <w:kern w:val="0"/>
      <w:sz w:val="16"/>
      <w:szCs w:val="22"/>
      <w:lang w:val="en-IN" w:eastAsia="en-IN"/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C0C0C" w:themeColor="text1" w:themeTint="F2"/>
      <w:kern w:val="0"/>
      <w:sz w:val="16"/>
      <w:szCs w:val="22"/>
      <w:lang w:val="en-IN" w:eastAsia="en-IN"/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C0C0C" w:themeColor="text1" w:themeTint="F2"/>
      <w:kern w:val="0"/>
      <w:szCs w:val="22"/>
      <w:lang w:val="en-IN" w:eastAsia="en-US"/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C0C0C" w:themeColor="text1" w:themeTint="F2"/>
      <w:kern w:val="0"/>
      <w:szCs w:val="22"/>
      <w:lang w:val="en-IN" w:eastAsia="en-US"/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5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C0C0C" w:themeColor="text1" w:themeTint="F2"/>
      <w:sz w:val="16"/>
      <w:lang w:eastAsia="en-IN"/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C0C0C" w:themeColor="text1" w:themeTint="F2"/>
      <w:kern w:val="0"/>
      <w:szCs w:val="22"/>
      <w:lang w:val="en-IN" w:eastAsia="en-US"/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C0C0C" w:themeColor="text1" w:themeTint="F2"/>
      <w:kern w:val="0"/>
      <w:sz w:val="24"/>
      <w:szCs w:val="22"/>
      <w:lang w:val="en-IN" w:eastAsia="en-US"/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5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91919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3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themeOverride" Target="../theme/themeOverride2.xml"/><Relationship Id="rId1" Type="http://schemas.openxmlformats.org/officeDocument/2006/relationships/package" Target="../embeddings/Workbook2.xlsx"/></Relationships>
</file>

<file path=word/charts/_rels/chart2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themeOverride" Target="../theme/themeOverride3.xml"/><Relationship Id="rId1" Type="http://schemas.openxmlformats.org/officeDocument/2006/relationships/package" Target="../embeddings/Workbook3.xlsx"/></Relationships>
</file>

<file path=word/charts/_rels/chart3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themeOverride" Target="../theme/themeOverrid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0781899040545136"/>
          <c:y val="0.074390522875817"/>
          <c:w val="0.845512387307458"/>
          <c:h val="0.79460756757207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全球总体!$A$12</c:f>
              <c:strCache>
                <c:ptCount val="1"/>
                <c:pt idx="0">
                  <c:v>全球规模（百万美元）</c:v>
                </c:pt>
              </c:strCache>
            </c:strRef>
          </c:tx>
          <c:spPr>
            <a:solidFill>
              <a:srgbClr val="002060"/>
            </a:solidFill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delete val="1"/>
          </c:dLbls>
          <c:cat>
            <c:numRef>
              <c:f>全球总体!$B$7:$M$7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全球总体!$B$12:$M$12</c:f>
              <c:numCache>
                <c:formatCode>#,##0_ </c:formatCode>
                <c:ptCount val="12"/>
                <c:pt idx="0">
                  <c:v>18420.65</c:v>
                </c:pt>
                <c:pt idx="1">
                  <c:v>19010.43</c:v>
                </c:pt>
                <c:pt idx="2">
                  <c:v>20140.76</c:v>
                </c:pt>
                <c:pt idx="3">
                  <c:v>21202.13</c:v>
                </c:pt>
                <c:pt idx="4">
                  <c:v>23370</c:v>
                </c:pt>
                <c:pt idx="5">
                  <c:v>26393.55</c:v>
                </c:pt>
                <c:pt idx="6">
                  <c:v>28482.85</c:v>
                </c:pt>
                <c:pt idx="7">
                  <c:v>30408.54</c:v>
                </c:pt>
                <c:pt idx="8">
                  <c:v>32600.97</c:v>
                </c:pt>
                <c:pt idx="9">
                  <c:v>34515.27</c:v>
                </c:pt>
                <c:pt idx="10">
                  <c:v>36256.34</c:v>
                </c:pt>
                <c:pt idx="11">
                  <c:v>38194.28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全球总体!$A$13</c:f>
              <c:strCache>
                <c:ptCount val="1"/>
                <c:pt idx="0">
                  <c:v>增速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32"/>
            <c:spPr>
              <a:solidFill>
                <a:schemeClr val="bg1">
                  <a:lumMod val="50000"/>
                </a:schemeClr>
              </a:solidFill>
              <a:ln w="9525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Book Antiqua" panose="02040602050305030304" pitchFamily="1" charset="0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全球总体!$B$7:$M$7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全球总体!$B$13:$M$13</c:f>
              <c:numCache>
                <c:formatCode>0.0%</c:formatCode>
                <c:ptCount val="12"/>
                <c:pt idx="0">
                  <c:v>0.043267867073454</c:v>
                </c:pt>
                <c:pt idx="1">
                  <c:v>0.0320174465868237</c:v>
                </c:pt>
                <c:pt idx="2">
                  <c:v>0.0594583723576656</c:v>
                </c:pt>
                <c:pt idx="3">
                  <c:v>0.0526977624300726</c:v>
                </c:pt>
                <c:pt idx="4">
                  <c:v>0.102247857911284</c:v>
                </c:pt>
                <c:pt idx="5">
                  <c:v>0.129377412006294</c:v>
                </c:pt>
                <c:pt idx="6">
                  <c:v>0.0791595796687654</c:v>
                </c:pt>
                <c:pt idx="7">
                  <c:v>0.0676086171258456</c:v>
                </c:pt>
                <c:pt idx="8">
                  <c:v>0.0720992679692927</c:v>
                </c:pt>
                <c:pt idx="9">
                  <c:v>0.0587191743474589</c:v>
                </c:pt>
                <c:pt idx="10">
                  <c:v>0.0504433862465026</c:v>
                </c:pt>
                <c:pt idx="11">
                  <c:v>0.0534510626885143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prstDash val="solid"/>
              <a:round/>
            </a:ln>
          </c:spPr>
        </c:majorGridlines>
        <c:numFmt formatCode="#,##0_ " sourceLinked="1"/>
        <c:majorTickMark val="out"/>
        <c:minorTickMark val="none"/>
        <c:tickLblPos val="none"/>
        <c:spPr>
          <a:ln w="9525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</c:scaling>
        <c:delete val="0"/>
        <c:axPos val="r"/>
        <c:numFmt formatCode="0%" sourceLinked="0"/>
        <c:majorTickMark val="out"/>
        <c:minorTickMark val="none"/>
        <c:tickLblPos val="none"/>
        <c:spPr>
          <a:ln w="9525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legend>
      <c:legendPos val="t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3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企业排序!$F$2:$F$18</c:f>
              <c:strCache>
                <c:ptCount val="17"/>
                <c:pt idx="0">
                  <c:v>康比特</c:v>
                </c:pt>
                <c:pt idx="1">
                  <c:v>Science in Sports</c:v>
                </c:pt>
                <c:pt idx="2">
                  <c:v>汤臣倍健</c:v>
                </c:pt>
                <c:pt idx="3">
                  <c:v>BPI Sports</c:v>
                </c:pt>
                <c:pt idx="4">
                  <c:v>MaxiNutrition（KRÜGER GROUP）</c:v>
                </c:pt>
                <c:pt idx="5">
                  <c:v>Amway(Nutrilite XS )</c:v>
                </c:pt>
                <c:pt idx="6">
                  <c:v>NOW Foods</c:v>
                </c:pt>
                <c:pt idx="7">
                  <c:v>Quest Nutrition</c:v>
                </c:pt>
                <c:pt idx="8">
                  <c:v>Clif Bar</c:v>
                </c:pt>
                <c:pt idx="9">
                  <c:v>CytoSport</c:v>
                </c:pt>
                <c:pt idx="10">
                  <c:v>西王食品</c:v>
                </c:pt>
                <c:pt idx="11">
                  <c:v>Abbott Nutrition</c:v>
                </c:pt>
                <c:pt idx="12">
                  <c:v>雀巢</c:v>
                </c:pt>
                <c:pt idx="13">
                  <c:v>康宝莱</c:v>
                </c:pt>
                <c:pt idx="14">
                  <c:v>Cellucor</c:v>
                </c:pt>
                <c:pt idx="15">
                  <c:v>BellRing Brands</c:v>
                </c:pt>
                <c:pt idx="16">
                  <c:v>Glanbia Nutritionals</c:v>
                </c:pt>
              </c:strCache>
            </c:strRef>
          </c:cat>
          <c:val>
            <c:numRef>
              <c:f>企业排序!$G$2:$G$18</c:f>
              <c:numCache>
                <c:formatCode>0.00%</c:formatCode>
                <c:ptCount val="17"/>
                <c:pt idx="0">
                  <c:v>0.00269661418495574</c:v>
                </c:pt>
                <c:pt idx="1">
                  <c:v>0.0032</c:v>
                </c:pt>
                <c:pt idx="2">
                  <c:v>0.00443815968364978</c:v>
                </c:pt>
                <c:pt idx="3">
                  <c:v>0.00576763925722285</c:v>
                </c:pt>
                <c:pt idx="4">
                  <c:v>0.00797687744143842</c:v>
                </c:pt>
                <c:pt idx="5">
                  <c:v>0.00904576703744277</c:v>
                </c:pt>
                <c:pt idx="6">
                  <c:v>0.0101617254307091</c:v>
                </c:pt>
                <c:pt idx="7">
                  <c:v>0.0105759308466147</c:v>
                </c:pt>
                <c:pt idx="8">
                  <c:v>0.0135498230372594</c:v>
                </c:pt>
                <c:pt idx="9">
                  <c:v>0.0140650124181998</c:v>
                </c:pt>
                <c:pt idx="10">
                  <c:v>0.01588785856671</c:v>
                </c:pt>
                <c:pt idx="11">
                  <c:v>0.0182344520592993</c:v>
                </c:pt>
                <c:pt idx="12">
                  <c:v>0.0208951227990731</c:v>
                </c:pt>
                <c:pt idx="13">
                  <c:v>0.0221407343338884</c:v>
                </c:pt>
                <c:pt idx="14">
                  <c:v>0.0286670370233434</c:v>
                </c:pt>
                <c:pt idx="15">
                  <c:v>0.0595531538885116</c:v>
                </c:pt>
                <c:pt idx="16">
                  <c:v>0.0634393249497252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'地区-消费'!$Q$2</c:f>
              <c:strCache>
                <c:ptCount val="1"/>
                <c:pt idx="0">
                  <c:v>北美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'地区-消费'!$R$1:$AC$1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2021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'地区-消费'!$R$2:$AC$2</c:f>
              <c:numCache>
                <c:formatCode>0.0%</c:formatCode>
                <c:ptCount val="12"/>
                <c:pt idx="0">
                  <c:v>0.296635325408583</c:v>
                </c:pt>
                <c:pt idx="1">
                  <c:v>0.3118</c:v>
                </c:pt>
                <c:pt idx="2">
                  <c:v>0.286253746810336</c:v>
                </c:pt>
                <c:pt idx="3">
                  <c:v>0.332767421884587</c:v>
                </c:pt>
                <c:pt idx="4">
                  <c:v>0.309156478333213</c:v>
                </c:pt>
                <c:pt idx="5">
                  <c:v>0.304112713591472</c:v>
                </c:pt>
                <c:pt idx="6">
                  <c:v>0.299851083918372</c:v>
                </c:pt>
                <c:pt idx="7">
                  <c:v>0.292373961615583</c:v>
                </c:pt>
                <c:pt idx="8">
                  <c:v>0.28654742132303</c:v>
                </c:pt>
                <c:pt idx="9">
                  <c:v>0.277379026912369</c:v>
                </c:pt>
                <c:pt idx="10">
                  <c:v>0.266428758918558</c:v>
                </c:pt>
                <c:pt idx="11">
                  <c:v>0.255749235474006</c:v>
                </c:pt>
              </c:numCache>
            </c:numRef>
          </c:val>
        </c:ser>
        <c:ser>
          <c:idx val="1"/>
          <c:order val="1"/>
          <c:tx>
            <c:strRef>
              <c:f>'地区-消费'!$Q$3</c:f>
              <c:strCache>
                <c:ptCount val="1"/>
                <c:pt idx="0">
                  <c:v>欧洲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'地区-消费'!$R$1:$AC$1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2021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'地区-消费'!$R$3:$AC$3</c:f>
              <c:numCache>
                <c:formatCode>0.0%</c:formatCode>
                <c:ptCount val="12"/>
                <c:pt idx="0">
                  <c:v>0.200831165498174</c:v>
                </c:pt>
                <c:pt idx="1">
                  <c:v>0.171</c:v>
                </c:pt>
                <c:pt idx="2">
                  <c:v>0.219781487135487</c:v>
                </c:pt>
                <c:pt idx="3">
                  <c:v>0.134041140970293</c:v>
                </c:pt>
                <c:pt idx="4">
                  <c:v>0.175338721178987</c:v>
                </c:pt>
                <c:pt idx="5">
                  <c:v>0.174280843392381</c:v>
                </c:pt>
                <c:pt idx="6">
                  <c:v>0.17421545623662</c:v>
                </c:pt>
                <c:pt idx="7">
                  <c:v>0.176269335433973</c:v>
                </c:pt>
                <c:pt idx="8">
                  <c:v>0.176147345593487</c:v>
                </c:pt>
                <c:pt idx="9">
                  <c:v>0.178523134031553</c:v>
                </c:pt>
                <c:pt idx="10">
                  <c:v>0.184598833925915</c:v>
                </c:pt>
                <c:pt idx="11">
                  <c:v>0.192782874617737</c:v>
                </c:pt>
              </c:numCache>
            </c:numRef>
          </c:val>
        </c:ser>
        <c:ser>
          <c:idx val="2"/>
          <c:order val="2"/>
          <c:tx>
            <c:strRef>
              <c:f>'地区-消费'!$Q$4</c:f>
              <c:strCache>
                <c:ptCount val="1"/>
                <c:pt idx="0">
                  <c:v>亚太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'地区-消费'!$R$1:$AC$1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2021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'地区-消费'!$R$4:$AC$4</c:f>
              <c:numCache>
                <c:formatCode>0.0%</c:formatCode>
                <c:ptCount val="12"/>
                <c:pt idx="0">
                  <c:v>0.416036652940284</c:v>
                </c:pt>
                <c:pt idx="1">
                  <c:v>0.4273</c:v>
                </c:pt>
                <c:pt idx="2">
                  <c:v>0.410431008546628</c:v>
                </c:pt>
                <c:pt idx="3">
                  <c:v>0.441543790368462</c:v>
                </c:pt>
                <c:pt idx="4">
                  <c:v>0.428978307375906</c:v>
                </c:pt>
                <c:pt idx="5">
                  <c:v>0.43702853111773</c:v>
                </c:pt>
                <c:pt idx="6">
                  <c:v>0.442451927121797</c:v>
                </c:pt>
                <c:pt idx="7">
                  <c:v>0.448188556287597</c:v>
                </c:pt>
                <c:pt idx="8">
                  <c:v>0.454639811364595</c:v>
                </c:pt>
                <c:pt idx="9">
                  <c:v>0.461719143576826</c:v>
                </c:pt>
                <c:pt idx="10">
                  <c:v>0.4677465976249</c:v>
                </c:pt>
                <c:pt idx="11">
                  <c:v>0.470741590214067</c:v>
                </c:pt>
              </c:numCache>
            </c:numRef>
          </c:val>
        </c:ser>
        <c:ser>
          <c:idx val="3"/>
          <c:order val="3"/>
          <c:tx>
            <c:strRef>
              <c:f>'地区-消费'!$Q$5</c:f>
              <c:strCache>
                <c:ptCount val="1"/>
                <c:pt idx="0">
                  <c:v>拉美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'地区-消费'!$R$1:$AC$1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2021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'地区-消费'!$R$5:$AC$5</c:f>
              <c:numCache>
                <c:formatCode>0.0%</c:formatCode>
                <c:ptCount val="12"/>
                <c:pt idx="0">
                  <c:v>0.035101431354479</c:v>
                </c:pt>
                <c:pt idx="1">
                  <c:v>0.0362</c:v>
                </c:pt>
                <c:pt idx="2">
                  <c:v>0.0338522224574619</c:v>
                </c:pt>
                <c:pt idx="3">
                  <c:v>0.0368238456990507</c:v>
                </c:pt>
                <c:pt idx="4">
                  <c:v>0.0347867425925735</c:v>
                </c:pt>
                <c:pt idx="5">
                  <c:v>0.0341060511051889</c:v>
                </c:pt>
                <c:pt idx="6">
                  <c:v>0.0335411739410879</c:v>
                </c:pt>
                <c:pt idx="7">
                  <c:v>0.0334610426811802</c:v>
                </c:pt>
                <c:pt idx="8">
                  <c:v>0.0332865760780703</c:v>
                </c:pt>
                <c:pt idx="9">
                  <c:v>0.0330024526050643</c:v>
                </c:pt>
                <c:pt idx="10">
                  <c:v>0.0325641698682002</c:v>
                </c:pt>
                <c:pt idx="11">
                  <c:v>0.032545871559633</c:v>
                </c:pt>
              </c:numCache>
            </c:numRef>
          </c:val>
        </c:ser>
        <c:ser>
          <c:idx val="4"/>
          <c:order val="4"/>
          <c:tx>
            <c:strRef>
              <c:f>'地区-消费'!$Q$6</c:f>
              <c:strCache>
                <c:ptCount val="1"/>
                <c:pt idx="0">
                  <c:v>中东和非洲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'地区-消费'!$R$1:$AC$1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2021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'地区-消费'!$R$6:$AC$6</c:f>
              <c:numCache>
                <c:formatCode>0.0%</c:formatCode>
                <c:ptCount val="12"/>
                <c:pt idx="0">
                  <c:v>0.0513954247984788</c:v>
                </c:pt>
                <c:pt idx="1">
                  <c:v>0.0537</c:v>
                </c:pt>
                <c:pt idx="2">
                  <c:v>0.0496815350500875</c:v>
                </c:pt>
                <c:pt idx="3">
                  <c:v>0.0548238010776078</c:v>
                </c:pt>
                <c:pt idx="4">
                  <c:v>0.0517397505193208</c:v>
                </c:pt>
                <c:pt idx="5">
                  <c:v>0.0504718607932278</c:v>
                </c:pt>
                <c:pt idx="6">
                  <c:v>0.0499403587821226</c:v>
                </c:pt>
                <c:pt idx="7">
                  <c:v>0.0497071039816672</c:v>
                </c:pt>
                <c:pt idx="8">
                  <c:v>0.0493788456408182</c:v>
                </c:pt>
                <c:pt idx="9">
                  <c:v>0.049376242874188</c:v>
                </c:pt>
                <c:pt idx="10">
                  <c:v>0.0486616396624271</c:v>
                </c:pt>
                <c:pt idx="11">
                  <c:v>0.0481804281345566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211860624"/>
        <c:axId val="1208279776"/>
      </c:barChart>
      <c:catAx>
        <c:axId val="12118606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08279776"/>
        <c:crosses val="autoZero"/>
        <c:auto val="1"/>
        <c:lblAlgn val="ctr"/>
        <c:lblOffset val="100"/>
        <c:noMultiLvlLbl val="0"/>
      </c:catAx>
      <c:valAx>
        <c:axId val="1208279776"/>
        <c:scaling>
          <c:orientation val="minMax"/>
          <c:max val="1"/>
        </c:scaling>
        <c:delete val="1"/>
        <c:axPos val="l"/>
        <c:numFmt formatCode="0.0%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118606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word/theme/themeOverride1.xml><?xml version="1.0" encoding="utf-8"?>
<a:themeOverride xmlns:a="http://schemas.openxmlformats.org/drawingml/2006/main">
  <a:clrScheme name="Office 2007 - 2010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 2007 - 2010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2007 - 2010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 2007 - 2010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 2007 - 2010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2007 - 2010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 2007 - 2010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 2007 - 2010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2007 - 2010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365</Words>
  <Characters>2083</Characters>
  <Lines>17</Lines>
  <Paragraphs>4</Paragraphs>
  <TotalTime>37</TotalTime>
  <ScaleCrop>false</ScaleCrop>
  <LinksUpToDate>false</LinksUpToDate>
  <CharactersWithSpaces>2444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2023-10-24T02:39:00Z</dcterms:created>
  <dc:creator>yangj</dc:creator>
  <cp:lastModifiedBy>*星*空夜@话</cp:lastModifiedBy>
  <dcterms:modified xsi:type="dcterms:W3CDTF">2023-11-03T06:21:59Z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A63132C10577451F8EC96A166E3EEE15_12</vt:lpwstr>
  </property>
</Properties>
</file>