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517262917"/>
      <w:bookmarkStart w:id="2" w:name="_Toc453597319"/>
      <w:bookmarkStart w:id="3" w:name="_Toc438987549"/>
      <w:bookmarkStart w:id="4" w:name="_Toc481801204"/>
      <w:bookmarkStart w:id="5" w:name="_Toc418070112"/>
      <w:bookmarkStart w:id="6" w:name="OLE_LINK15"/>
      <w:bookmarkStart w:id="7" w:name="OLE_LINK13"/>
      <w:bookmarkStart w:id="8" w:name="_Toc415818939"/>
      <w:bookmarkStart w:id="9" w:name="_Toc415143481"/>
      <w:bookmarkStart w:id="10" w:name="_Toc415142861"/>
      <w:bookmarkStart w:id="11" w:name="OLE_LINK40"/>
      <w:bookmarkStart w:id="12" w:name="OLE_LINK39"/>
      <w:bookmarkStart w:id="13" w:name="OLE_LINK24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szCs w:val="22"/>
                              </w:rPr>
                              <w:instrText xml:space="preserve"> HYPERLINK "https://link.shangyexinzhi.com/url?mailto:market@qyresearch.com" </w:instrText>
                            </w:r>
                            <w:r>
                              <w:rPr>
                                <w:b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rFonts w:hint="default"/>
                                <w:b/>
                                <w:szCs w:val="22"/>
                              </w:rPr>
                              <w:fldChar w:fldCharType="end"/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szCs w:val="22"/>
                        </w:rPr>
                        <w:fldChar w:fldCharType="begin"/>
                      </w:r>
                      <w:r>
                        <w:rPr>
                          <w:b/>
                          <w:szCs w:val="22"/>
                        </w:rPr>
                        <w:instrText xml:space="preserve"> HYPERLINK "https://link.shangyexinzhi.com/url?mailto:market@qyresearch.com" </w:instrText>
                      </w:r>
                      <w:r>
                        <w:rPr>
                          <w:b/>
                          <w:szCs w:val="22"/>
                        </w:rPr>
                        <w:fldChar w:fldCharType="separate"/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rFonts w:hint="default"/>
                          <w:b/>
                          <w:szCs w:val="22"/>
                        </w:rPr>
                        <w:fldChar w:fldCharType="end"/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HTCC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HTCC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HTCC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</w:rPr>
        <w:t>HTCC（High Temperature Co-fired Ceramic，高温共烧多层陶瓷）是指在1,450℃以上与熔点较高的金属一并烧结的具有电气互连特性的陶瓷。HTCC 一般在900℃以下先进行排胶处理，然后再在更高的 1,500-1,800℃高温环境中将多层叠压的瓷片共烧成一体。</w:t>
      </w:r>
      <w:r>
        <w:rPr>
          <w:rFonts w:hint="eastAsia"/>
          <w:lang w:eastAsia="zh-CN"/>
        </w:rPr>
        <w:t>HTCC电路工艺采用丝网印刷制作，所选的导体材料一般为熔点较高的钨、钼、锰等金属或贵金属。高温共烧陶瓷由于材料烧结的温度很高，因而具有结构强度高、热导率高、化学稳定性好和布线密度高等优点，在陶瓷封装、大功率陶瓷基板等对热稳定性、基体机械强度、密封性等要求较高的领域有广泛应用。HTCC凭借其高介电性能、低损耗特性、接近硅片的热膨胀系数、高结构强度等特性，在高端封装材料领域被广泛应用，被射频滤波器（SAW，BAW）、射频IC、光通讯模块、图像传感器、非制冷焦平面热红外传感器、LDMOS、CMOS、MEMS传感器等大量采用。</w:t>
      </w:r>
    </w:p>
    <w:p>
      <w:pPr>
        <w:pStyle w:val="145"/>
      </w:pPr>
      <w:r>
        <w:drawing>
          <wp:inline distT="0" distB="0" distL="0" distR="0">
            <wp:extent cx="1904365" cy="1351915"/>
            <wp:effectExtent l="0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04762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47545" cy="1351280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9259" cy="1352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73530" cy="1343660"/>
            <wp:effectExtent l="0" t="0" r="762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08463" cy="1373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bookmarkStart w:id="14" w:name="_GoBack"/>
      <w:r>
        <w:rPr>
          <w:rFonts w:hint="eastAsia"/>
          <w:lang w:eastAsia="zh-CN"/>
        </w:rPr>
        <w:t>据QYResearch调研团队最新报告“全球HTCC市场报告2023-2029”显示，预计2029年全球HTCC市场规模将达到41.4亿美元，未来几年年复合增长率CAGR为5.7%。</w:t>
      </w:r>
    </w:p>
    <w:bookmarkEnd w:id="14"/>
    <w:p>
      <w:pPr>
        <w:pStyle w:val="148"/>
        <w:rPr>
          <w:lang w:eastAsia="zh-CN"/>
        </w:rPr>
      </w:pPr>
      <w:r>
        <w:rPr>
          <w:lang w:eastAsia="zh-CN"/>
        </w:rPr>
        <w:t>HTCC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年达到41.4亿美元</w:t>
      </w:r>
    </w:p>
    <w:p>
      <w:pPr>
        <w:pStyle w:val="145"/>
      </w:pPr>
      <w:r>
        <w:drawing>
          <wp:inline distT="0" distB="0" distL="0" distR="0">
            <wp:extent cx="6188710" cy="2936875"/>
            <wp:effectExtent l="0" t="0" r="2540" b="0"/>
            <wp:docPr id="236777239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HTCC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HTCC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20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  <w:rPr>
          <w:lang w:val="en-US" w:eastAsia="zh-CN"/>
        </w:rPr>
      </w:pPr>
      <w:r>
        <w:drawing>
          <wp:inline distT="0" distB="0" distL="0" distR="0">
            <wp:extent cx="4572000" cy="4867275"/>
            <wp:effectExtent l="0" t="0" r="0" b="0"/>
            <wp:docPr id="11309646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HTCC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全球范围内HTCC生产商主要包括京瓷、河北中瓷和13所、NGK/NTK、潮州三环、丸和、青岛凯瑞电子、江苏省宜兴电子、中国电科43所/合肥圣达、中电科55所、Ametek等。2022年，全球前十强厂商占有大约93.0%的市场份额。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HTCC</w:t>
      </w:r>
      <w:r>
        <w:rPr>
          <w:rFonts w:hint="eastAsia"/>
          <w:lang w:eastAsia="zh-CN"/>
        </w:rPr>
        <w:t>，全球市场规模，按产品类型细分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1160628650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HTCC</w:t>
      </w:r>
      <w:r>
        <w:rPr>
          <w:rFonts w:hint="eastAsia"/>
        </w:rPr>
        <w:t>市场研究报告2023-2029</w:t>
      </w:r>
      <w:r>
        <w:t>.</w:t>
      </w:r>
    </w:p>
    <w:p>
      <w:pPr>
        <w:pStyle w:val="148"/>
        <w:rPr>
          <w:lang w:eastAsia="zh-CN"/>
        </w:rPr>
      </w:pPr>
      <w:r>
        <w:rPr>
          <w:lang w:eastAsia="zh-CN"/>
        </w:rPr>
        <w:t>HTCC</w:t>
      </w:r>
      <w:r>
        <w:rPr>
          <w:rFonts w:hint="eastAsia"/>
          <w:lang w:eastAsia="zh-CN"/>
        </w:rPr>
        <w:t>，全球市场规模，按应用细分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0"/>
            <wp:docPr id="160581645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HTCC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HTCC</w:t>
      </w:r>
      <w:r>
        <w:rPr>
          <w:rFonts w:hint="eastAsia"/>
          <w:lang w:eastAsia="zh-CN"/>
        </w:rPr>
        <w:t>规模，主要生产地区份额（按产值），日本是第一大生产地区、之后是中国。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31898017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HTCC</w:t>
      </w:r>
      <w:r>
        <w:rPr>
          <w:rFonts w:hint="eastAsia"/>
        </w:rPr>
        <w:t>市场研究报告2023-2029</w:t>
      </w:r>
      <w:r>
        <w:t>.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11E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0EE2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B73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2D0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5FE1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4B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2BC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1F5C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7D6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C6D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B3E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0EC9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774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7B2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chart" Target="charts/chart5.xml"/><Relationship Id="rId14" Type="http://schemas.openxmlformats.org/officeDocument/2006/relationships/chart" Target="charts/chart4.xml"/><Relationship Id="rId13" Type="http://schemas.openxmlformats.org/officeDocument/2006/relationships/chart" Target="charts/chart3.xml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3.xml"/><Relationship Id="rId3" Type="http://schemas.microsoft.com/office/2011/relationships/chartStyle" Target="style3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&#26032;&#24314;&#25991;&#20214;&#22841;\&#35266;&#28857;&#25968;&#25454;&#22270;&#34920;&#27169;&#26495;-20231013%20&#20026;&#20934;%20-%20&#21103;&#26412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I:\&#25490;&#21517;%20&#35266;&#28857;&#20889;&#20316;\&#26032;&#24314;&#25991;&#20214;&#22841;\&#35266;&#28857;&#25968;&#25454;&#22270;&#34920;&#27169;&#26495;-20231013%20&#20026;&#20934;%20-%20&#21103;&#26412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I:\&#25490;&#21517;%20&#35266;&#28857;&#20889;&#20316;\&#26032;&#24314;&#25991;&#20214;&#22841;\&#35266;&#28857;&#25968;&#25454;&#22270;&#34920;&#27169;&#26495;-20231013%20&#20026;&#20934;%20-%20&#21103;&#26412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I:\&#25490;&#21517;%20&#35266;&#28857;&#20889;&#20316;\&#26032;&#24314;&#25991;&#20214;&#22841;\&#35266;&#28857;&#25968;&#25454;&#22270;&#34920;&#27169;&#26495;-20231013%20&#20026;&#20934;%20-%20&#21103;&#26412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I:\&#25490;&#21517;%20&#35266;&#28857;&#20889;&#20316;\&#26032;&#24314;&#25991;&#20214;&#22841;\&#35266;&#28857;&#25968;&#25454;&#22270;&#34920;&#27169;&#26495;-20231013%20&#20026;&#20934;%20-%20&#21103;&#2641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1846.44601146028</c:v>
                </c:pt>
                <c:pt idx="1">
                  <c:v>2806.37023104813</c:v>
                </c:pt>
                <c:pt idx="2">
                  <c:v>4139.05775673738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24"/>
                <c:pt idx="0">
                  <c:v>合肥伊丰电子</c:v>
                </c:pt>
                <c:pt idx="1">
                  <c:v>深圳中傲新瓷</c:v>
                </c:pt>
                <c:pt idx="2">
                  <c:v>北斗星通（佳利电子）</c:v>
                </c:pt>
                <c:pt idx="3">
                  <c:v>福建省南平市三金电子</c:v>
                </c:pt>
                <c:pt idx="4">
                  <c:v>SoarTech</c:v>
                </c:pt>
                <c:pt idx="5">
                  <c:v>福建闽航电子</c:v>
                </c:pt>
                <c:pt idx="6">
                  <c:v>河北鼎瓷电子</c:v>
                </c:pt>
                <c:pt idx="7">
                  <c:v>Electronic Products, Inc. (EPI)</c:v>
                </c:pt>
                <c:pt idx="8">
                  <c:v>上海芯陶微新材料</c:v>
                </c:pt>
                <c:pt idx="9">
                  <c:v>RF Materials (METALLIFE)</c:v>
                </c:pt>
                <c:pt idx="10">
                  <c:v>NEO Tech</c:v>
                </c:pt>
                <c:pt idx="11">
                  <c:v>Egide</c:v>
                </c:pt>
                <c:pt idx="12">
                  <c:v>AdTech Ceramics</c:v>
                </c:pt>
                <c:pt idx="13">
                  <c:v>瓷金科技</c:v>
                </c:pt>
                <c:pt idx="14">
                  <c:v>Ametek</c:v>
                </c:pt>
                <c:pt idx="15">
                  <c:v>中电科55所</c:v>
                </c:pt>
                <c:pt idx="16">
                  <c:v>中国电科43所/合肥圣达</c:v>
                </c:pt>
                <c:pt idx="17">
                  <c:v>江苏省宜兴电子</c:v>
                </c:pt>
                <c:pt idx="18">
                  <c:v>丸和</c:v>
                </c:pt>
                <c:pt idx="19">
                  <c:v>青岛凯瑞电子</c:v>
                </c:pt>
                <c:pt idx="20">
                  <c:v>潮州三环</c:v>
                </c:pt>
                <c:pt idx="21">
                  <c:v>NGK/NTK</c:v>
                </c:pt>
                <c:pt idx="22">
                  <c:v>河北中瓷和13所</c:v>
                </c:pt>
                <c:pt idx="23">
                  <c:v>京瓷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24"/>
                <c:pt idx="0">
                  <c:v>0.214460879285714</c:v>
                </c:pt>
                <c:pt idx="1">
                  <c:v>0.544998442857143</c:v>
                </c:pt>
                <c:pt idx="2">
                  <c:v>1.03337221928571</c:v>
                </c:pt>
                <c:pt idx="3">
                  <c:v>1.11801411428571</c:v>
                </c:pt>
                <c:pt idx="4">
                  <c:v>2.61466859627329</c:v>
                </c:pt>
                <c:pt idx="5">
                  <c:v>4.65936069857143</c:v>
                </c:pt>
                <c:pt idx="6">
                  <c:v>5.34585582142857</c:v>
                </c:pt>
                <c:pt idx="7">
                  <c:v>7.29871988571429</c:v>
                </c:pt>
                <c:pt idx="8">
                  <c:v>7.6066536</c:v>
                </c:pt>
                <c:pt idx="9">
                  <c:v>8.8471416</c:v>
                </c:pt>
                <c:pt idx="10">
                  <c:v>11.68298131</c:v>
                </c:pt>
                <c:pt idx="11">
                  <c:v>13.3005335607143</c:v>
                </c:pt>
                <c:pt idx="12">
                  <c:v>16.2726088285165</c:v>
                </c:pt>
                <c:pt idx="13">
                  <c:v>21.2018749941143</c:v>
                </c:pt>
                <c:pt idx="14">
                  <c:v>21.8622343581366</c:v>
                </c:pt>
                <c:pt idx="15">
                  <c:v>27.5784822857143</c:v>
                </c:pt>
                <c:pt idx="16">
                  <c:v>33.0312956314286</c:v>
                </c:pt>
                <c:pt idx="17">
                  <c:v>52.5910343771429</c:v>
                </c:pt>
                <c:pt idx="18">
                  <c:v>62.8867285714286</c:v>
                </c:pt>
                <c:pt idx="19">
                  <c:v>63.4165261321429</c:v>
                </c:pt>
                <c:pt idx="20">
                  <c:v>171.290167372959</c:v>
                </c:pt>
                <c:pt idx="21">
                  <c:v>213.512429061429</c:v>
                </c:pt>
                <c:pt idx="22">
                  <c:v>309.381910797587</c:v>
                </c:pt>
                <c:pt idx="23">
                  <c:v>1666.65918827367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299878086419753"/>
          <c:y val="0.0211666666666667"/>
          <c:w val="0.936207098765432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HTCC Ceramic Shell / Housings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1460.73563343996</c:v>
                </c:pt>
                <c:pt idx="1">
                  <c:v>1476.01293311569</c:v>
                </c:pt>
                <c:pt idx="2">
                  <c:v>1584.92874549347</c:v>
                </c:pt>
                <c:pt idx="3">
                  <c:v>1983.94131480142</c:v>
                </c:pt>
                <c:pt idx="4">
                  <c:v>2144.35631692814</c:v>
                </c:pt>
                <c:pt idx="5">
                  <c:v>2267.8631307486</c:v>
                </c:pt>
                <c:pt idx="6">
                  <c:v>2402.94477168826</c:v>
                </c:pt>
                <c:pt idx="7">
                  <c:v>2545.3216704258</c:v>
                </c:pt>
                <c:pt idx="8">
                  <c:v>2696.26534916682</c:v>
                </c:pt>
                <c:pt idx="9">
                  <c:v>2859.1819575288</c:v>
                </c:pt>
                <c:pt idx="10">
                  <c:v>3022.90832969551</c:v>
                </c:pt>
                <c:pt idx="11">
                  <c:v>3192.34495530693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HTCC Ceramic PKG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283.228837754845</c:v>
                </c:pt>
                <c:pt idx="1">
                  <c:v>311.630125606816</c:v>
                </c:pt>
                <c:pt idx="2">
                  <c:v>360.507249438198</c:v>
                </c:pt>
                <c:pt idx="3">
                  <c:v>445.710530123926</c:v>
                </c:pt>
                <c:pt idx="4">
                  <c:v>509.035663011911</c:v>
                </c:pt>
                <c:pt idx="5">
                  <c:v>542.290887539832</c:v>
                </c:pt>
                <c:pt idx="6">
                  <c:v>575.942215921604</c:v>
                </c:pt>
                <c:pt idx="7">
                  <c:v>606.064013452804</c:v>
                </c:pt>
                <c:pt idx="8">
                  <c:v>635.267110416314</c:v>
                </c:pt>
                <c:pt idx="9">
                  <c:v>665.595918171403</c:v>
                </c:pt>
                <c:pt idx="10">
                  <c:v>694.829347850151</c:v>
                </c:pt>
                <c:pt idx="11">
                  <c:v>724.180973342936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HTCC Ceramic Substrates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分类!$B$4:$M$4</c:f>
              <c:numCache>
                <c:formatCode>#,##0_);[Red]\(#,##0\)</c:formatCode>
                <c:ptCount val="12"/>
                <c:pt idx="0">
                  <c:v>102.481540265481</c:v>
                </c:pt>
                <c:pt idx="1">
                  <c:v>103.629240918793</c:v>
                </c:pt>
                <c:pt idx="2">
                  <c:v>107.186576526812</c:v>
                </c:pt>
                <c:pt idx="3">
                  <c:v>133.631160688606</c:v>
                </c:pt>
                <c:pt idx="4">
                  <c:v>152.978251108075</c:v>
                </c:pt>
                <c:pt idx="5">
                  <c:v>162.561094306845</c:v>
                </c:pt>
                <c:pt idx="6">
                  <c:v>171.585882644319</c:v>
                </c:pt>
                <c:pt idx="7">
                  <c:v>180.827542690988</c:v>
                </c:pt>
                <c:pt idx="8">
                  <c:v>190.603292461732</c:v>
                </c:pt>
                <c:pt idx="9">
                  <c:v>201.148620272374</c:v>
                </c:pt>
                <c:pt idx="10">
                  <c:v>211.675145699459</c:v>
                </c:pt>
                <c:pt idx="11">
                  <c:v>222.531828087516</c:v>
                </c:pt>
              </c:numCache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分类!$B$5:$M$5</c:f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分类!$B$6:$M$6</c:f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分类!$B$8:$M$8</c:f>
            </c:numRef>
          </c:val>
        </c:ser>
        <c:ser>
          <c:idx val="7"/>
          <c:order val="7"/>
          <c:tx>
            <c:strRef>
              <c:f>分类!$A$9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分类!$B$9:$M$9</c:f>
            </c:numRef>
          </c:val>
        </c:ser>
        <c:ser>
          <c:idx val="8"/>
          <c:order val="8"/>
          <c:tx>
            <c:strRef>
              <c:f>分类!$A$10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1846.44601146028</c:v>
                </c:pt>
                <c:pt idx="1">
                  <c:v>1891.2722996413</c:v>
                </c:pt>
                <c:pt idx="2">
                  <c:v>2052.62257145848</c:v>
                </c:pt>
                <c:pt idx="3">
                  <c:v>2563.28300561396</c:v>
                </c:pt>
                <c:pt idx="4">
                  <c:v>2806.37023104813</c:v>
                </c:pt>
                <c:pt idx="5">
                  <c:v>2972.71511259528</c:v>
                </c:pt>
                <c:pt idx="6">
                  <c:v>3150.47287025419</c:v>
                </c:pt>
                <c:pt idx="7">
                  <c:v>3332.21322656959</c:v>
                </c:pt>
                <c:pt idx="8">
                  <c:v>3522.13575204486</c:v>
                </c:pt>
                <c:pt idx="9">
                  <c:v>3725.92649597257</c:v>
                </c:pt>
                <c:pt idx="10">
                  <c:v>3929.41282324512</c:v>
                </c:pt>
                <c:pt idx="11">
                  <c:v>4139.05775673738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Consumer Electronics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217.945836574375</c:v>
                </c:pt>
                <c:pt idx="1">
                  <c:v>242.069760380752</c:v>
                </c:pt>
                <c:pt idx="2">
                  <c:v>279.799243612817</c:v>
                </c:pt>
                <c:pt idx="3">
                  <c:v>345.73935031319</c:v>
                </c:pt>
                <c:pt idx="4">
                  <c:v>393.313997628691</c:v>
                </c:pt>
                <c:pt idx="5">
                  <c:v>425.809479446695</c:v>
                </c:pt>
                <c:pt idx="6">
                  <c:v>460.404572513114</c:v>
                </c:pt>
                <c:pt idx="7">
                  <c:v>479.945220734732</c:v>
                </c:pt>
                <c:pt idx="8">
                  <c:v>505.009800171712</c:v>
                </c:pt>
                <c:pt idx="9">
                  <c:v>520.734962177543</c:v>
                </c:pt>
                <c:pt idx="10">
                  <c:v>543.408541463297</c:v>
                </c:pt>
                <c:pt idx="11">
                  <c:v>677.504476637585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Communication Package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616.90771209784</c:v>
                </c:pt>
                <c:pt idx="1">
                  <c:v>623.664993415872</c:v>
                </c:pt>
                <c:pt idx="2">
                  <c:v>669.996160100515</c:v>
                </c:pt>
                <c:pt idx="3">
                  <c:v>838.603878578086</c:v>
                </c:pt>
                <c:pt idx="4">
                  <c:v>906.738081065962</c:v>
                </c:pt>
                <c:pt idx="5">
                  <c:v>986.904722073098</c:v>
                </c:pt>
                <c:pt idx="6">
                  <c:v>1046.51027906832</c:v>
                </c:pt>
                <c:pt idx="7">
                  <c:v>1122.75999022554</c:v>
                </c:pt>
                <c:pt idx="8">
                  <c:v>1197.70781543015</c:v>
                </c:pt>
                <c:pt idx="9">
                  <c:v>1289.47250438246</c:v>
                </c:pt>
                <c:pt idx="10">
                  <c:v>1373.12665068179</c:v>
                </c:pt>
                <c:pt idx="11">
                  <c:v>1349.47505290903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>Industrial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  <c:numCache>
                <c:formatCode>#,##0_);[Red]\(#,##0\)</c:formatCode>
                <c:ptCount val="12"/>
                <c:pt idx="0">
                  <c:v>440.250338457676</c:v>
                </c:pt>
                <c:pt idx="1">
                  <c:v>441.270024399001</c:v>
                </c:pt>
                <c:pt idx="2">
                  <c:v>459.304749527285</c:v>
                </c:pt>
                <c:pt idx="3">
                  <c:v>584.89002063584</c:v>
                </c:pt>
                <c:pt idx="4">
                  <c:v>636.171969619111</c:v>
                </c:pt>
                <c:pt idx="5">
                  <c:v>664.273271750861</c:v>
                </c:pt>
                <c:pt idx="6">
                  <c:v>708.648682668036</c:v>
                </c:pt>
                <c:pt idx="7">
                  <c:v>755.47120481957</c:v>
                </c:pt>
                <c:pt idx="8">
                  <c:v>805.504628989519</c:v>
                </c:pt>
                <c:pt idx="9">
                  <c:v>859.528638369602</c:v>
                </c:pt>
                <c:pt idx="10">
                  <c:v>912.845453669724</c:v>
                </c:pt>
                <c:pt idx="11">
                  <c:v>967.683625278901</c:v>
                </c:pt>
              </c:numCache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>Automotive Electronics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  <c:numCache>
                <c:formatCode>#,##0_);[Red]\(#,##0\)</c:formatCode>
                <c:ptCount val="12"/>
                <c:pt idx="0">
                  <c:v>73.0415784690237</c:v>
                </c:pt>
                <c:pt idx="1">
                  <c:v>74.82908273997</c:v>
                </c:pt>
                <c:pt idx="2">
                  <c:v>81.292028379945</c:v>
                </c:pt>
                <c:pt idx="3">
                  <c:v>101.60657054581</c:v>
                </c:pt>
                <c:pt idx="4">
                  <c:v>111.358392922939</c:v>
                </c:pt>
                <c:pt idx="5">
                  <c:v>118.081177971394</c:v>
                </c:pt>
                <c:pt idx="6">
                  <c:v>125.26846229359</c:v>
                </c:pt>
                <c:pt idx="7">
                  <c:v>132.625735053577</c:v>
                </c:pt>
                <c:pt idx="8">
                  <c:v>140.321915587007</c:v>
                </c:pt>
                <c:pt idx="9">
                  <c:v>148.585121283759</c:v>
                </c:pt>
                <c:pt idx="10">
                  <c:v>160.331633825328</c:v>
                </c:pt>
                <c:pt idx="11">
                  <c:v>172.585532571788</c:v>
                </c:pt>
              </c:numCache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>Aerospace and Military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  <c:numCache>
                <c:formatCode>#,##0_);[Red]\(#,##0\)</c:formatCode>
                <c:ptCount val="12"/>
                <c:pt idx="0">
                  <c:v>467.435457720885</c:v>
                </c:pt>
                <c:pt idx="1">
                  <c:v>477.501036669873</c:v>
                </c:pt>
                <c:pt idx="2">
                  <c:v>529.316038133114</c:v>
                </c:pt>
                <c:pt idx="3">
                  <c:v>652.225569705753</c:v>
                </c:pt>
                <c:pt idx="4">
                  <c:v>714.953104635848</c:v>
                </c:pt>
                <c:pt idx="5">
                  <c:v>731.390792653675</c:v>
                </c:pt>
                <c:pt idx="6">
                  <c:v>760.789445834915</c:v>
                </c:pt>
                <c:pt idx="7">
                  <c:v>789.983831210999</c:v>
                </c:pt>
                <c:pt idx="8">
                  <c:v>819.528423220877</c:v>
                </c:pt>
                <c:pt idx="9">
                  <c:v>850.74941683318</c:v>
                </c:pt>
                <c:pt idx="10">
                  <c:v>880.111240865247</c:v>
                </c:pt>
                <c:pt idx="11">
                  <c:v>909.450352972406</c:v>
                </c:pt>
              </c:numCache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>Others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  <c:numCache>
                <c:formatCode>#,##0_);[Red]\(#,##0\)</c:formatCode>
                <c:ptCount val="12"/>
                <c:pt idx="0">
                  <c:v>30.8650881404841</c:v>
                </c:pt>
                <c:pt idx="1">
                  <c:v>31.9374020358316</c:v>
                </c:pt>
                <c:pt idx="2">
                  <c:v>32.9143517048024</c:v>
                </c:pt>
                <c:pt idx="3">
                  <c:v>40.2176158352779</c:v>
                </c:pt>
                <c:pt idx="4">
                  <c:v>43.8346851755757</c:v>
                </c:pt>
                <c:pt idx="5">
                  <c:v>46.2556686995535</c:v>
                </c:pt>
                <c:pt idx="6">
                  <c:v>48.8514278762106</c:v>
                </c:pt>
                <c:pt idx="7">
                  <c:v>51.4272445251714</c:v>
                </c:pt>
                <c:pt idx="8">
                  <c:v>54.0631686455935</c:v>
                </c:pt>
                <c:pt idx="9">
                  <c:v>56.8558529260262</c:v>
                </c:pt>
                <c:pt idx="10">
                  <c:v>59.589302739734</c:v>
                </c:pt>
                <c:pt idx="11">
                  <c:v>62.3587163676762</c:v>
                </c:pt>
              </c:numCache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rgbClr val="7030A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en-US" altLang="zh-CN" sz="1200">
                <a:latin typeface="Book Antiqua" panose="02040602050305030304" pitchFamily="1" charset="0"/>
              </a:rPr>
              <a:t>Market Size By Region, 2018 Vs 2022 VS 2029</a:t>
            </a:r>
            <a:endParaRPr lang="zh-CN" altLang="en-US" sz="12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'地区-生产'!$AE$1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6"/>
                <c:pt idx="0">
                  <c:v>Japan</c:v>
                </c:pt>
                <c:pt idx="1">
                  <c:v>North America</c:v>
                </c:pt>
                <c:pt idx="2">
                  <c:v>Europe</c:v>
                </c:pt>
                <c:pt idx="3">
                  <c:v>South Korea</c:v>
                </c:pt>
                <c:pt idx="4">
                  <c:v>China</c:v>
                </c:pt>
                <c:pt idx="5">
                  <c:v>Others</c:v>
                </c:pt>
              </c:strCache>
            </c:strRef>
          </c:cat>
          <c:val>
            <c:numRef>
              <c:f>'地区-生产'!$AE$2:$AE$10</c:f>
              <c:numCache>
                <c:formatCode>#,##0_);[Red]\(#,##0\)</c:formatCode>
                <c:ptCount val="6"/>
                <c:pt idx="0">
                  <c:v>1457.29550034452</c:v>
                </c:pt>
                <c:pt idx="1">
                  <c:v>51.7954367612314</c:v>
                </c:pt>
                <c:pt idx="2">
                  <c:v>11.7525911526379</c:v>
                </c:pt>
                <c:pt idx="3">
                  <c:v>14.5757211403825</c:v>
                </c:pt>
                <c:pt idx="4">
                  <c:v>283.116116048756</c:v>
                </c:pt>
                <c:pt idx="5">
                  <c:v>27.9106460127537</c:v>
                </c:pt>
              </c:numCache>
            </c:numRef>
          </c:val>
        </c:ser>
        <c:ser>
          <c:idx val="1"/>
          <c:order val="1"/>
          <c:tx>
            <c:strRef>
              <c:f>'地区-生产'!$AF$1</c:f>
              <c:strCache>
                <c:ptCount val="1"/>
                <c:pt idx="0">
                  <c:v>2022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6"/>
                <c:pt idx="0">
                  <c:v>Japan</c:v>
                </c:pt>
                <c:pt idx="1">
                  <c:v>North America</c:v>
                </c:pt>
                <c:pt idx="2">
                  <c:v>Europe</c:v>
                </c:pt>
                <c:pt idx="3">
                  <c:v>South Korea</c:v>
                </c:pt>
                <c:pt idx="4">
                  <c:v>China</c:v>
                </c:pt>
                <c:pt idx="5">
                  <c:v>Others</c:v>
                </c:pt>
              </c:strCache>
            </c:strRef>
          </c:cat>
          <c:val>
            <c:numRef>
              <c:f>'地区-生产'!$AF$2:$AF$10</c:f>
              <c:numCache>
                <c:formatCode>#,##0_);[Red]\(#,##0\)</c:formatCode>
                <c:ptCount val="6"/>
                <c:pt idx="0">
                  <c:v>1943.05834590653</c:v>
                </c:pt>
                <c:pt idx="1">
                  <c:v>76.6324912986872</c:v>
                </c:pt>
                <c:pt idx="2">
                  <c:v>18.4038779133857</c:v>
                </c:pt>
                <c:pt idx="3">
                  <c:v>8.8471416</c:v>
                </c:pt>
                <c:pt idx="4">
                  <c:v>706.94861917768</c:v>
                </c:pt>
                <c:pt idx="5">
                  <c:v>52.4797551518459</c:v>
                </c:pt>
              </c:numCache>
            </c:numRef>
          </c:val>
        </c:ser>
        <c:ser>
          <c:idx val="2"/>
          <c:order val="2"/>
          <c:tx>
            <c:strRef>
              <c:f>'地区-生产'!$AG$1</c:f>
              <c:strCache>
                <c:ptCount val="1"/>
                <c:pt idx="0">
                  <c:v>2029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'地区-生产'!$AD$2:$AD$10</c:f>
              <c:strCache>
                <c:ptCount val="6"/>
                <c:pt idx="0">
                  <c:v>Japan</c:v>
                </c:pt>
                <c:pt idx="1">
                  <c:v>North America</c:v>
                </c:pt>
                <c:pt idx="2">
                  <c:v>Europe</c:v>
                </c:pt>
                <c:pt idx="3">
                  <c:v>South Korea</c:v>
                </c:pt>
                <c:pt idx="4">
                  <c:v>China</c:v>
                </c:pt>
                <c:pt idx="5">
                  <c:v>Others</c:v>
                </c:pt>
              </c:strCache>
            </c:strRef>
          </c:cat>
          <c:val>
            <c:numRef>
              <c:f>'地区-生产'!$AG$2:$AG$10</c:f>
              <c:numCache>
                <c:formatCode>#,##0_);[Red]\(#,##0\)</c:formatCode>
                <c:ptCount val="6"/>
                <c:pt idx="0">
                  <c:v>2603.718755568</c:v>
                </c:pt>
                <c:pt idx="1">
                  <c:v>96.898100252445</c:v>
                </c:pt>
                <c:pt idx="2">
                  <c:v>23.2159260649018</c:v>
                </c:pt>
                <c:pt idx="3">
                  <c:v>14.0023719782297</c:v>
                </c:pt>
                <c:pt idx="4">
                  <c:v>1337.80449831756</c:v>
                </c:pt>
                <c:pt idx="5">
                  <c:v>63.4181045562442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25844928"/>
        <c:axId val="1875643855"/>
      </c:barChart>
      <c:catAx>
        <c:axId val="25844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875643855"/>
        <c:crosses val="autoZero"/>
        <c:auto val="1"/>
        <c:lblAlgn val="ctr"/>
        <c:lblOffset val="100"/>
        <c:noMultiLvlLbl val="0"/>
      </c:catAx>
      <c:valAx>
        <c:axId val="1875643855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25844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0.54075</cdr:x>
      <cdr:y>0.17175</cdr:y>
    </cdr:from>
    <cdr:to>
      <cdr:x>0.7479</cdr:x>
      <cdr:y>0.39806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46545" y="504408"/>
          <a:ext cx="1281991" cy="664644"/>
          <a:chOff x="2873200" y="1327078"/>
          <a:chExt cx="874711" cy="546012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73200" y="1327078"/>
            <a:ext cx="874711" cy="546012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674057">
            <a:off x="3014077" y="1472769"/>
            <a:ext cx="514788" cy="223660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5.7%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0.24085</cdr:x>
      <cdr:y>0.3734</cdr:y>
    </cdr:from>
    <cdr:to>
      <cdr:x>0.43799</cdr:x>
      <cdr:y>0.63665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90551" y="1096629"/>
          <a:ext cx="1220042" cy="773132"/>
          <a:chOff x="3065378" y="1615187"/>
          <a:chExt cx="1010935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65378" y="1822248"/>
            <a:ext cx="1010935" cy="464804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584799">
            <a:off x="3135135" y="1935053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11%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1226</Words>
  <Characters>1539</Characters>
  <Lines>13</Lines>
  <Paragraphs>3</Paragraphs>
  <TotalTime>675</TotalTime>
  <ScaleCrop>false</ScaleCrop>
  <LinksUpToDate>false</LinksUpToDate>
  <CharactersWithSpaces>1544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2023-10-24T09:14:07Z</dcterms:modified>
  <cp:revision>807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4EB8C24E7F1A493299872C1248671BED_13</vt:lpwstr>
  </property>
</Properties>
</file>