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3844110A" w:rsidR="00347A61" w:rsidRPr="001763C6" w:rsidRDefault="00373CC7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一次性生物反应容器</w:t>
      </w:r>
      <w:r w:rsidR="00CA0DA4">
        <w:rPr>
          <w:rFonts w:hint="eastAsia"/>
          <w:lang w:eastAsia="zh-CN"/>
        </w:rPr>
        <w:t>全球市场总体规模</w:t>
      </w:r>
    </w:p>
    <w:p w14:paraId="068AF304" w14:textId="190BA4D4" w:rsidR="00961627" w:rsidRDefault="0060470C" w:rsidP="00DF134C">
      <w:pPr>
        <w:pStyle w:val="-"/>
        <w:rPr>
          <w:lang w:eastAsia="zh-CN"/>
        </w:rPr>
      </w:pPr>
      <w:r>
        <w:rPr>
          <w:noProof/>
          <w:lang w:val="en-US" w:eastAsia="zh-CN"/>
        </w:rPr>
        <w:drawing>
          <wp:inline distT="0" distB="0" distL="0" distR="0" wp14:anchorId="6EBF26F0" wp14:editId="3645C1CB">
            <wp:extent cx="2978951" cy="2563399"/>
            <wp:effectExtent l="0" t="0" r="0" b="8890"/>
            <wp:docPr id="16" name="图片 16" descr="Two-dimensional BioProcess Container™ system, Labtainer™ BPC bags | VW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wo-dimensional BioProcess Container™ system, Labtainer™ BPC bags | VW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751" cy="2571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850E6" w14:textId="77777777" w:rsidR="0060470C" w:rsidRPr="0060470C" w:rsidRDefault="0060470C" w:rsidP="0060470C"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 w:rsidRPr="0060470C">
        <w:rPr>
          <w:rFonts w:ascii="Book Antiqua" w:hAnsi="Book Antiqua" w:cs="宋体"/>
          <w:kern w:val="0"/>
          <w:sz w:val="24"/>
          <w:szCs w:val="24"/>
        </w:rPr>
        <w:t>据</w:t>
      </w:r>
      <w:proofErr w:type="spellStart"/>
      <w:r w:rsidRPr="0060470C">
        <w:rPr>
          <w:rFonts w:ascii="Book Antiqua" w:hAnsi="Book Antiqua" w:cs="宋体"/>
          <w:kern w:val="0"/>
          <w:sz w:val="24"/>
          <w:szCs w:val="24"/>
        </w:rPr>
        <w:t>QYResearch</w:t>
      </w:r>
      <w:proofErr w:type="spellEnd"/>
      <w:r w:rsidRPr="0060470C">
        <w:rPr>
          <w:rFonts w:ascii="Book Antiqua" w:hAnsi="Book Antiqua" w:cs="宋体"/>
          <w:kern w:val="0"/>
          <w:sz w:val="24"/>
          <w:szCs w:val="24"/>
        </w:rPr>
        <w:t>调研团队最新报告</w:t>
      </w:r>
      <w:r w:rsidRPr="0060470C">
        <w:rPr>
          <w:rFonts w:ascii="Book Antiqua" w:hAnsi="Book Antiqua" w:cs="宋体"/>
          <w:kern w:val="0"/>
          <w:sz w:val="24"/>
          <w:szCs w:val="24"/>
        </w:rPr>
        <w:t>“</w:t>
      </w:r>
      <w:r w:rsidRPr="0060470C">
        <w:rPr>
          <w:rFonts w:ascii="Book Antiqua" w:hAnsi="Book Antiqua" w:cs="宋体"/>
          <w:kern w:val="0"/>
          <w:sz w:val="24"/>
          <w:szCs w:val="24"/>
        </w:rPr>
        <w:t>全球一次性生物反应容器市场报告</w:t>
      </w:r>
      <w:r w:rsidRPr="0060470C">
        <w:rPr>
          <w:rFonts w:ascii="Book Antiqua" w:hAnsi="Book Antiqua" w:cs="宋体"/>
          <w:kern w:val="0"/>
          <w:sz w:val="24"/>
          <w:szCs w:val="24"/>
        </w:rPr>
        <w:t>2023-2029”</w:t>
      </w:r>
      <w:r w:rsidRPr="0060470C">
        <w:rPr>
          <w:rFonts w:ascii="Book Antiqua" w:hAnsi="Book Antiqua" w:cs="宋体"/>
          <w:kern w:val="0"/>
          <w:sz w:val="24"/>
          <w:szCs w:val="24"/>
        </w:rPr>
        <w:t>显示，预计</w:t>
      </w:r>
      <w:r w:rsidRPr="0060470C">
        <w:rPr>
          <w:rFonts w:ascii="Book Antiqua" w:hAnsi="Book Antiqua" w:cs="宋体"/>
          <w:kern w:val="0"/>
          <w:sz w:val="24"/>
          <w:szCs w:val="24"/>
        </w:rPr>
        <w:t>2029</w:t>
      </w:r>
      <w:r w:rsidRPr="0060470C">
        <w:rPr>
          <w:rFonts w:ascii="Book Antiqua" w:hAnsi="Book Antiqua" w:cs="宋体"/>
          <w:kern w:val="0"/>
          <w:sz w:val="24"/>
          <w:szCs w:val="24"/>
        </w:rPr>
        <w:t>年全球一次性生物反应容器市场规模将达到</w:t>
      </w:r>
      <w:r w:rsidRPr="0060470C">
        <w:rPr>
          <w:rFonts w:ascii="Book Antiqua" w:hAnsi="Book Antiqua" w:cs="宋体"/>
          <w:kern w:val="0"/>
          <w:sz w:val="24"/>
          <w:szCs w:val="24"/>
        </w:rPr>
        <w:t>97.5</w:t>
      </w:r>
      <w:r w:rsidRPr="0060470C">
        <w:rPr>
          <w:rFonts w:ascii="Book Antiqua" w:hAnsi="Book Antiqua" w:cs="宋体"/>
          <w:kern w:val="0"/>
          <w:sz w:val="24"/>
          <w:szCs w:val="24"/>
        </w:rPr>
        <w:t>亿美元，未来几年年复合增长率</w:t>
      </w:r>
      <w:r w:rsidRPr="0060470C">
        <w:rPr>
          <w:rFonts w:ascii="Book Antiqua" w:hAnsi="Book Antiqua" w:cs="宋体"/>
          <w:kern w:val="0"/>
          <w:sz w:val="24"/>
          <w:szCs w:val="24"/>
        </w:rPr>
        <w:t>CAGR</w:t>
      </w:r>
      <w:r w:rsidRPr="0060470C">
        <w:rPr>
          <w:rFonts w:ascii="Book Antiqua" w:hAnsi="Book Antiqua" w:cs="宋体"/>
          <w:kern w:val="0"/>
          <w:sz w:val="24"/>
          <w:szCs w:val="24"/>
        </w:rPr>
        <w:t>为</w:t>
      </w:r>
      <w:r w:rsidRPr="0060470C">
        <w:rPr>
          <w:rFonts w:ascii="Book Antiqua" w:hAnsi="Book Antiqua" w:cs="宋体"/>
          <w:kern w:val="0"/>
          <w:sz w:val="24"/>
          <w:szCs w:val="24"/>
        </w:rPr>
        <w:t>18.6%</w:t>
      </w:r>
      <w:r w:rsidRPr="0060470C">
        <w:rPr>
          <w:rFonts w:ascii="Book Antiqua" w:hAnsi="Book Antiqua" w:cs="宋体"/>
          <w:kern w:val="0"/>
          <w:sz w:val="24"/>
          <w:szCs w:val="24"/>
        </w:rPr>
        <w:t>。</w:t>
      </w:r>
    </w:p>
    <w:p w14:paraId="4D38E3C6" w14:textId="77777777" w:rsidR="005E7C7B" w:rsidRPr="0060470C" w:rsidRDefault="005E7C7B" w:rsidP="00DF134C">
      <w:pPr>
        <w:pStyle w:val="-"/>
        <w:rPr>
          <w:lang w:val="en-US" w:eastAsia="zh-CN"/>
        </w:rPr>
      </w:pPr>
    </w:p>
    <w:p w14:paraId="3F6C2722" w14:textId="2C8CAD03" w:rsidR="00347A61" w:rsidRDefault="00373CC7" w:rsidP="000A1AB9">
      <w:pPr>
        <w:pStyle w:val="FigureStyle"/>
        <w:rPr>
          <w:lang w:eastAsia="zh-CN"/>
        </w:rPr>
      </w:pPr>
      <w:r>
        <w:rPr>
          <w:lang w:eastAsia="zh-CN"/>
        </w:rPr>
        <w:t>一次性生物反应容器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36EE0D91" w:rsidR="00347A61" w:rsidRDefault="0060470C" w:rsidP="00347A61">
      <w:pPr>
        <w:pStyle w:val="-"/>
      </w:pPr>
      <w:r>
        <w:rPr>
          <w:noProof/>
        </w:rPr>
        <w:drawing>
          <wp:inline distT="0" distB="0" distL="0" distR="0" wp14:anchorId="658B3D8E" wp14:editId="29C54E2C">
            <wp:extent cx="4848225" cy="27051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964BA" w14:textId="4E43D21F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373CC7">
        <w:rPr>
          <w:lang w:eastAsia="zh-CN"/>
        </w:rPr>
        <w:t>一次性生物反应容器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2EC36BCD" w14:textId="77777777" w:rsidR="00E4617E" w:rsidRPr="00BF5880" w:rsidRDefault="00E4617E" w:rsidP="00BF5880">
      <w:pPr>
        <w:pStyle w:val="-"/>
        <w:rPr>
          <w:lang w:eastAsia="zh-CN"/>
        </w:rPr>
      </w:pPr>
    </w:p>
    <w:p w14:paraId="520681BA" w14:textId="3F9758E0" w:rsidR="00C5533E" w:rsidRPr="00C5533E" w:rsidRDefault="00A023BF" w:rsidP="00C5533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bookmarkStart w:id="13" w:name="_GoBack"/>
      <w:r w:rsidR="00373CC7">
        <w:rPr>
          <w:lang w:eastAsia="zh-CN"/>
        </w:rPr>
        <w:t>一次性生物反应容器</w:t>
      </w:r>
      <w:bookmarkEnd w:id="13"/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60470C">
        <w:rPr>
          <w:lang w:eastAsia="zh-CN"/>
        </w:rPr>
        <w:t>18</w:t>
      </w:r>
      <w:r w:rsidR="001052F0">
        <w:rPr>
          <w:rFonts w:hint="eastAsia"/>
          <w:lang w:eastAsia="zh-CN"/>
        </w:rPr>
        <w:t>强生产商排名及市场占有率</w:t>
      </w:r>
      <w:r w:rsidR="00C5533E" w:rsidRPr="00C5533E">
        <w:rPr>
          <w:rFonts w:hint="eastAsia"/>
          <w:lang w:eastAsia="zh-CN"/>
        </w:rPr>
        <w:t>（基于</w:t>
      </w:r>
      <w:r w:rsidR="00C5533E" w:rsidRPr="00C5533E">
        <w:rPr>
          <w:rFonts w:hint="eastAsia"/>
          <w:lang w:eastAsia="zh-CN"/>
        </w:rPr>
        <w:t>202</w:t>
      </w:r>
      <w:r w:rsidR="00C5533E">
        <w:rPr>
          <w:lang w:eastAsia="zh-CN"/>
        </w:rPr>
        <w:t>1</w:t>
      </w:r>
      <w:r w:rsidR="00C5533E" w:rsidRPr="00C5533E">
        <w:rPr>
          <w:rFonts w:hint="eastAsia"/>
          <w:lang w:eastAsia="zh-CN"/>
        </w:rPr>
        <w:t>年调研数据；目前最新数据以本公司最新调研数据为准）</w:t>
      </w:r>
    </w:p>
    <w:p w14:paraId="259C9F9E" w14:textId="4D95B3E4" w:rsidR="004721C4" w:rsidRDefault="0060470C" w:rsidP="004721C4">
      <w:pPr>
        <w:pStyle w:val="-"/>
        <w:jc w:val="center"/>
      </w:pPr>
      <w:r>
        <w:rPr>
          <w:noProof/>
        </w:rPr>
        <w:drawing>
          <wp:inline distT="0" distB="0" distL="0" distR="0" wp14:anchorId="03231EDB" wp14:editId="7FACA55B">
            <wp:extent cx="4572000" cy="4400544"/>
            <wp:effectExtent l="0" t="0" r="0" b="635"/>
            <wp:docPr id="2" name="图表 2">
              <a:extLst xmlns:a="http://schemas.openxmlformats.org/drawingml/2006/main">
                <a:ext uri="{FF2B5EF4-FFF2-40B4-BE49-F238E27FC236}">
                  <a16:creationId xmlns:a16="http://schemas.microsoft.com/office/drawing/2014/main" id="{821E7BA3-CAD1-42CF-A2A5-2E9A6272F2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57CAAAB" w14:textId="307AA856" w:rsidR="00C5533E" w:rsidRDefault="00C5533E" w:rsidP="004721C4">
      <w:pPr>
        <w:pStyle w:val="Source"/>
        <w:rPr>
          <w:lang w:eastAsia="zh-CN"/>
        </w:rPr>
      </w:pPr>
      <w:r w:rsidRPr="00C5533E">
        <w:rPr>
          <w:rFonts w:hint="eastAsia"/>
          <w:lang w:eastAsia="zh-CN"/>
        </w:rPr>
        <w:t>如上图表</w:t>
      </w:r>
      <w:r w:rsidRPr="00C5533E">
        <w:rPr>
          <w:rFonts w:hint="eastAsia"/>
          <w:lang w:eastAsia="zh-CN"/>
        </w:rPr>
        <w:t>/</w:t>
      </w:r>
      <w:r w:rsidRPr="00C5533E">
        <w:rPr>
          <w:rFonts w:hint="eastAsia"/>
          <w:lang w:eastAsia="zh-CN"/>
        </w:rPr>
        <w:t>数据，摘自</w:t>
      </w:r>
      <w:r w:rsidRPr="00C5533E">
        <w:rPr>
          <w:rFonts w:hint="eastAsia"/>
          <w:lang w:eastAsia="zh-CN"/>
        </w:rPr>
        <w:t>QYResearch</w:t>
      </w:r>
      <w:r w:rsidRPr="00C5533E">
        <w:rPr>
          <w:rFonts w:hint="eastAsia"/>
          <w:lang w:eastAsia="zh-CN"/>
        </w:rPr>
        <w:t>报告“全球</w:t>
      </w:r>
      <w:r w:rsidR="00373CC7">
        <w:rPr>
          <w:rFonts w:hint="eastAsia"/>
          <w:lang w:eastAsia="zh-CN"/>
        </w:rPr>
        <w:t>一次性生物反应容器</w:t>
      </w:r>
      <w:r w:rsidRPr="00C5533E">
        <w:rPr>
          <w:rFonts w:hint="eastAsia"/>
          <w:lang w:eastAsia="zh-CN"/>
        </w:rPr>
        <w:t>市场研究报告</w:t>
      </w:r>
      <w:r w:rsidRPr="00C5533E">
        <w:rPr>
          <w:rFonts w:hint="eastAsia"/>
          <w:lang w:eastAsia="zh-CN"/>
        </w:rPr>
        <w:t>2023-2029</w:t>
      </w:r>
      <w:r w:rsidRPr="00C5533E">
        <w:rPr>
          <w:rFonts w:hint="eastAsia"/>
          <w:lang w:eastAsia="zh-CN"/>
        </w:rPr>
        <w:t>，排名基于</w:t>
      </w:r>
      <w:r w:rsidRPr="00C5533E">
        <w:rPr>
          <w:rFonts w:hint="eastAsia"/>
          <w:lang w:eastAsia="zh-CN"/>
        </w:rPr>
        <w:t>2022</w:t>
      </w:r>
      <w:r w:rsidRPr="00C5533E">
        <w:rPr>
          <w:rFonts w:hint="eastAsia"/>
          <w:lang w:eastAsia="zh-CN"/>
        </w:rPr>
        <w:t>数据。目前最新数据，以本公司最新调研数据为准。</w:t>
      </w:r>
    </w:p>
    <w:p w14:paraId="04A43543" w14:textId="6888DC6A" w:rsidR="004721C4" w:rsidRDefault="003174BC" w:rsidP="004721C4">
      <w:pPr>
        <w:pStyle w:val="Source"/>
      </w:pPr>
      <w:r>
        <w:t>.</w:t>
      </w:r>
    </w:p>
    <w:p w14:paraId="7B3A2B1B" w14:textId="77777777" w:rsidR="0060470C" w:rsidRPr="0060470C" w:rsidRDefault="0060470C" w:rsidP="0060470C"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 w:rsidRPr="0060470C">
        <w:rPr>
          <w:rFonts w:ascii="Times New Roman" w:hAnsi="Times New Roman" w:cs="Times New Roman"/>
          <w:kern w:val="0"/>
          <w:sz w:val="22"/>
          <w:szCs w:val="22"/>
        </w:rPr>
        <w:t>全球范围内一次性生物反应容器生产商主要包括</w:t>
      </w:r>
      <w:r w:rsidRPr="0060470C">
        <w:rPr>
          <w:rFonts w:ascii="Times New Roman" w:hAnsi="Times New Roman" w:cs="Times New Roman"/>
          <w:kern w:val="0"/>
          <w:sz w:val="22"/>
          <w:szCs w:val="22"/>
        </w:rPr>
        <w:t xml:space="preserve">Sartorius </w:t>
      </w:r>
      <w:proofErr w:type="spellStart"/>
      <w:r w:rsidRPr="0060470C">
        <w:rPr>
          <w:rFonts w:ascii="Times New Roman" w:hAnsi="Times New Roman" w:cs="Times New Roman"/>
          <w:kern w:val="0"/>
          <w:sz w:val="22"/>
          <w:szCs w:val="22"/>
        </w:rPr>
        <w:t>Stedim</w:t>
      </w:r>
      <w:proofErr w:type="spellEnd"/>
      <w:r w:rsidRPr="0060470C">
        <w:rPr>
          <w:rFonts w:ascii="Times New Roman" w:hAnsi="Times New Roman" w:cs="Times New Roman"/>
          <w:kern w:val="0"/>
          <w:sz w:val="22"/>
          <w:szCs w:val="22"/>
        </w:rPr>
        <w:t xml:space="preserve"> Biotech</w:t>
      </w:r>
      <w:r w:rsidRPr="0060470C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60470C">
        <w:rPr>
          <w:rFonts w:ascii="Times New Roman" w:hAnsi="Times New Roman" w:cs="Times New Roman"/>
          <w:kern w:val="0"/>
          <w:sz w:val="22"/>
          <w:szCs w:val="22"/>
        </w:rPr>
        <w:t>Thermo</w:t>
      </w:r>
      <w:proofErr w:type="spellEnd"/>
      <w:r w:rsidRPr="0060470C">
        <w:rPr>
          <w:rFonts w:ascii="Times New Roman" w:hAnsi="Times New Roman" w:cs="Times New Roman"/>
          <w:kern w:val="0"/>
          <w:sz w:val="22"/>
          <w:szCs w:val="22"/>
        </w:rPr>
        <w:t xml:space="preserve"> Fisher</w:t>
      </w:r>
      <w:r w:rsidRPr="0060470C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60470C">
        <w:rPr>
          <w:rFonts w:ascii="Times New Roman" w:hAnsi="Times New Roman" w:cs="Times New Roman"/>
          <w:kern w:val="0"/>
          <w:sz w:val="22"/>
          <w:szCs w:val="22"/>
        </w:rPr>
        <w:t>Cytiva</w:t>
      </w:r>
      <w:proofErr w:type="spellEnd"/>
      <w:r w:rsidRPr="0060470C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60470C">
        <w:rPr>
          <w:rFonts w:ascii="Times New Roman" w:hAnsi="Times New Roman" w:cs="Times New Roman"/>
          <w:kern w:val="0"/>
          <w:sz w:val="22"/>
          <w:szCs w:val="22"/>
        </w:rPr>
        <w:t>Entegris</w:t>
      </w:r>
      <w:proofErr w:type="spellEnd"/>
      <w:r w:rsidRPr="0060470C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60470C">
        <w:rPr>
          <w:rFonts w:ascii="Times New Roman" w:hAnsi="Times New Roman" w:cs="Times New Roman"/>
          <w:kern w:val="0"/>
          <w:sz w:val="22"/>
          <w:szCs w:val="22"/>
        </w:rPr>
        <w:t>Merck</w:t>
      </w:r>
      <w:r w:rsidRPr="0060470C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60470C">
        <w:rPr>
          <w:rFonts w:ascii="Times New Roman" w:hAnsi="Times New Roman" w:cs="Times New Roman"/>
          <w:kern w:val="0"/>
          <w:sz w:val="22"/>
          <w:szCs w:val="22"/>
        </w:rPr>
        <w:t>Corning</w:t>
      </w:r>
      <w:r w:rsidRPr="0060470C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60470C">
        <w:rPr>
          <w:rFonts w:ascii="Times New Roman" w:hAnsi="Times New Roman" w:cs="Times New Roman"/>
          <w:kern w:val="0"/>
          <w:sz w:val="22"/>
          <w:szCs w:val="22"/>
        </w:rPr>
        <w:t>Avantor</w:t>
      </w:r>
      <w:proofErr w:type="spellEnd"/>
      <w:r w:rsidRPr="0060470C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60470C">
        <w:rPr>
          <w:rFonts w:ascii="Times New Roman" w:hAnsi="Times New Roman" w:cs="Times New Roman"/>
          <w:kern w:val="0"/>
          <w:sz w:val="22"/>
          <w:szCs w:val="22"/>
        </w:rPr>
        <w:t>Saint-Gobain</w:t>
      </w:r>
      <w:r w:rsidRPr="0060470C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60470C">
        <w:rPr>
          <w:rFonts w:ascii="Times New Roman" w:hAnsi="Times New Roman" w:cs="Times New Roman"/>
          <w:kern w:val="0"/>
          <w:sz w:val="22"/>
          <w:szCs w:val="22"/>
        </w:rPr>
        <w:t>Pall</w:t>
      </w:r>
      <w:r w:rsidRPr="0060470C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60470C">
        <w:rPr>
          <w:rFonts w:ascii="Times New Roman" w:hAnsi="Times New Roman" w:cs="Times New Roman"/>
          <w:kern w:val="0"/>
          <w:sz w:val="22"/>
          <w:szCs w:val="22"/>
        </w:rPr>
        <w:t xml:space="preserve">Shanghai </w:t>
      </w:r>
      <w:proofErr w:type="spellStart"/>
      <w:r w:rsidRPr="0060470C">
        <w:rPr>
          <w:rFonts w:ascii="Times New Roman" w:hAnsi="Times New Roman" w:cs="Times New Roman"/>
          <w:kern w:val="0"/>
          <w:sz w:val="22"/>
          <w:szCs w:val="22"/>
        </w:rPr>
        <w:t>LePure</w:t>
      </w:r>
      <w:proofErr w:type="spellEnd"/>
      <w:r w:rsidRPr="0060470C">
        <w:rPr>
          <w:rFonts w:ascii="Times New Roman" w:hAnsi="Times New Roman" w:cs="Times New Roman"/>
          <w:kern w:val="0"/>
          <w:sz w:val="22"/>
          <w:szCs w:val="22"/>
        </w:rPr>
        <w:t xml:space="preserve"> Biotech</w:t>
      </w:r>
      <w:r w:rsidRPr="0060470C">
        <w:rPr>
          <w:rFonts w:ascii="Times New Roman" w:hAnsi="Times New Roman" w:cs="Times New Roman"/>
          <w:kern w:val="0"/>
          <w:sz w:val="22"/>
          <w:szCs w:val="22"/>
        </w:rPr>
        <w:t>等。</w:t>
      </w:r>
      <w:r w:rsidRPr="0060470C">
        <w:rPr>
          <w:rFonts w:ascii="Times New Roman" w:hAnsi="Times New Roman" w:cs="Times New Roman"/>
          <w:kern w:val="0"/>
          <w:sz w:val="22"/>
          <w:szCs w:val="22"/>
        </w:rPr>
        <w:t>2022</w:t>
      </w:r>
      <w:r w:rsidRPr="0060470C">
        <w:rPr>
          <w:rFonts w:ascii="Times New Roman" w:hAnsi="Times New Roman" w:cs="Times New Roman"/>
          <w:kern w:val="0"/>
          <w:sz w:val="22"/>
          <w:szCs w:val="22"/>
        </w:rPr>
        <w:t>年，全球前十强厂商占有大约</w:t>
      </w:r>
      <w:r w:rsidRPr="0060470C">
        <w:rPr>
          <w:rFonts w:ascii="Times New Roman" w:hAnsi="Times New Roman" w:cs="Times New Roman"/>
          <w:kern w:val="0"/>
          <w:sz w:val="22"/>
          <w:szCs w:val="22"/>
        </w:rPr>
        <w:t>69.0%</w:t>
      </w:r>
      <w:r w:rsidRPr="0060470C">
        <w:rPr>
          <w:rFonts w:ascii="Times New Roman" w:hAnsi="Times New Roman" w:cs="Times New Roman"/>
          <w:kern w:val="0"/>
          <w:sz w:val="22"/>
          <w:szCs w:val="22"/>
        </w:rPr>
        <w:t>的市场份额。</w:t>
      </w:r>
    </w:p>
    <w:p w14:paraId="732DEE17" w14:textId="77777777" w:rsidR="007F61D5" w:rsidRDefault="007F61D5" w:rsidP="00BF5880">
      <w:pPr>
        <w:pStyle w:val="-"/>
      </w:pP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79FFBF" w14:textId="77777777" w:rsidR="000441B2" w:rsidRDefault="000441B2" w:rsidP="00AD7B8C">
      <w:r>
        <w:separator/>
      </w:r>
    </w:p>
  </w:endnote>
  <w:endnote w:type="continuationSeparator" w:id="0">
    <w:p w14:paraId="495D9CFC" w14:textId="77777777" w:rsidR="000441B2" w:rsidRDefault="000441B2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AEB4EC" w14:textId="77777777" w:rsidR="000441B2" w:rsidRDefault="000441B2" w:rsidP="00AD7B8C">
      <w:r>
        <w:separator/>
      </w:r>
    </w:p>
  </w:footnote>
  <w:footnote w:type="continuationSeparator" w:id="0">
    <w:p w14:paraId="796C53B2" w14:textId="77777777" w:rsidR="000441B2" w:rsidRDefault="000441B2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0441B2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0441B2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1B2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CC7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0C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engzhoubz\Desktop\&#40644;&#39062;&#29747;\1&#26376;\1.4&#40644;&#39062;&#29747;\Bioprocess%20Containers%20&#19968;&#27425;&#24615;&#29983;&#29289;&#21453;&#24212;&#23481;&#22120;\&#35266;&#28857;&#25968;&#25454;&#22270;&#34920;&#27169;&#26495;-&#20840;&#29699;20231017%20&#23454;&#20064;&#21516;&#23398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8" charset="0"/>
              </a:rPr>
              <a:t>全球市场主要企业排名</a:t>
            </a:r>
            <a:endParaRPr lang="en-US" altLang="zh-CN" sz="1050">
              <a:latin typeface="Book Antiqua" panose="02040602050305030304" pitchFamily="18" charset="0"/>
            </a:endParaRPr>
          </a:p>
        </c:rich>
      </c:tx>
      <c:layout>
        <c:manualLayout>
          <c:xMode val="edge"/>
          <c:yMode val="edge"/>
          <c:x val="0.33202077865266844"/>
          <c:y val="3.46320818516983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5408-43EF-A403-E2C37444A409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5408-43EF-A403-E2C37444A409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5408-43EF-A403-E2C37444A409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5408-43EF-A403-E2C37444A409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5408-43EF-A403-E2C37444A409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5408-43EF-A403-E2C37444A409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5408-43EF-A403-E2C37444A409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5408-43EF-A403-E2C37444A409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5408-43EF-A403-E2C37444A409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5408-43EF-A403-E2C37444A409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5408-43EF-A403-E2C37444A409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5408-43EF-A403-E2C37444A409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5408-43EF-A403-E2C37444A409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5408-43EF-A403-E2C37444A409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5408-43EF-A403-E2C37444A409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5408-43EF-A403-E2C37444A409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5408-43EF-A403-E2C37444A409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5408-43EF-A403-E2C37444A409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5408-43EF-A403-E2C37444A409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5408-43EF-A403-E2C37444A409}"/>
              </c:ext>
            </c:extLst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5408-43EF-A403-E2C37444A409}"/>
              </c:ext>
            </c:extLst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5408-43EF-A403-E2C37444A409}"/>
              </c:ext>
            </c:extLst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5408-43EF-A403-E2C37444A409}"/>
              </c:ext>
            </c:extLst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5408-43EF-A403-E2C37444A409}"/>
              </c:ext>
            </c:extLst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5408-43EF-A403-E2C37444A409}"/>
              </c:ext>
            </c:extLst>
          </c:dPt>
          <c:cat>
            <c:strRef>
              <c:f>企业排序!$F$2:$F$19</c:f>
              <c:strCache>
                <c:ptCount val="18"/>
                <c:pt idx="0">
                  <c:v>FlexBiosys</c:v>
                </c:pt>
                <c:pt idx="1">
                  <c:v>Meissner</c:v>
                </c:pt>
                <c:pt idx="2">
                  <c:v>Zhejiang JYSS</c:v>
                </c:pt>
                <c:pt idx="3">
                  <c:v>Celltainer Biotech</c:v>
                </c:pt>
                <c:pt idx="4">
                  <c:v>Parker</c:v>
                </c:pt>
                <c:pt idx="5">
                  <c:v>Lonza</c:v>
                </c:pt>
                <c:pt idx="6">
                  <c:v>SATAKE MultiMix</c:v>
                </c:pt>
                <c:pt idx="7">
                  <c:v>Zacros</c:v>
                </c:pt>
                <c:pt idx="8">
                  <c:v>Shanghai LePure Biotech</c:v>
                </c:pt>
                <c:pt idx="9">
                  <c:v>Pall</c:v>
                </c:pt>
                <c:pt idx="10">
                  <c:v>Saint-Gobain</c:v>
                </c:pt>
                <c:pt idx="11">
                  <c:v>Avantor</c:v>
                </c:pt>
                <c:pt idx="12">
                  <c:v>Corning</c:v>
                </c:pt>
                <c:pt idx="13">
                  <c:v>Merck</c:v>
                </c:pt>
                <c:pt idx="14">
                  <c:v>Entegris</c:v>
                </c:pt>
                <c:pt idx="15">
                  <c:v>Cytiva</c:v>
                </c:pt>
                <c:pt idx="16">
                  <c:v>Thermo Fisher</c:v>
                </c:pt>
                <c:pt idx="17">
                  <c:v>Sartorius Stedim Biotech</c:v>
                </c:pt>
              </c:strCache>
            </c:strRef>
          </c:cat>
          <c:val>
            <c:numRef>
              <c:f>企业排序!$G$2:$G$19</c:f>
              <c:numCache>
                <c:formatCode>#,##0.00_ </c:formatCode>
                <c:ptCount val="18"/>
                <c:pt idx="0">
                  <c:v>15.09</c:v>
                </c:pt>
                <c:pt idx="1">
                  <c:v>18.850000000000001</c:v>
                </c:pt>
                <c:pt idx="2">
                  <c:v>22.79</c:v>
                </c:pt>
                <c:pt idx="3">
                  <c:v>23.99</c:v>
                </c:pt>
                <c:pt idx="4">
                  <c:v>28.42</c:v>
                </c:pt>
                <c:pt idx="5">
                  <c:v>34.06</c:v>
                </c:pt>
                <c:pt idx="6">
                  <c:v>40.549999999999997</c:v>
                </c:pt>
                <c:pt idx="7">
                  <c:v>47.59</c:v>
                </c:pt>
                <c:pt idx="8">
                  <c:v>49.08</c:v>
                </c:pt>
                <c:pt idx="9">
                  <c:v>55.04</c:v>
                </c:pt>
                <c:pt idx="10">
                  <c:v>68.3</c:v>
                </c:pt>
                <c:pt idx="11">
                  <c:v>97.24</c:v>
                </c:pt>
                <c:pt idx="12">
                  <c:v>102.78</c:v>
                </c:pt>
                <c:pt idx="13">
                  <c:v>181.66</c:v>
                </c:pt>
                <c:pt idx="14">
                  <c:v>216.16</c:v>
                </c:pt>
                <c:pt idx="15">
                  <c:v>261.95999999999998</c:v>
                </c:pt>
                <c:pt idx="16">
                  <c:v>448.81</c:v>
                </c:pt>
                <c:pt idx="17">
                  <c:v>630.91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2-5408-43EF-A403-E2C37444A40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C6FADF-54B1-4CAC-A6F9-6FF5C4DBB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3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hengzhoubz</cp:lastModifiedBy>
  <cp:revision>801</cp:revision>
  <dcterms:created xsi:type="dcterms:W3CDTF">2021-11-11T07:47:00Z</dcterms:created>
  <dcterms:modified xsi:type="dcterms:W3CDTF">2024-01-02T06:20:00Z</dcterms:modified>
</cp:coreProperties>
</file>