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</w:rPr>
        <w:t>激光通信终端（LCT）市场分析：</w:t>
      </w:r>
      <w:r>
        <w:rPr>
          <w:rFonts w:hint="eastAsia"/>
          <w:lang w:eastAsia="zh-CN"/>
        </w:rPr>
        <w:t>预计2031年</w:t>
      </w:r>
      <w:r>
        <w:rPr>
          <w:rFonts w:hint="eastAsia"/>
          <w:lang w:val="en-US" w:eastAsia="zh-CN"/>
        </w:rPr>
        <w:t>全球</w:t>
      </w:r>
      <w:r>
        <w:rPr>
          <w:rFonts w:hint="eastAsia"/>
          <w:lang w:eastAsia="zh-CN"/>
        </w:rPr>
        <w:t>市场规模将为29.48亿美元</w:t>
      </w:r>
    </w:p>
    <w:bookmarkEnd w:id="0"/>
    <w:p w14:paraId="026D38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一、行业定义与核心价值</w:t>
      </w:r>
    </w:p>
    <w:p w14:paraId="293C7A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激光通信终端（LCT）是光机电综合系统，以激光为载波实现高速数据传输，融合了无线电通信的抗干扰能力与光纤通信的高带宽特性。其核心优势包括：</w:t>
      </w:r>
    </w:p>
    <w:p w14:paraId="1277E8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技术特性：抗干扰性强、安全性高、通信速率快（可达10Gbps以上）、传输距离远（空天地一体化覆盖）、系统体积小（重量仅为传统设备的1/3）、功耗低（较微波通信降低60%）。</w:t>
      </w:r>
    </w:p>
    <w:p w14:paraId="3F58ED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战略价值：在军事领域支持高保密性通信，在民用领域成为下一代卫星互联网（如星链、虹云工程）的关键基础设施。</w:t>
      </w:r>
      <w:r>
        <w:t>根据</w:t>
      </w:r>
      <w:hyperlink r:id="rId4" w:history="1">
        <w:r>
          <w:rPr>
            <w:rFonts w:hint="eastAsia"/>
          </w:rPr>
          <w:t>QYResearch</w:t>
        </w:r>
      </w:hyperlink>
      <w:r>
        <w:rPr>
          <w:rFonts w:hint="eastAsia"/>
        </w:rPr>
        <w:t>最新调研报告显示，</w:t>
      </w:r>
      <w:r>
        <w:rPr>
          <w:rFonts w:hint="eastAsia"/>
        </w:rPr>
        <w:t>2024年全球LCT市场销售额达2.26亿美元，预计2031年将增至29.48亿美元，2025-2031年复合增长率（CAGR）达45.0%，远超传统通信设备行业平均增速。</w:t>
      </w:r>
    </w:p>
    <w:p w14:paraId="40B1B0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9865" cy="2040890"/>
            <wp:effectExtent l="0" t="0" r="6985" b="16510"/>
            <wp:docPr id="1" name="图片 1" descr="激光通信终端（LCT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激光通信终端（LCT）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040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3516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二、供应链结构与上下游分析</w:t>
      </w:r>
    </w:p>
    <w:p w14:paraId="791F11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上游：核心元器件与材料</w:t>
      </w:r>
    </w:p>
    <w:p w14:paraId="586243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光学组件：激光器（占比成本35%）、探测器、光束控制模块（如快速转向镜）。</w:t>
      </w:r>
    </w:p>
    <w:p w14:paraId="22A223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机电系统：高精度跟瞄平台（精度达微弧度级）、热控模块（适应-100℃至120℃极端环境）。</w:t>
      </w:r>
    </w:p>
    <w:p w14:paraId="341E8D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材料：碳纤维复合材料（减重40%）、低损耗光纤（传输损耗≤0.2dB/km）。</w:t>
      </w:r>
    </w:p>
    <w:p w14:paraId="4F2195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供应链风险：美国对华出口管制涉及高端激光器芯片（如1550nm波长产品），倒逼国内企业（如英田光学、蓝星光域）加速国产替代。</w:t>
      </w:r>
    </w:p>
    <w:p w14:paraId="029A0E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中游：LCT设备制造</w:t>
      </w:r>
    </w:p>
    <w:p w14:paraId="3833BC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产品类型：</w:t>
      </w:r>
    </w:p>
    <w:p w14:paraId="0E7174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太空终端（占比60%）：用于卫星间链路（ISL），支持星地-星间一体化组网。</w:t>
      </w:r>
    </w:p>
    <w:p w14:paraId="723A26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地面终端：服务于移动基站、无人机中继。</w:t>
      </w:r>
    </w:p>
    <w:p w14:paraId="67B3E0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机载终端：应用于高空平台（HAPS）与飞机通信。</w:t>
      </w:r>
    </w:p>
    <w:p w14:paraId="0FBB82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竞争格局：全球前三大厂商（Mynaric AG、TESAT Spacecom、Thales Alenia Space）占据28%市场份额，呈现“头部集中+长尾分散”特征。中国厂商（如航天电子、上光通信）在中低端市场具备成本优势，但在高端市场（如深空通信终端）仍依赖进口。</w:t>
      </w:r>
    </w:p>
    <w:p w14:paraId="02E549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下游：应用场景与需求驱动</w:t>
      </w:r>
    </w:p>
    <w:p w14:paraId="3CFD63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民用领域（占比53%）：</w:t>
      </w:r>
    </w:p>
    <w:p w14:paraId="67A9CF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卫星互联网：SpaceX星链计划部署4.2万颗卫星，需超10万台LCT设备。</w:t>
      </w:r>
    </w:p>
    <w:p w14:paraId="5D535E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5G回传：激光通信可替代光纤实现偏远地区基站互联，降低部署成本30%。</w:t>
      </w:r>
    </w:p>
    <w:p w14:paraId="6F042F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军用领域：</w:t>
      </w:r>
    </w:p>
    <w:p w14:paraId="3CE235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战术通信：美军“黑鹰”直升机已装备LCT，实现抗干扰语音/视频传输。</w:t>
      </w:r>
    </w:p>
    <w:p w14:paraId="31AFF6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导弹制导：激光通信支持高精度目标定位，响应时间缩短至毫秒级。</w:t>
      </w:r>
    </w:p>
    <w:p w14:paraId="73305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三、主要生产商企业分析</w:t>
      </w:r>
    </w:p>
    <w:p w14:paraId="4A8429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企业名称核心优势市场定位</w:t>
      </w:r>
    </w:p>
    <w:p w14:paraId="78E450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Mynaric AG太空终端量产能力（年产能500台）全球卫星互联网龙头供应商</w:t>
      </w:r>
    </w:p>
    <w:p w14:paraId="66A203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TESAT Spacecom抗辐射设计技术（通过ESA认证）欧洲深空探测项目首选</w:t>
      </w:r>
    </w:p>
    <w:p w14:paraId="3E91C8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航天电子国内唯一具备星载LCT批产能力中国航天科工集团核心配套</w:t>
      </w:r>
    </w:p>
    <w:p w14:paraId="33F41D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蓝星光域轻量化设计（终端重量≤15kg）低轨卫星星座低成本方案</w:t>
      </w:r>
    </w:p>
    <w:p w14:paraId="3DAC3B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四、政策环境与贸易壁垒</w:t>
      </w:r>
    </w:p>
    <w:p w14:paraId="4B18A0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美国关税政策冲击</w:t>
      </w:r>
    </w:p>
    <w:p w14:paraId="5FA857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直接影响：中国LCT出口关税从8%升至25%，导致企业利润率压缩12-15个百分点。</w:t>
      </w:r>
    </w:p>
    <w:p w14:paraId="3064C6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间接影响：美国《国际交通军事化法案》（ITAR）限制高端元器件出口，迫使中国厂商转向“区域制造中心+本地化生产”模式（如在东南亚设厂规避关税）。</w:t>
      </w:r>
    </w:p>
    <w:p w14:paraId="20B783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中国政策支持</w:t>
      </w:r>
    </w:p>
    <w:p w14:paraId="3553E6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专项补贴：工信部“十四五”规划对LCT研发投入给予30%税收减免。</w:t>
      </w:r>
    </w:p>
    <w:p w14:paraId="03E304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频谱资源：无线电管理局开放E波段（71-76GHz）用于激光-微波混合组网试验。</w:t>
      </w:r>
    </w:p>
    <w:p w14:paraId="60FAF4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标准制定：中国牵头制定《空间激光通信系统接口规范》，推动国际话语权提升。</w:t>
      </w:r>
    </w:p>
    <w:p w14:paraId="7F9977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五、市场趋势与未来预测</w:t>
      </w:r>
    </w:p>
    <w:p w14:paraId="5EF768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技术趋势</w:t>
      </w:r>
    </w:p>
    <w:p w14:paraId="13231B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小型化：终端体积从立方米级缩小至背包大小（如Skyloom的10kg级产品）。</w:t>
      </w:r>
    </w:p>
    <w:p w14:paraId="702B92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智能化：AI算法优化跟瞄精度（误差≤0.1μrad），适应高速移动场景（如高铁通信）。</w:t>
      </w:r>
    </w:p>
    <w:p w14:paraId="61C280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集成化：光子芯片（PIC）技术将光学、电子模块集成至单芯片，成本降低50%。</w:t>
      </w:r>
    </w:p>
    <w:p w14:paraId="337B08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市场趋势</w:t>
      </w:r>
    </w:p>
    <w:p w14:paraId="563124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区域分化：</w:t>
      </w:r>
    </w:p>
    <w:p w14:paraId="22FE4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北美：受SpaceX、亚马逊柯伊伯项目驱动，2025-2031年CAGR达48%。</w:t>
      </w:r>
    </w:p>
    <w:p w14:paraId="491305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亚太：中国“GW星座”计划发射1.3万颗卫星，带动本土厂商市占率从12%提升至25%。</w:t>
      </w:r>
    </w:p>
    <w:p w14:paraId="1B8352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应用拓展：</w:t>
      </w:r>
    </w:p>
    <w:p w14:paraId="504A14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航空通信：LCT支持空客A350实现机上Wi-Fi速率提升至1Gbps。</w:t>
      </w:r>
    </w:p>
    <w:p w14:paraId="4F7D8F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海洋监测：无人船搭载LCT实现实时数据回传，监测效率提升3倍。</w:t>
      </w:r>
    </w:p>
    <w:p w14:paraId="2091E0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风险与机遇</w:t>
      </w:r>
    </w:p>
    <w:p w14:paraId="66D3A1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风险：</w:t>
      </w:r>
    </w:p>
    <w:p w14:paraId="5D7AE4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技术封锁：美国可能扩大对华出口管制范围（如碳化硅衬底材料）。</w:t>
      </w:r>
    </w:p>
    <w:p w14:paraId="7F2C45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价格战：低轨卫星星座建设导致LCT单价从50万美元降至10万美元以下。</w:t>
      </w:r>
    </w:p>
    <w:p w14:paraId="742772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机遇：</w:t>
      </w:r>
    </w:p>
    <w:p w14:paraId="648CB1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“一带一路”合作：与中东国家共建卫星通信网络，分享200亿美元市场蛋糕。</w:t>
      </w:r>
    </w:p>
    <w:p w14:paraId="2EC22A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数字贸易规则：RCEP框架下推动LCT数据跨境流动标准化，降低合规成本。</w:t>
      </w:r>
    </w:p>
    <w:p w14:paraId="485E17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六、投资决策建议</w:t>
      </w:r>
    </w:p>
    <w:p w14:paraId="568029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短期（1-3年）：关注具备本地化生产能力的企业（如航天电子在马来西亚建厂），规避贸易风险。</w:t>
      </w:r>
    </w:p>
    <w:p w14:paraId="0CBC7C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中期（3-5年）：布局掌握光子芯片技术的初创公司（如Fibertek的硅基激光器项目），抢占技术制高点。</w:t>
      </w:r>
    </w:p>
    <w:p w14:paraId="633039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长期（5年以上）：押注星间链路市场，参与全球卫星互联网基建（如合作开发深空通信终端）。</w:t>
      </w:r>
    </w:p>
    <w:p w14:paraId="62F1CA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结语：在全球贸易规则重构与技术迭代加速的背景下，激光通信终端行业正经历从“成本竞争”向“技术-品牌-生态”三重驱动的转型。中国厂商需以“合规突围+生态共建”为策略，在2030年前实现全球市场份额从8%提升至20%，成为行业规则的重要制定者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2025年全球激光通信终端（LCT）行业总体规模、主要企业国内外市场占有率及排名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激光通信终端（LCT）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C1D71F6"/>
    <w:rsid w:val="1FC91240"/>
    <w:rsid w:val="24F92E4A"/>
    <w:rsid w:val="2A4A643E"/>
    <w:rsid w:val="2B894016"/>
    <w:rsid w:val="2E9C18AA"/>
    <w:rsid w:val="30F56177"/>
    <w:rsid w:val="3147093D"/>
    <w:rsid w:val="3C4B6CC9"/>
    <w:rsid w:val="4BE4107A"/>
    <w:rsid w:val="58310F7D"/>
    <w:rsid w:val="5E7009C1"/>
    <w:rsid w:val="797510D6"/>
    <w:rsid w:val="7D2B0999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www.qyresearch.com.cn/report-categories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s://www.qyresearch.com.cn/reports/5594477/laser-communications-terminals--lcts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2025-08-25T07:06:40Z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