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sz w:val="24"/>
          <w:szCs w:val="24"/>
        </w:rPr>
        <mc:AlternateContent>
          <mc:Choice Requires="wps">
            <w:drawing>
              <wp:anchor distT="0" distB="0" distL="114300" distR="114300" simplePos="0" relativeHeight="251660288" behindDoc="0" locked="0" layoutInCell="1" allowOverlap="1">
                <wp:simplePos x="0" y="0"/>
                <wp:positionH relativeFrom="column">
                  <wp:posOffset>631190</wp:posOffset>
                </wp:positionH>
                <wp:positionV relativeFrom="paragraph">
                  <wp:posOffset>6804025</wp:posOffset>
                </wp:positionV>
                <wp:extent cx="3763010" cy="76200"/>
                <wp:effectExtent l="12700" t="12700" r="15240" b="25400"/>
                <wp:wrapNone/>
                <wp:docPr id="23" name="圆角矩形 23"/>
                <wp:cNvGraphicFramePr/>
                <a:graphic xmlns:a="http://schemas.openxmlformats.org/drawingml/2006/main">
                  <a:graphicData uri="http://schemas.microsoft.com/office/word/2010/wordprocessingShape">
                    <wps:wsp>
                      <wps:cNvSpPr/>
                      <wps:spPr>
                        <a:xfrm flipV="1">
                          <a:off x="0" y="0"/>
                          <a:ext cx="3763010"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flip:y;margin-left:49.7pt;margin-top:535.75pt;height:6pt;width:296.3pt;z-index:251660288;v-text-anchor:middle;mso-width-relative:page;mso-height-relative:page;" fillcolor="#4F81BD [3204]" filled="t" stroked="t" coordsize="21600,21600" arcsize="0.5" o:gfxdata="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Vl4TC9UAAAAKAQAADwAAAAAAAAABACAAAAAiAAAAZHJzL2Rvd25yZXYueG1s&#10;UEsBAhQAFAAAAAgAh07iQBPRmRSmAgAASwUAAA4AAAAAAAAAAQAgAAAAJAEAAGRycy9lMm9Eb2Mu&#10;eG1sUEsFBgAAAAAGAAYAWQEAADwGAAAAAA==&#10;">
                <v:fill on="t" focussize="0,0"/>
                <v:stroke weight="2pt" color="#385D8A [3204]" joinstyle="round"/>
                <v:imagedata o:title=""/>
                <o:lock v:ext="edit" aspectratio="f"/>
                <v:textbox>
                  <w:txbxContent>
                    <w:p>
                      <w:pPr>
                        <w:jc w:val="center"/>
                      </w:pPr>
                    </w:p>
                  </w:txbxContent>
                </v:textbox>
              </v:roundrect>
            </w:pict>
          </mc:Fallback>
        </mc:AlternateContent>
      </w:r>
      <w:r>
        <w:rPr>
          <w:rStyle w:val="13"/>
          <w:sz w:val="24"/>
          <w:szCs w:val="24"/>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5850255</wp:posOffset>
                </wp:positionV>
                <wp:extent cx="5786755" cy="14027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5786755" cy="1402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80" w:lineRule="auto"/>
                              <w:jc w:val="left"/>
                              <w:rPr>
                                <w:rFonts w:hint="eastAsia"/>
                                <w:b/>
                                <w:bCs/>
                                <w:color w:val="254061" w:themeColor="accent1" w:themeShade="80"/>
                                <w:sz w:val="40"/>
                                <w:szCs w:val="40"/>
                              </w:rPr>
                            </w:pPr>
                            <w:r>
                              <w:rPr>
                                <w:rFonts w:hint="eastAsia"/>
                                <w:b/>
                                <w:bCs/>
                                <w:color w:val="254061" w:themeColor="accent1" w:themeShade="80"/>
                                <w:sz w:val="40"/>
                                <w:szCs w:val="40"/>
                              </w:rPr>
                              <w:t>市场调查报告、市场研究报告、可行性研究</w:t>
                            </w:r>
                          </w:p>
                          <w:p>
                            <w:pPr>
                              <w:spacing w:line="480" w:lineRule="auto"/>
                              <w:ind w:firstLine="1205" w:firstLineChars="300"/>
                              <w:jc w:val="left"/>
                              <w:rPr>
                                <w:rFonts w:hint="default"/>
                                <w:b/>
                                <w:bCs/>
                                <w:color w:val="254061" w:themeColor="accent1" w:themeShade="80"/>
                                <w:sz w:val="40"/>
                                <w:szCs w:val="40"/>
                                <w:lang w:val="en-US" w:eastAsia="zh-CN"/>
                              </w:rPr>
                            </w:pPr>
                            <w:r>
                              <w:rPr>
                                <w:rFonts w:hint="eastAsia"/>
                                <w:b/>
                                <w:bCs/>
                                <w:color w:val="254061" w:themeColor="accent1" w:themeShade="80"/>
                                <w:sz w:val="40"/>
                                <w:szCs w:val="40"/>
                              </w:rPr>
                              <w:t>专注为企业提供细分数据分析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75pt;margin-top:460.65pt;height:110.45pt;width:455.65pt;z-index:251659264;mso-width-relative:page;mso-height-relative:page;" filled="f" stroked="f" coordsize="21600,21600" o:gfxdata="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Zn99z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480" w:lineRule="auto"/>
                        <w:jc w:val="left"/>
                        <w:rPr>
                          <w:rFonts w:hint="eastAsia"/>
                          <w:b/>
                          <w:bCs/>
                          <w:color w:val="254061" w:themeColor="accent1" w:themeShade="80"/>
                          <w:sz w:val="40"/>
                          <w:szCs w:val="40"/>
                        </w:rPr>
                      </w:pPr>
                      <w:r>
                        <w:rPr>
                          <w:rFonts w:hint="eastAsia"/>
                          <w:b/>
                          <w:bCs/>
                          <w:color w:val="254061" w:themeColor="accent1" w:themeShade="80"/>
                          <w:sz w:val="40"/>
                          <w:szCs w:val="40"/>
                        </w:rPr>
                        <w:t>市场调查报告、市场研究报告、可行性研究</w:t>
                      </w:r>
                    </w:p>
                    <w:p>
                      <w:pPr>
                        <w:spacing w:line="480" w:lineRule="auto"/>
                        <w:ind w:firstLine="1205" w:firstLineChars="300"/>
                        <w:jc w:val="left"/>
                        <w:rPr>
                          <w:rFonts w:hint="default"/>
                          <w:b/>
                          <w:bCs/>
                          <w:color w:val="254061" w:themeColor="accent1" w:themeShade="80"/>
                          <w:sz w:val="40"/>
                          <w:szCs w:val="40"/>
                          <w:lang w:val="en-US" w:eastAsia="zh-CN"/>
                        </w:rPr>
                      </w:pPr>
                      <w:r>
                        <w:rPr>
                          <w:rFonts w:hint="eastAsia"/>
                          <w:b/>
                          <w:bCs/>
                          <w:color w:val="254061" w:themeColor="accent1" w:themeShade="80"/>
                          <w:sz w:val="40"/>
                          <w:szCs w:val="40"/>
                        </w:rPr>
                        <w:t>专注为企业提供细分数据分析</w:t>
                      </w:r>
                    </w:p>
                  </w:txbxContent>
                </v:textbox>
              </v:shape>
            </w:pict>
          </mc:Fallback>
        </mc:AlternateContent>
      </w:r>
      <w:bookmarkStart w:id="12" w:name="_GoBack"/>
      <w:bookmarkEnd w:id="12"/>
      <w:r>
        <w:rPr>
          <w:rStyle w:val="13"/>
          <w:sz w:val="24"/>
          <w:szCs w:val="24"/>
        </w:rPr>
        <mc:AlternateContent>
          <mc:Choice Requires="wps">
            <w:drawing>
              <wp:anchor distT="0" distB="0" distL="114300" distR="114300" simplePos="0" relativeHeight="251663360" behindDoc="0" locked="0" layoutInCell="1" allowOverlap="1">
                <wp:simplePos x="0" y="0"/>
                <wp:positionH relativeFrom="column">
                  <wp:posOffset>-466090</wp:posOffset>
                </wp:positionH>
                <wp:positionV relativeFrom="paragraph">
                  <wp:posOffset>2411730</wp:posOffset>
                </wp:positionV>
                <wp:extent cx="5970905" cy="2321560"/>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5970905" cy="23215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b/>
                                <w:bCs w:val="0"/>
                                <w:sz w:val="72"/>
                                <w:szCs w:val="72"/>
                                <w:lang w:val="en-US" w:eastAsia="zh-CN"/>
                              </w:rPr>
                            </w:pPr>
                            <w:r>
                              <w:rPr>
                                <w:rFonts w:hint="eastAsia" w:ascii="宋体" w:hAnsi="宋体" w:eastAsia="宋体" w:cs="宋体"/>
                                <w:b/>
                                <w:bCs w:val="0"/>
                                <w:sz w:val="72"/>
                                <w:szCs w:val="72"/>
                                <w:lang w:val="en-US" w:eastAsia="zh-CN"/>
                              </w:rPr>
                              <w:t>2022-2028全球与中国彩色光纤激光打标机市场现状及未来发展趋势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6.7pt;margin-top:189.9pt;height:182.8pt;width:470.15pt;z-index:251663360;mso-width-relative:page;mso-height-relative:page;" filled="f" stroked="f" coordsize="21600,21600" o:gfxdata="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AXM0fXdAAAACwEA&#10;AA8AAAAAAAAAAQAgAAAAIgAAAGRycy9kb3ducmV2LnhtbFBLAQIUABQAAAAIAIdO4kChB5eghwIA&#10;ANwEAAAOAAAAAAAAAAEAIAAAACwBAABkcnMvZTJvRG9jLnhtbFBLBQYAAAAABgAGAFkBAAAlBgAA&#10;AAA=&#10;">
                <v:fill on="f" focussize="0,0"/>
                <v:stroke on="f" weight="0.5pt"/>
                <v:imagedata o:title=""/>
                <o:lock v:ext="edit" aspectratio="f"/>
                <v:textbox>
                  <w:txbxContent>
                    <w:p>
                      <w:pPr>
                        <w:rPr>
                          <w:rFonts w:hint="eastAsia" w:ascii="宋体" w:hAnsi="宋体" w:eastAsia="宋体" w:cs="宋体"/>
                          <w:b/>
                          <w:bCs w:val="0"/>
                          <w:sz w:val="72"/>
                          <w:szCs w:val="72"/>
                          <w:lang w:val="en-US" w:eastAsia="zh-CN"/>
                        </w:rPr>
                      </w:pPr>
                      <w:r>
                        <w:rPr>
                          <w:rFonts w:hint="eastAsia" w:ascii="宋体" w:hAnsi="宋体" w:eastAsia="宋体" w:cs="宋体"/>
                          <w:b/>
                          <w:bCs w:val="0"/>
                          <w:sz w:val="72"/>
                          <w:szCs w:val="72"/>
                          <w:lang w:val="en-US" w:eastAsia="zh-CN"/>
                        </w:rPr>
                        <w:t>2022-2028全球与中国彩色光纤激光打标机市场现状及未来发展趋势</w:t>
                      </w:r>
                    </w:p>
                  </w:txbxContent>
                </v:textbox>
              </v:shape>
            </w:pict>
          </mc:Fallback>
        </mc:AlternateContent>
      </w:r>
      <w:r>
        <w:rPr>
          <w:rStyle w:val="13"/>
          <w:rFonts w:hint="eastAsia"/>
          <w:sz w:val="24"/>
          <w:szCs w:val="24"/>
          <w:lang w:eastAsia="zh-CN"/>
        </w:rPr>
        <w:drawing>
          <wp:inline distT="0" distB="0" distL="114300" distR="114300">
            <wp:extent cx="1932305" cy="923925"/>
            <wp:effectExtent l="0" t="0" r="10795" b="952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932305" cy="923925"/>
                    </a:xfrm>
                    <a:prstGeom prst="rect">
                      <a:avLst/>
                    </a:prstGeom>
                  </pic:spPr>
                </pic:pic>
              </a:graphicData>
            </a:graphic>
          </wp:inline>
        </w:drawing>
      </w:r>
      <w:r>
        <w:rPr>
          <w:rStyle w:val="13"/>
          <w:sz w:val="24"/>
          <w:szCs w:val="24"/>
        </w:rPr>
        <mc:AlternateContent>
          <mc:Choice Requires="wpg">
            <w:drawing>
              <wp:anchor distT="0" distB="0" distL="114300" distR="114300" simplePos="0" relativeHeight="251665408"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5408;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g">
            <w:drawing>
              <wp:anchor distT="0" distB="0" distL="114300" distR="114300" simplePos="0" relativeHeight="251664384"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4384;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2021年全球彩色光纤激光打标机市场销售额达到了0.2亿美元，预计2028年将达到0.3亿美元，年复合增长率（CAGR）为5.8%（2022-2028）。地区层面来看，中国市场在过去几年变化较快，2021年市场规模为 百万美元，约占全球的 %，预计2028年将达到 百万美元，届时全球占比将达到 %。</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全球彩色光纤激光打标机（Color Fiber Laser Marking Machine）主要厂商包括伟迪捷、卓泰克、大族激光和Silasers等，核心厂商主要分布在美国和欧洲，全球五大公司占据了超过70%的份额。就产品功率而言，20W-50W打标机占据主导地位，占有大约60%的市场份额。地区方面，欧洲是第一大市场，占有大约36%的市场份额，之后是美洲和亚太地区，分布占有28%和24%的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报告研究全球与中国市场彩色光纤激光打标机的产能、产量、销量、销售额、价格及未来趋势。重点分析全球与中国市场的主要厂商产品特点、产品规格、价格、销量、销售收入及全球和中国市场主要生产商的市场份额。历史数据为2017至2021年，预测数据为2022至2028年。</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主要生产商包括：</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伟迪捷</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卓泰克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大族激光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Silasers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武汉中光谷激光设备</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东莞迈创机电科技</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FOBA</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天弘激光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GT SCHMIDT</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MetaQuip</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凯旋激光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DIHORSE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济南优本机械设备</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武汉骏创工业设备</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按照不同功率类型，包括如下几个类别：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小于20W</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20-50W</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大于50W</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按照不同应用，主要包括如下几个方面：</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五金电子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工艺品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消费品/日用器皿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其他</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重点关注如下几个地区: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北美</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欧洲</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中国</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本文正文共10章，各章节主要内容如下：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第1章：报告统计范围、产品细分及主要的下游市场，行业背景、发展历史、现状及趋势等）；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第2章：全球总体规模（产能、产量、销量、需求量、销售收入等数据，2017-2028年）；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第3章：全球范围内彩色光纤激光打标机主要厂商竞争分析，主要包括彩色光纤激光打标机产能、产量、销量、收入、市场份额、价格、产地及行业集中度分析；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第4章：全球彩色光纤激光打标机主要地区分析，包括销量、销售收入等；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第5章：全球彩色光纤激光打标机主要厂商基本情况介绍，包括公司简介、彩色光纤激光打标机产品型号、销量、收入、价格及最新动态等；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第6章：全球不同功率类型彩色光纤激光打标机销量、收入、价格及份额等；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第7章：全球不同应用彩色光纤激光打标机销量、收入、价格及份额等；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第8章：产业链、上下游分析、销售渠道分析等；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第9章：行业动态、增长驱动因素、发展机遇、有利因素、不利及阻碍因素、行业政策等；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第10章：报告结论。</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正文目录</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 彩色光纤激光打标机市场概述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 产品定义及统计范围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 按照不同功率类型，彩色光纤激光打标机主要可以分为如下几个类别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1.2.1 不同功率类型彩色光纤激光打标机销售额增长趋势2017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1.2.2 小于20W</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1.2.3 20-50W</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1.2.4 大于50W</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 从不同应用，彩色光纤激光打标机主要包括如下几个方面</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1.3.1 不同应用彩色光纤激光打标机销售额增长趋势2017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1.3.1 五金电子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1.3.2 工艺品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1.3.3 消费品/日用器皿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1.3.4 其他</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 彩色光纤激光打标机行业背景、发展历史、现状及趋势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1.4.1 彩色光纤激光打标机行业目前现状分析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1.4.2 彩色光纤激光打标机发展趋势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2 全球彩色光纤激光打标机总体规模分析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 全球彩色光纤激光打标机供需现状及预测（2017-2028）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2.1.1 全球彩色光纤激光打标机产能、产量、产能利用率及发展趋势（2017-2028）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2.1.2 全球彩色光纤激光打标机产量、需求量及发展趋势（2017-2028）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2.1.3 全球主要地区彩色光纤激光打标机产量及发展趋势（2017-2028）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 中国彩色光纤激光打标机供需现状及预测（2017-2028）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2.2.1 中国彩色光纤激光打标机产能、产量、产能利用率及发展趋势（2017-2028）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2.2.2 中国彩色光纤激光打标机产量、市场需求量及发展趋势（2017-2028）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 全球彩色光纤激光打标机销量及销售额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2.3.1 全球市场彩色光纤激光打标机销售额（2017-2028）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2.3.2 全球市场彩色光纤激光打标机销量（2017-2028）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2.3.3 全球市场彩色光纤激光打标机价格趋势（2017-2028）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3 全球与中国主要厂商市场份额分析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 全球市场主要厂商彩色光纤激光打标机产能市场份额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 全球市场主要厂商彩色光纤激光打标机销量（2017-2022）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3.2.1 全球市场主要厂商彩色光纤激光打标机销量（2017-2022）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3.2.2 全球市场主要厂商彩色光纤激光打标机销售收入（2017-2022）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3.2.3 全球市场主要厂商彩色光纤激光打标机销售价格（2017-2022）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3.2.4 2021年全球主要生产商彩色光纤激光打标机收入排名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 中国市场主要厂商彩色光纤激光打标机销量（2017-2022）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3.3.1 中国市场主要厂商彩色光纤激光打标机销量（2017-2022）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3.3.2 中国市场主要厂商彩色光纤激光打标机销售收入（2017-2022）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3.3.3 中国市场主要厂商彩色光纤激光打标机销售价格（2017-2022）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3.3.4 2021年中国主要生产商彩色光纤激光打标机收入排名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3.4 全球主要厂商彩色光纤激光打标机产地分布及商业化日期</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3.5 全球主要厂商彩色光纤激光打标机产品类型列表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 彩色光纤激光打标机行业集中度、竞争程度分析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3.6.1 彩色光纤激光打标机行业集中度分析：2021全球Top 5生产商市场份额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3.6.2 全球彩色光纤激光打标机第一梯队、第二梯队和第三梯队生产商（品牌）及市场份额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3.7 新增投资及市场并购活动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4 全球彩色光纤激光打标机主要地区分析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 全球主要地区彩色光纤激光打标机市场规模分析：2017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 全球主要地区彩色光纤激光打标机销售收入及市场份额（2017-2022年）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 全球主要地区彩色光纤激光打标机销售收入预测（2023-2028年）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 全球主要地区彩色光纤激光打标机销量分析：2017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4.2.1 全球主要地区彩色光纤激光打标机销量及市场份额（2017-2022年）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4.2.2 全球主要地区彩色光纤激光打标机销量及市场份额预测（2023-2028）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4.3 北美市场彩色光纤激光打标机销量、收入及增长率（2017-2028）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4.4 欧洲市场彩色光纤激光打标机销量、收入及增长率（2017-2028）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 中国市场彩色光纤激光打标机销量、收入及增长率（2017-2028）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5 全球彩色光纤激光打标机主要生产商分析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 伟迪捷</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 伟迪捷基本信息、彩色光纤激光打标机生产基地、销售区域、竞争对手及市场地位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 伟迪捷彩色光纤激光打标机产品规格、参数及市场应用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 伟迪捷彩色光纤激光打标机销量、收入、价格及毛利率（2017-2022）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5.1.4 伟迪捷公司简介及主要业务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5.1.5 伟迪捷企业最新动态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 卓泰克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5.2.1 卓泰克基本信息、彩色光纤激光打标机生产基地、销售区域、竞争对手及市场地位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5.2.2 卓泰克彩色光纤激光打标机产品规格、参数及市场应用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5.2.3 卓泰克彩色光纤激光打标机销量、收入、价格及毛利率（2017-2022）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5.2.4 卓泰克公司简介及主要业务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5.2.5 卓泰克企业最新动态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 大族激光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5.3.1 大族激光基本信息、彩色光纤激光打标机生产基地、销售区域、竞争对手及市场地位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5.3.2 大族激光彩色光纤激光打标机产品规格、参数及市场应用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5.3.3 大族激光彩色光纤激光打标机销量、收入、价格及毛利率（2017-2022）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5.3.4 大族激光公司简介及主要业务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5.3.5 大族激光企业最新动态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 Silasers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5.4.1 Silasers基本信息、彩色光纤激光打标机生产基地、销售区域、竞争对手及市场地位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5.4.2 Silasers彩色光纤激光打标机产品规格、参数及市场应用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5.4.3 Silasers彩色光纤激光打标机销量、收入、价格及毛利率（2017-2022）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5.4.4 Silasers公司简介及主要业务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5.4.5 Silasers企业最新动态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 武汉中光谷激光设备</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5.5.1 武汉中光谷激光设备基本信息、彩色光纤激光打标机生产基地、销售区域、竞争对手及市场地位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5.5.2 武汉中光谷激光设备彩色光纤激光打标机产品规格、参数及市场应用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5.5.3 武汉中光谷激光设备彩色光纤激光打标机销量、收入、价格及毛利率（2017-2022）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5.5.4 武汉中光谷激光设备公司简介及主要业务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5.5.5 武汉中光谷激光设备企业最新动态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 东莞迈创机电科技</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5.6.1 东莞迈创机电科技基本信息、彩色光纤激光打标机生产基地、销售区域、竞争对手及市场地位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5.6.2 东莞迈创机电科技彩色光纤激光打标机产品规格、参数及市场应用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5.6.3 东莞迈创机电科技彩色光纤激光打标机销量、收入、价格及毛利率（2017-2022）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5.6.4 东莞迈创机电科技公司简介及主要业务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5.6.5 东莞迈创机电科技企业最新动态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 FOBA</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5.7.1 FOBA基本信息、彩色光纤激光打标机生产基地、销售区域、竞争对手及市场地位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5.7.2 FOBA彩色光纤激光打标机产品规格、参数及市场应用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5.7.3 FOBA彩色光纤激光打标机销量、收入、价格及毛利率（2017-2022）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5.7.4 FOBA公司简介及主要业务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5.7.5 FOBA企业最新动态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 天弘激光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5.8.1 天弘激光基本信息、彩色光纤激光打标机生产基地、销售区域、竞争对手及市场地位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5.8.2 天弘激光彩色光纤激光打标机产品规格、参数及市场应用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5.8.3 天弘激光彩色光纤激光打标机销量、收入、价格及毛利率（2017-2022）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5.8.4 天弘激光公司简介及主要业务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5.8.5 天弘激光企业最新动态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 GT SCHMIDT</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5.9.1 GT SCHMIDT基本信息、彩色光纤激光打标机生产基地、销售区域、竞争对手及市场地位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5.9.2 GT SCHMIDT彩色光纤激光打标机产品规格、参数及市场应用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5.9.3 GT SCHMIDT彩色光纤激光打标机销量、收入、价格及毛利率（2017-2022）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5.9.4 GT SCHMIDT公司简介及主要业务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5.9.5 GT SCHMIDT企业最新动态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 MetaQuip</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5.10.1 MetaQuip基本信息、彩色光纤激光打标机生产基地、销售区域、竞争对手及市场地位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5.10.2 MetaQuip彩色光纤激光打标机产品规格、参数及市场应用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5.10.3 MetaQuip彩色光纤激光打标机销量、收入、价格及毛利率（2017-2022）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5.10.4 MetaQuip公司简介及主要业务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5.10.5 MetaQuip企业最新动态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 凯旋激光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5.11.1 凯旋激光基本信息、彩色光纤激光打标机生产基地、销售区域、竞争对手及市场地位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5.11.2 凯旋激光彩色光纤激光打标机产品规格、参数及市场应用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5.11.3 凯旋激光彩色光纤激光打标机销量、收入、价格及毛利率（2017-2022）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5.11.4 凯旋激光公司简介及主要业务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5.11.5 凯旋激光企业最新动态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 DIHORSE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5.12.1 DIHORSE基本信息、彩色光纤激光打标机生产基地、销售区域、竞争对手及市场地位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5.12.2 DIHORSE彩色光纤激光打标机产品规格、参数及市场应用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5.12.3 DIHORSE彩色光纤激光打标机销量、收入、价格及毛利率（2017-2022）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5.12.4 DIHORSE公司简介及主要业务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5.12.5 DIHORSE企业最新动态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 济南优本机械设备</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5.13.1 济南优本机械设备基本信息、彩色光纤激光打标机生产基地、销售区域、竞争对手及市场地位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5.13.2 济南优本机械设备彩色光纤激光打标机产品规格、参数及市场应用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5.13.3 济南优本机械设备彩色光纤激光打标机销量、收入、价格及毛利率（2017-2022）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5.13.4 济南优本机械设备公司简介及主要业务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5.13.5 济南优本机械设备企业最新动态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5.14 武汉骏创工业设备</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5.14.1 武汉骏创工业设备基本信息、彩色光纤激光打标机生产基地、销售区域、竞争对手及市场地位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5.14.2 武汉骏创工业设备彩色光纤激光打标机产品规格、参数及市场应用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5.14.3 武汉骏创工业设备彩色光纤激光打标机销量、收入、价格及毛利率（2017-2022）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5.14.4 武汉骏创工业设备公司简介及主要业务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5.14.5 武汉骏创工业设备企业最新动态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6 不同功率类型彩色光纤激光打标机分析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 全球不同功率类型彩色光纤激光打标机销量（2017-2028）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6.1.1 全球不同功率类型彩色光纤激光打标机销量及市场份额（2017-2022）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6.1.2 全球不同功率类型彩色光纤激光打标机销量预测（2023-2028）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 全球不同功率类型彩色光纤激光打标机收入（2017-2028）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6.2.1 全球不同功率类型彩色光纤激光打标机收入及市场份额（2017-2022）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6.2.2 全球不同功率类型彩色光纤激光打标机收入预测（2023-2028）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6.3 全球不同功率类型彩色光纤激光打标机价格走势（2017-2028）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7 不同应用彩色光纤激光打标机分析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7.1 全球不同应用彩色光纤激光打标机销量（2017-2028）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7.1.1 全球不同应用彩色光纤激光打标机销量及市场份额（2017-2022）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7.1.2 全球不同应用彩色光纤激光打标机销量预测（2023-2028）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7.2 全球不同应用彩色光纤激光打标机收入（2017-2028）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7.2.1 全球不同应用彩色光纤激光打标机收入及市场份额（2017-2022）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7.2.2 全球不同应用彩色光纤激光打标机收入预测（2023-2028）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7.3 全球不同应用彩色光纤激光打标机价格走势（2017-2028）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8 上游原料及下游市场分析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8.1 彩色光纤激光打标机产业链分析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 彩色光纤激光打标机产业上游供应分析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8.2.1 上游原料供给状况</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8.2.2 原料供应商及联系方式</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8.3 彩色光纤激光打标机下游典型客户</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8.4 彩色光纤激光打标机销售渠道分析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9 行业发展机遇和风险分析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 彩色光纤激光打标机行业发展机遇及主要驱动因素</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 彩色光纤激光打标机行业发展面临的风险</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 彩色光纤激光打标机行业政策分析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 彩色光纤激光打标机中国企业SWOT分析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10 研究成果及结论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11 附录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11.1 研究方法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 数据来源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11.2.1 二手信息来源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11.2.2 一手信息来源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11.3 数据交互验证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11.4 免责声明</w:t>
      </w:r>
    </w:p>
    <w:p>
      <w:pPr>
        <w:widowControl/>
        <w:jc w:val="left"/>
        <w:rPr>
          <w:rStyle w:val="13"/>
          <w:rFonts w:hint="eastAsia"/>
          <w:b w:val="0"/>
          <w:bCs w:val="0"/>
          <w:sz w:val="24"/>
          <w:szCs w:val="24"/>
          <w:lang w:val="en-US" w:eastAsia="zh-CN"/>
        </w:rPr>
      </w:pPr>
    </w:p>
    <w:p>
      <w:pPr>
        <w:widowControl/>
        <w:ind w:firstLine="480"/>
        <w:jc w:val="left"/>
        <w:rPr>
          <w:rStyle w:val="13"/>
          <w:rFonts w:hint="eastAsia"/>
          <w:b w:val="0"/>
          <w:bCs w:val="0"/>
          <w:sz w:val="24"/>
          <w:szCs w:val="24"/>
          <w:lang w:val="en-US" w:eastAsia="zh-CN"/>
        </w:rPr>
      </w:pPr>
    </w:p>
    <w:p>
      <w:pPr>
        <w:widowControl/>
        <w:jc w:val="left"/>
        <w:rPr>
          <w:rStyle w:val="13"/>
          <w:rFonts w:hint="eastAsia"/>
          <w:b/>
          <w:bCs/>
          <w:sz w:val="24"/>
          <w:szCs w:val="24"/>
          <w:lang w:val="en-US" w:eastAsia="zh-CN"/>
        </w:rPr>
      </w:pPr>
    </w:p>
    <w:p>
      <w:pPr>
        <w:widowControl/>
        <w:jc w:val="left"/>
        <w:rPr>
          <w:rStyle w:val="13"/>
          <w:rFonts w:hint="eastAsia"/>
          <w:b/>
          <w:bCs/>
          <w:sz w:val="24"/>
          <w:szCs w:val="24"/>
        </w:rPr>
      </w:pPr>
      <w:r>
        <w:rPr>
          <w:rStyle w:val="13"/>
          <w:rFonts w:hint="eastAsia"/>
          <w:b/>
          <w:bCs/>
          <w:sz w:val="24"/>
          <w:szCs w:val="24"/>
          <w:lang w:val="en-US" w:eastAsia="zh-CN"/>
        </w:rPr>
        <w:t>注：本文为报告目录展示，</w:t>
      </w:r>
      <w:r>
        <w:rPr>
          <w:rStyle w:val="13"/>
          <w:rFonts w:hint="eastAsia" w:eastAsiaTheme="minorEastAsia"/>
          <w:b/>
          <w:bCs/>
          <w:sz w:val="24"/>
          <w:szCs w:val="24"/>
          <w:lang w:eastAsia="zh-CN"/>
        </w:rPr>
        <w:t>详细内容请参考</w:t>
      </w:r>
      <w:r>
        <w:rPr>
          <w:rStyle w:val="13"/>
          <w:rFonts w:hint="eastAsia"/>
          <w:b/>
          <w:bCs/>
          <w:sz w:val="24"/>
          <w:szCs w:val="24"/>
          <w:lang w:val="en-US" w:eastAsia="zh-CN"/>
        </w:rPr>
        <w:t>恒州博智出版的</w:t>
      </w:r>
      <w:r>
        <w:rPr>
          <w:rStyle w:val="13"/>
          <w:rFonts w:hint="eastAsia" w:eastAsiaTheme="minorEastAsia"/>
          <w:b/>
          <w:bCs/>
          <w:sz w:val="24"/>
          <w:szCs w:val="24"/>
          <w:lang w:eastAsia="zh-CN"/>
        </w:rPr>
        <w:t>完整</w:t>
      </w:r>
      <w:r>
        <w:rPr>
          <w:rStyle w:val="13"/>
          <w:rFonts w:hint="eastAsia"/>
          <w:b/>
          <w:bCs/>
          <w:sz w:val="24"/>
          <w:szCs w:val="24"/>
          <w:lang w:val="en-US" w:eastAsia="zh-CN"/>
        </w:rPr>
        <w:t>版行业</w:t>
      </w:r>
      <w:r>
        <w:rPr>
          <w:rStyle w:val="13"/>
          <w:rFonts w:hint="eastAsia" w:eastAsiaTheme="minorEastAsia"/>
          <w:b/>
          <w:bCs/>
          <w:sz w:val="24"/>
          <w:szCs w:val="24"/>
          <w:lang w:eastAsia="zh-CN"/>
        </w:rPr>
        <w:t>报告，</w:t>
      </w:r>
      <w:r>
        <w:rPr>
          <w:rStyle w:val="13"/>
          <w:rFonts w:hint="eastAsia"/>
          <w:b/>
          <w:bCs/>
          <w:sz w:val="24"/>
          <w:szCs w:val="24"/>
          <w:lang w:val="en-US" w:eastAsia="zh-CN"/>
        </w:rPr>
        <w:t>如需</w:t>
      </w:r>
      <w:r>
        <w:rPr>
          <w:rStyle w:val="13"/>
          <w:rFonts w:hint="eastAsia" w:eastAsiaTheme="minorEastAsia"/>
          <w:b/>
          <w:bCs/>
          <w:sz w:val="24"/>
          <w:szCs w:val="24"/>
          <w:lang w:eastAsia="zh-CN"/>
        </w:rPr>
        <w:t>报告样本联系</w:t>
      </w:r>
      <w:r>
        <w:rPr>
          <w:rStyle w:val="13"/>
          <w:rFonts w:hint="eastAsia"/>
          <w:b/>
          <w:bCs/>
          <w:sz w:val="24"/>
          <w:szCs w:val="24"/>
          <w:lang w:val="en-US" w:eastAsia="zh-CN"/>
        </w:rPr>
        <w:t>我们或登陆官网申请</w:t>
      </w:r>
      <w:r>
        <w:rPr>
          <w:rStyle w:val="13"/>
          <w:rFonts w:hint="eastAsia" w:eastAsiaTheme="minorEastAsia"/>
          <w:b/>
          <w:bCs/>
          <w:sz w:val="24"/>
          <w:szCs w:val="24"/>
          <w:lang w:eastAsia="zh-CN"/>
        </w:rPr>
        <w:t>。著作权归作者所有。</w:t>
      </w:r>
    </w:p>
    <w:p>
      <w:pPr>
        <w:pStyle w:val="17"/>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pPr>
        <w:pStyle w:val="18"/>
        <w:ind w:left="252" w:right="-105"/>
      </w:pPr>
      <w:bookmarkStart w:id="0" w:name="_Toc104146262"/>
      <w:bookmarkStart w:id="1" w:name="_Toc26780265"/>
      <w:bookmarkStart w:id="2" w:name="_Toc24029155"/>
      <w:r>
        <w:rPr>
          <w:rFonts w:hint="eastAsia"/>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04"/>
        <w:gridCol w:w="3272"/>
        <w:gridCol w:w="3946"/>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cs="Times New Roman"/>
                <w:b/>
                <w:bCs/>
                <w:color w:val="FFFFFF"/>
                <w:kern w:val="0"/>
                <w:sz w:val="20"/>
                <w:szCs w:val="20"/>
              </w:rPr>
            </w:pPr>
            <w:r>
              <w:rPr>
                <w:rFonts w:hint="eastAsia" w:cs="Times New Roman"/>
                <w:b/>
                <w:bCs/>
                <w:color w:val="FFFFFF"/>
                <w:kern w:val="0"/>
                <w:sz w:val="20"/>
                <w:szCs w:val="20"/>
              </w:rPr>
              <w:t>历史数据</w:t>
            </w:r>
          </w:p>
          <w:p>
            <w:pPr>
              <w:rPr>
                <w:rFonts w:cs="Times New Roman"/>
                <w:b/>
                <w:bCs/>
                <w:color w:val="FFFFFF"/>
                <w:kern w:val="0"/>
                <w:sz w:val="20"/>
                <w:szCs w:val="20"/>
              </w:rPr>
            </w:pPr>
            <w:r>
              <w:rPr>
                <w:rFonts w:cs="Times New Roman"/>
                <w:b/>
                <w:bCs/>
                <w:color w:val="FFFFFF"/>
                <w:kern w:val="0"/>
                <w:sz w:val="20"/>
                <w:szCs w:val="20"/>
              </w:rPr>
              <w:t>(2017-2021)</w:t>
            </w:r>
          </w:p>
        </w:tc>
        <w:tc>
          <w:tcPr>
            <w:tcW w:w="1920"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主要厂商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竞争格局</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市场份额及增长趋势</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市场数据细分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按应用</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市场环境</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政府政策</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市场驱动因素</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下游需求</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cs="Times New Roman"/>
                <w:kern w:val="0"/>
                <w:sz w:val="20"/>
                <w:szCs w:val="20"/>
              </w:rPr>
            </w:pPr>
            <w:r>
              <w:rPr>
                <w:rFonts w:hint="eastAsia" w:cs="Times New Roman"/>
                <w:kern w:val="0"/>
                <w:sz w:val="20"/>
                <w:szCs w:val="20"/>
              </w:rPr>
              <w:t>预测数据</w:t>
            </w:r>
          </w:p>
          <w:p>
            <w:pPr>
              <w:rPr>
                <w:rFonts w:cs="Times New Roman"/>
                <w:kern w:val="0"/>
                <w:sz w:val="20"/>
                <w:szCs w:val="20"/>
              </w:rPr>
            </w:pPr>
            <w:r>
              <w:rPr>
                <w:rFonts w:cs="Times New Roman"/>
                <w:kern w:val="0"/>
                <w:sz w:val="20"/>
                <w:szCs w:val="20"/>
              </w:rPr>
              <w:t>(2022-2028)</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总体规模预测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不同产品类型预测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不同应用预测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竞争趋势预测</w:t>
            </w:r>
          </w:p>
        </w:tc>
      </w:tr>
    </w:tbl>
    <w:p>
      <w:pPr>
        <w:pStyle w:val="3"/>
      </w:pPr>
      <w:bookmarkStart w:id="3" w:name="_Toc24028591"/>
      <w:bookmarkStart w:id="4" w:name="_Toc24972781"/>
      <w:bookmarkStart w:id="5" w:name="_Toc104146164"/>
      <w:r>
        <w:rPr>
          <w:rFonts w:hint="eastAsia"/>
        </w:rPr>
        <w:t>数据来源</w:t>
      </w:r>
      <w:bookmarkEnd w:id="3"/>
      <w:bookmarkEnd w:id="4"/>
      <w:bookmarkEnd w:id="5"/>
    </w:p>
    <w:p>
      <w:pPr>
        <w:pStyle w:val="5"/>
        <w:bidi w:val="0"/>
      </w:pPr>
      <w:bookmarkStart w:id="6" w:name="_Toc24028592"/>
      <w:bookmarkStart w:id="7" w:name="_Toc104146165"/>
      <w:bookmarkStart w:id="8" w:name="_Toc24972782"/>
      <w:r>
        <w:rPr>
          <w:rFonts w:hint="eastAsia"/>
        </w:rPr>
        <w:t>二手信息来源</w:t>
      </w:r>
      <w:bookmarkEnd w:id="6"/>
      <w:bookmarkEnd w:id="7"/>
      <w:bookmarkEnd w:id="8"/>
    </w:p>
    <w:p>
      <w:pPr>
        <w:pStyle w:val="17"/>
        <w:ind w:firstLine="420"/>
        <w:rPr>
          <w:rFonts w:hint="eastAsia"/>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pPr>
        <w:pStyle w:val="4"/>
      </w:pPr>
      <w:bookmarkStart w:id="9" w:name="_Toc24972783"/>
      <w:bookmarkStart w:id="10" w:name="_Toc104146166"/>
      <w:bookmarkStart w:id="11" w:name="_Toc24028593"/>
      <w:r>
        <w:rPr>
          <w:rFonts w:hint="eastAsia"/>
        </w:rPr>
        <w:t>一手信息来源</w:t>
      </w:r>
      <w:bookmarkEnd w:id="9"/>
      <w:bookmarkEnd w:id="10"/>
      <w:bookmarkEnd w:id="11"/>
    </w:p>
    <w:p>
      <w:pPr>
        <w:pStyle w:val="17"/>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p>
      <w:pPr>
        <w:widowControl/>
        <w:jc w:val="left"/>
        <w:rPr>
          <w:rStyle w:val="13"/>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71F7B3D9-25A8-40CD-B004-1A24D94CC813}"/>
  </w:font>
  <w:font w:name="宋体">
    <w:panose1 w:val="02010600030101010101"/>
    <w:charset w:val="86"/>
    <w:family w:val="auto"/>
    <w:pitch w:val="default"/>
    <w:sig w:usb0="00000003" w:usb1="288F0000" w:usb2="00000006" w:usb3="00000000" w:csb0="00040001" w:csb1="00000000"/>
    <w:embedRegular r:id="rId2" w:fontKey="{EC24B112-86DA-4F08-9B92-3AE00E9DBA66}"/>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FEE33972-FD64-4D83-B2FB-99B799680CB7}"/>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汉仪旗黑-55简">
    <w:panose1 w:val="00020600040101010101"/>
    <w:charset w:val="80"/>
    <w:family w:val="auto"/>
    <w:pitch w:val="default"/>
    <w:sig w:usb0="A00002BF" w:usb1="18CF7CFA" w:usb2="00000016" w:usb3="00000000" w:csb0="40020001" w:csb1="C0D60000"/>
    <w:embedRegular r:id="rId4" w:fontKey="{08597C18-81C1-418B-9AD0-3A1960EC0ABB}"/>
  </w:font>
  <w:font w:name="微软雅黑">
    <w:panose1 w:val="020B0503020204020204"/>
    <w:charset w:val="86"/>
    <w:family w:val="auto"/>
    <w:pitch w:val="default"/>
    <w:sig w:usb0="80000287" w:usb1="2ACF3C50" w:usb2="00000016" w:usb3="00000000" w:csb0="0004001F" w:csb1="00000000"/>
    <w:embedRegular r:id="rId5" w:fontKey="{58485D67-C30A-48D6-9585-51B0FBB83C7B}"/>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20"/>
        <w:szCs w:val="20"/>
      </w:rPr>
    </w:pPr>
    <w:r>
      <w:rPr>
        <w:rFonts w:hint="eastAsia"/>
        <w:b/>
        <w:bCs/>
        <w:color w:val="254061" w:themeColor="accent1" w:themeShade="80"/>
        <w:sz w:val="20"/>
        <w:szCs w:val="20"/>
      </w:rPr>
      <w:t>详情内容参考</w:t>
    </w:r>
    <w:r>
      <w:rPr>
        <w:rFonts w:hint="eastAsia"/>
        <w:b/>
        <w:bCs/>
        <w:color w:val="254061" w:themeColor="accent1" w:themeShade="80"/>
        <w:sz w:val="20"/>
        <w:szCs w:val="20"/>
        <w:lang w:val="en-US" w:eastAsia="zh-CN"/>
      </w:rPr>
      <w:t>QYResearch</w:t>
    </w:r>
    <w:r>
      <w:rPr>
        <w:rFonts w:hint="eastAsia"/>
        <w:b/>
        <w:bCs/>
        <w:color w:val="254061" w:themeColor="accent1" w:themeShade="80"/>
        <w:sz w:val="20"/>
        <w:szCs w:val="20"/>
      </w:rPr>
      <w:t>完整版</w:t>
    </w:r>
    <w:r>
      <w:rPr>
        <w:rFonts w:hint="eastAsia"/>
        <w:b/>
        <w:bCs/>
        <w:color w:val="254061" w:themeColor="accent1" w:themeShade="80"/>
        <w:sz w:val="20"/>
        <w:szCs w:val="20"/>
        <w:lang w:val="en-US" w:eastAsia="zh-CN"/>
      </w:rPr>
      <w:t>研究</w:t>
    </w:r>
    <w:r>
      <w:rPr>
        <w:rFonts w:hint="eastAsia"/>
        <w:b/>
        <w:bCs/>
        <w:color w:val="254061" w:themeColor="accent1" w:themeShade="80"/>
        <w:sz w:val="20"/>
        <w:szCs w:val="20"/>
      </w:rPr>
      <w:t>报告，www.qyresearch.com.cn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8"/>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embedSystem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NzAsImhkaWQiOiI5NjVjNmQyZTg1Zjg1Y2ZjNzU5ZmNhMzJmODU2NDQ0NiIsInVzZXJDb3VudCI6NzB9"/>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3083AE3"/>
    <w:rsid w:val="04044FE5"/>
    <w:rsid w:val="044B62AB"/>
    <w:rsid w:val="05A258BB"/>
    <w:rsid w:val="05BF184D"/>
    <w:rsid w:val="05F371AC"/>
    <w:rsid w:val="06F94F87"/>
    <w:rsid w:val="07B94814"/>
    <w:rsid w:val="07D06DF1"/>
    <w:rsid w:val="086260C6"/>
    <w:rsid w:val="08FB3DD5"/>
    <w:rsid w:val="095D314F"/>
    <w:rsid w:val="0B7C59E4"/>
    <w:rsid w:val="0BE1433A"/>
    <w:rsid w:val="0DF93919"/>
    <w:rsid w:val="0F4143EC"/>
    <w:rsid w:val="0FD96B2A"/>
    <w:rsid w:val="119F531F"/>
    <w:rsid w:val="12D10B64"/>
    <w:rsid w:val="13120421"/>
    <w:rsid w:val="13916645"/>
    <w:rsid w:val="15B142DF"/>
    <w:rsid w:val="1639715A"/>
    <w:rsid w:val="164E44A9"/>
    <w:rsid w:val="16813348"/>
    <w:rsid w:val="17803B83"/>
    <w:rsid w:val="17F8545D"/>
    <w:rsid w:val="18131D1F"/>
    <w:rsid w:val="18376B4B"/>
    <w:rsid w:val="18442F77"/>
    <w:rsid w:val="18DA283C"/>
    <w:rsid w:val="190E24B3"/>
    <w:rsid w:val="19E867F3"/>
    <w:rsid w:val="1BF65BDF"/>
    <w:rsid w:val="1E5D6446"/>
    <w:rsid w:val="1EAF2075"/>
    <w:rsid w:val="1F0A3D1E"/>
    <w:rsid w:val="1F8E56D3"/>
    <w:rsid w:val="1F9E1066"/>
    <w:rsid w:val="213F6EC5"/>
    <w:rsid w:val="21415B4F"/>
    <w:rsid w:val="215E544D"/>
    <w:rsid w:val="21975E79"/>
    <w:rsid w:val="221D7F22"/>
    <w:rsid w:val="236544F0"/>
    <w:rsid w:val="243A2761"/>
    <w:rsid w:val="2511211C"/>
    <w:rsid w:val="25401F8E"/>
    <w:rsid w:val="25E136CF"/>
    <w:rsid w:val="25F77567"/>
    <w:rsid w:val="26472421"/>
    <w:rsid w:val="267235BA"/>
    <w:rsid w:val="280E0B16"/>
    <w:rsid w:val="286100D6"/>
    <w:rsid w:val="28795BCE"/>
    <w:rsid w:val="294741D2"/>
    <w:rsid w:val="2988417C"/>
    <w:rsid w:val="29B10469"/>
    <w:rsid w:val="29E26902"/>
    <w:rsid w:val="2A001703"/>
    <w:rsid w:val="2A817ED1"/>
    <w:rsid w:val="2AD6536A"/>
    <w:rsid w:val="2C2E3173"/>
    <w:rsid w:val="2CCB2372"/>
    <w:rsid w:val="2D4410A8"/>
    <w:rsid w:val="2E3B56D4"/>
    <w:rsid w:val="2E4F3C4C"/>
    <w:rsid w:val="2E502F32"/>
    <w:rsid w:val="2F1425CF"/>
    <w:rsid w:val="2FEC137B"/>
    <w:rsid w:val="31067EB2"/>
    <w:rsid w:val="3188462E"/>
    <w:rsid w:val="319F51C6"/>
    <w:rsid w:val="31F369F1"/>
    <w:rsid w:val="332A6942"/>
    <w:rsid w:val="339235B8"/>
    <w:rsid w:val="33B01386"/>
    <w:rsid w:val="34FB38C5"/>
    <w:rsid w:val="35842E0D"/>
    <w:rsid w:val="368E401D"/>
    <w:rsid w:val="36C138F1"/>
    <w:rsid w:val="38860737"/>
    <w:rsid w:val="39CB60B0"/>
    <w:rsid w:val="3A3B5FB9"/>
    <w:rsid w:val="3BA7084C"/>
    <w:rsid w:val="3C7471AD"/>
    <w:rsid w:val="3CAD7358"/>
    <w:rsid w:val="3DD64F21"/>
    <w:rsid w:val="3DEB4A20"/>
    <w:rsid w:val="3DF70FFE"/>
    <w:rsid w:val="3E415F70"/>
    <w:rsid w:val="3EAA4DEF"/>
    <w:rsid w:val="3F033FEC"/>
    <w:rsid w:val="3FF6427F"/>
    <w:rsid w:val="41546DF6"/>
    <w:rsid w:val="418A59EC"/>
    <w:rsid w:val="42821805"/>
    <w:rsid w:val="42D57A4D"/>
    <w:rsid w:val="449C2DF7"/>
    <w:rsid w:val="44F642A6"/>
    <w:rsid w:val="45B614F3"/>
    <w:rsid w:val="45F61D72"/>
    <w:rsid w:val="47171C82"/>
    <w:rsid w:val="47207F02"/>
    <w:rsid w:val="474D1900"/>
    <w:rsid w:val="476D5423"/>
    <w:rsid w:val="48FE0265"/>
    <w:rsid w:val="49B06B12"/>
    <w:rsid w:val="4A320D73"/>
    <w:rsid w:val="4AF32EA2"/>
    <w:rsid w:val="4CE55648"/>
    <w:rsid w:val="4D0478AD"/>
    <w:rsid w:val="4D5304EA"/>
    <w:rsid w:val="4E9C6583"/>
    <w:rsid w:val="4EC93DF4"/>
    <w:rsid w:val="51C969CF"/>
    <w:rsid w:val="51FA146A"/>
    <w:rsid w:val="527F5910"/>
    <w:rsid w:val="53442F38"/>
    <w:rsid w:val="53751A14"/>
    <w:rsid w:val="538716EF"/>
    <w:rsid w:val="544725D0"/>
    <w:rsid w:val="55377BCF"/>
    <w:rsid w:val="563D52AF"/>
    <w:rsid w:val="564927D4"/>
    <w:rsid w:val="567A0BDF"/>
    <w:rsid w:val="56D54068"/>
    <w:rsid w:val="57E778EC"/>
    <w:rsid w:val="5939268C"/>
    <w:rsid w:val="59542519"/>
    <w:rsid w:val="59BF4C1A"/>
    <w:rsid w:val="5A8B655E"/>
    <w:rsid w:val="5AD91878"/>
    <w:rsid w:val="5BB46942"/>
    <w:rsid w:val="5BE141DA"/>
    <w:rsid w:val="5E784580"/>
    <w:rsid w:val="5E804BA8"/>
    <w:rsid w:val="5EDC75BE"/>
    <w:rsid w:val="5F1D65AC"/>
    <w:rsid w:val="5F642C99"/>
    <w:rsid w:val="602D6CC3"/>
    <w:rsid w:val="60C6233B"/>
    <w:rsid w:val="61387569"/>
    <w:rsid w:val="61A30FEA"/>
    <w:rsid w:val="61DF5D9B"/>
    <w:rsid w:val="62BA60A9"/>
    <w:rsid w:val="63A9098A"/>
    <w:rsid w:val="64170F7A"/>
    <w:rsid w:val="642B176B"/>
    <w:rsid w:val="645106DE"/>
    <w:rsid w:val="65C8262B"/>
    <w:rsid w:val="675E7D24"/>
    <w:rsid w:val="6761670F"/>
    <w:rsid w:val="689A0C6D"/>
    <w:rsid w:val="69196036"/>
    <w:rsid w:val="69FF13B0"/>
    <w:rsid w:val="6A683BF3"/>
    <w:rsid w:val="6A7C09DC"/>
    <w:rsid w:val="6A7D774F"/>
    <w:rsid w:val="6ABA73A5"/>
    <w:rsid w:val="6B0D3978"/>
    <w:rsid w:val="6BB00954"/>
    <w:rsid w:val="6C474C68"/>
    <w:rsid w:val="6CBE7173"/>
    <w:rsid w:val="6D341690"/>
    <w:rsid w:val="6DA26916"/>
    <w:rsid w:val="6DB009A4"/>
    <w:rsid w:val="6FAA2AFC"/>
    <w:rsid w:val="71580B1A"/>
    <w:rsid w:val="71AF5789"/>
    <w:rsid w:val="739C3AEB"/>
    <w:rsid w:val="771F6EF3"/>
    <w:rsid w:val="775A7B90"/>
    <w:rsid w:val="79F44681"/>
    <w:rsid w:val="7B235205"/>
    <w:rsid w:val="7E7326FA"/>
    <w:rsid w:val="7ECC6572"/>
    <w:rsid w:val="7F785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4"/>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customStyle="1" w:styleId="14">
    <w:name w:val="批注框文本 Char"/>
    <w:basedOn w:val="13"/>
    <w:link w:val="7"/>
    <w:qFormat/>
    <w:uiPriority w:val="99"/>
    <w:rPr>
      <w:sz w:val="18"/>
      <w:szCs w:val="18"/>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paragraph" w:customStyle="1" w:styleId="17">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8">
    <w:name w:val="Table Style"/>
    <w:basedOn w:val="19"/>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19">
    <w:name w:val="List Paragraph"/>
    <w:basedOn w:val="1"/>
    <w:qFormat/>
    <w:uiPriority w:val="1"/>
    <w:pPr>
      <w:jc w:val="left"/>
    </w:pPr>
    <w:rPr>
      <w:rFonts w:ascii="Arial" w:hAnsi="Arial" w:eastAsia="Arial" w:cs="Arial"/>
      <w:kern w:val="0"/>
      <w:sz w:val="22"/>
      <w:szCs w:val="22"/>
      <w:lang w:eastAsia="en-US"/>
    </w:rPr>
  </w:style>
  <w:style w:type="paragraph" w:customStyle="1" w:styleId="20">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10</Pages>
  <Words>5901</Words>
  <Characters>8352</Characters>
  <Lines>1</Lines>
  <Paragraphs>1</Paragraphs>
  <TotalTime>7</TotalTime>
  <ScaleCrop>false</ScaleCrop>
  <LinksUpToDate>false</LinksUpToDate>
  <CharactersWithSpaces>10092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2022-09-30T06:41:25Z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8ABCBBB27A0042EEB938C7F1CC6D26CA</vt:lpwstr>
  </property>
  <property fmtid="{D5CDD505-2E9C-101B-9397-08002B2CF9AE}" pid="4" name="KSOTemplateUUID">
    <vt:lpwstr>v1.0_mb_v71SR7VtnYEavo0XsyTc2A==</vt:lpwstr>
  </property>
</Properties>
</file>