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3092C9">
      <w:pPr>
        <w:jc w:val="center"/>
        <w:rPr>
          <w:rFonts w:hint="eastAsia" w:asciiTheme="minorHAnsi" w:hAnsiTheme="minorHAnsi" w:eastAsiaTheme="minorEastAsia" w:cstheme="minorBidi"/>
          <w:kern w:val="0"/>
          <w:sz w:val="28"/>
          <w:szCs w:val="28"/>
          <w:lang w:val="en-US" w:eastAsia="zh-CN" w:bidi="ar"/>
        </w:rPr>
      </w:pPr>
      <w:bookmarkStart w:id="0" w:name="_GoBack"/>
      <w:r>
        <w:rPr>
          <w:rFonts w:hint="eastAsia" w:asciiTheme="minorHAnsi" w:hAnsiTheme="minorHAnsi" w:eastAsiaTheme="minorEastAsia" w:cstheme="minorBidi"/>
          <w:kern w:val="0"/>
          <w:sz w:val="28"/>
          <w:szCs w:val="28"/>
          <w:lang w:val="en-US" w:eastAsia="zh-CN" w:bidi="ar"/>
        </w:rPr>
        <w:t>2025年数字货币市场调研报告：推动现实应用和未来展望</w:t>
      </w:r>
    </w:p>
    <w:bookmarkEnd w:id="0"/>
    <w:p w14:paraId="10812BF2">
      <w:pPr>
        <w:pStyle w:val="2"/>
        <w:keepNext w:val="0"/>
        <w:keepLines w:val="0"/>
        <w:widowControl/>
        <w:suppressLineNumbers w:val="0"/>
      </w:pPr>
      <w:r>
        <w:t>随着数字技术的迅猛发展，数字货币作为一种新兴的货币形式，正逐渐改变着全球金融格局。自 2009 年比特币诞生以来，数字货币市场经历了爆发式增长，吸引了全球投资者、金融机构和监管部门的广泛关注。除了比特币等加密货币，各国央行也纷纷加快数字货币的研发进程，旨在应对金融创新带来的挑战，提升货币发行和支付体系的效率。</w:t>
      </w:r>
    </w:p>
    <w:p w14:paraId="79035079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一、数字货币行业概述​</w:t>
      </w:r>
    </w:p>
    <w:p w14:paraId="4709ECE1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1、定义与分类​</w:t>
      </w:r>
    </w:p>
    <w:p w14:paraId="3DADD24D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定义​</w:t>
      </w:r>
    </w:p>
    <w:p w14:paraId="352478A9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根据北京研精毕智信息咨询有限公司调研，</w:t>
      </w:r>
      <w:r>
        <w:t>数字货币是一种基于密码学和区块链技术的数字化货币，它以数字形式存在，不依赖于实体货币，通过去中心化的网络进行交易和验证。与传统货币不同，数字货币没有物理形态，其价值和交易记录存储在分布式账本上，由网络中的节点共同维护和验证，确保了交易的透明性和安全性。​</w:t>
      </w:r>
    </w:p>
    <w:p w14:paraId="35F0DCB4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分类​</w:t>
      </w:r>
    </w:p>
    <w:p w14:paraId="661A23FE">
      <w:pPr>
        <w:pStyle w:val="2"/>
        <w:keepNext w:val="0"/>
        <w:keepLines w:val="0"/>
        <w:widowControl/>
        <w:suppressLineNumbers w:val="0"/>
      </w:pPr>
      <w:r>
        <w:t>根据发行主体和技术特点的不同，数字货币主要可分为以下几类：​</w:t>
      </w:r>
    </w:p>
    <w:p w14:paraId="567946FD">
      <w:pPr>
        <w:pStyle w:val="2"/>
        <w:keepNext w:val="0"/>
        <w:keepLines w:val="0"/>
        <w:widowControl/>
        <w:suppressLineNumbers w:val="0"/>
      </w:pPr>
      <w:r>
        <w:t>加密货币：如比特币、以太坊等，是一种去中心化的数字货币，基于区块链技术，通过加密算法确保交易的安全性和匿名性。比特币是最早出现的加密货币，它的诞生标志着数字货币时代的开启；以太坊则在此基础上引入了智能合约，为去中心化应用（DApps）的开发提供了平台。​</w:t>
      </w:r>
    </w:p>
    <w:p w14:paraId="12918594">
      <w:pPr>
        <w:pStyle w:val="2"/>
        <w:keepNext w:val="0"/>
        <w:keepLines w:val="0"/>
        <w:widowControl/>
        <w:suppressLineNumbers w:val="0"/>
      </w:pPr>
      <w:r>
        <w:t>央行数字货币（CBDC）：由各国中央银行发行的数字货币，是法定货币的数字化形式，与传统货币具有同等的法律地位和价值。例如，中国的数字人民币（e-CNY）是由中国人民银行发行的数字形式的法定货币，旨在提升支付效率、降低交易成本，并加强货币政策的传导效果。​</w:t>
      </w:r>
    </w:p>
    <w:p w14:paraId="043714E6">
      <w:pPr>
        <w:pStyle w:val="2"/>
        <w:keepNext w:val="0"/>
        <w:keepLines w:val="0"/>
        <w:widowControl/>
        <w:suppressLineNumbers w:val="0"/>
      </w:pPr>
      <w:r>
        <w:t>稳定币：一种与法定货币或其他资产挂钩的数字货币，旨在保持价格的相对稳定。例如，泰达币（USDT）是一种与美元挂钩的稳定币，1 USDT 通常锚定 1 美元，其价值波动相对较小，常用于加密货币市场的交易和支付。​</w:t>
      </w:r>
    </w:p>
    <w:p w14:paraId="56E3C7E2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2、特点与优势​</w:t>
      </w:r>
    </w:p>
    <w:p w14:paraId="1B19B1E7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去中心化​</w:t>
      </w:r>
    </w:p>
    <w:p w14:paraId="737E24EB">
      <w:pPr>
        <w:pStyle w:val="2"/>
        <w:keepNext w:val="0"/>
        <w:keepLines w:val="0"/>
        <w:widowControl/>
        <w:suppressLineNumbers w:val="0"/>
      </w:pPr>
      <w:r>
        <w:t>数字货币采用去中心化的分布式账本技术，没有中央机构或中介参与交易验证和结算。交易直接在参与者之间进行，每个节点都有完整的账本副本，共同维护网络的运行和安全。这种去中心化的特性使得数字货币不受单一机构的控制，降低了系统风险，提高了交易的自主性和公正性。​</w:t>
      </w:r>
    </w:p>
    <w:p w14:paraId="6680AB27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匿名性​</w:t>
      </w:r>
    </w:p>
    <w:p w14:paraId="000878BA">
      <w:pPr>
        <w:pStyle w:val="2"/>
        <w:keepNext w:val="0"/>
        <w:keepLines w:val="0"/>
        <w:widowControl/>
        <w:suppressLineNumbers w:val="0"/>
      </w:pPr>
      <w:r>
        <w:t>数字货币交易通常使用加密技术，交易双方的身份信息被隐藏在加密地址背后，仅通过公钥和私钥进行交易验证和签名。这种匿名性保护了用户的隐私，减少了个人信息被泄露的风险，同时也为一些对隐私要求较高的交易场景提供了便利。安全性​</w:t>
      </w:r>
    </w:p>
    <w:p w14:paraId="35D42ABC">
      <w:pPr>
        <w:pStyle w:val="2"/>
        <w:keepNext w:val="0"/>
        <w:keepLines w:val="0"/>
        <w:widowControl/>
        <w:suppressLineNumbers w:val="0"/>
      </w:pPr>
      <w:r>
        <w:t>数字货币运用先进的加密技术，如哈希算法、数字签名等，确保交易的安全性和不可篡改。每一笔交易都被记录在区块链上，形成一个不可逆转的交易链条，任何试图篡改交易记录的行为都将被其他节点发现并拒绝。此外，分布式账本的特性使得网络具有较高的容错性，即使部分节点出现故障，也不会影响整个系统的正常运行。​</w:t>
      </w:r>
    </w:p>
    <w:p w14:paraId="1D721163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高效率性​</w:t>
      </w:r>
    </w:p>
    <w:p w14:paraId="3C4BC77C">
      <w:pPr>
        <w:pStyle w:val="2"/>
        <w:keepNext w:val="0"/>
        <w:keepLines w:val="0"/>
        <w:widowControl/>
        <w:suppressLineNumbers w:val="0"/>
      </w:pPr>
      <w:r>
        <w:t>数字货币的交易过程无需经过传统金融机构的繁琐审批和清算流程，交易确认时间短，速度快。尤其是在跨境支付领域，数字货币可以实现实时到账，大大提高了支付效率，降低了交易成本。同时，智能合约的应用还可以自动化执行交易条件，进一步提升了交易的效率和准确性。</w:t>
      </w:r>
    </w:p>
    <w:p w14:paraId="154F43D7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二、数字货币行业应用场景​</w:t>
      </w:r>
    </w:p>
    <w:p w14:paraId="40C37CCE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1、支付与结算​</w:t>
      </w:r>
    </w:p>
    <w:p w14:paraId="37F34715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据研精毕智信息咨询发布的</w:t>
      </w:r>
      <w:r>
        <w:rPr>
          <w:rStyle w:val="5"/>
        </w:rPr>
        <w:fldChar w:fldCharType="begin"/>
      </w:r>
      <w:r>
        <w:rPr>
          <w:rStyle w:val="5"/>
        </w:rPr>
        <w:instrText xml:space="preserve"> HYPERLINK "https://www.yjbzr.com/reports" \o "调研报告" \t "_blank" </w:instrText>
      </w:r>
      <w:r>
        <w:rPr>
          <w:rStyle w:val="5"/>
        </w:rPr>
        <w:fldChar w:fldCharType="separate"/>
      </w:r>
      <w:r>
        <w:rPr>
          <w:rStyle w:val="6"/>
        </w:rPr>
        <w:t>调研报告</w:t>
      </w:r>
      <w:r>
        <w:rPr>
          <w:rStyle w:val="5"/>
        </w:rPr>
        <w:fldChar w:fldCharType="end"/>
      </w:r>
      <w:r>
        <w:rPr>
          <w:rStyle w:val="5"/>
        </w:rPr>
        <w:t>显示，</w:t>
      </w:r>
      <w:r>
        <w:t>数字货币在支付与结算领域具有显著的优势，尤其是在跨境支付和国内支付场景中，展现出了传统支付方式难以比拟的便捷性和高效性。在跨境支付方面，传统的跨境支付方式存在诸多痛点，如手续费高、交易时间长、流程繁琐等。以银行电汇为例，一笔跨境电汇通常需要经过多家银行的中转，手续费可能高达汇款金额的 1%-3%，且交易时间往往需要 2-5 个工作日。而数字货币跨境支付基于区块链技术，实现了点对点的直接交易，无需通过中间银行的清算和结算环节，大大缩短了交易时间，降低了交易成本。例如，Ripple 是一家专注于跨境支付的金融科技公司，它利用区块链技术和数字货币 XRP，实现了全球范围内的实时跨境支付。通过 Ripple 网络，跨境支付可以在几秒钟内完成，手续费也大幅降低，仅为传统跨境支付方式的几分之一。​</w:t>
      </w:r>
    </w:p>
    <w:p w14:paraId="39CA2601">
      <w:pPr>
        <w:pStyle w:val="2"/>
        <w:keepNext w:val="0"/>
        <w:keepLines w:val="0"/>
        <w:widowControl/>
        <w:suppressLineNumbers w:val="0"/>
      </w:pPr>
      <w:r>
        <w:t>中国数字人民币在国内支付场景中的应用也取得了显著成果。数字人民币是由中国人民银行发行的数字形式的法定货币，具有法偿性、可控匿名性、双离线支付等特点。截至 2024 年 12 月，数字人民币已在全国多个城市开展试点，涵盖了零售、餐饮、交通、政务等多个领域。在零售场景中，消费者可以使用数字人民币钱包在支持的商户进行支付，无需携带现金或银行卡，支付过程快捷方便。在交通领域，数字人民币也实现了与地铁、公交等交通系统的对接，乘客可以使用数字人民币支付车费，提高了出行的便利性。​</w:t>
      </w:r>
    </w:p>
    <w:p w14:paraId="21412F2C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图表：数字人民币试点城市及应用领域​</w:t>
      </w:r>
    </w:p>
    <w:tbl>
      <w:tblPr>
        <w:tblW w:w="0" w:type="auto"/>
        <w:tblInd w:w="0" w:type="dxa"/>
        <w:tblBorders>
          <w:top w:val="none" w:color="3598DB" w:sz="0" w:space="0"/>
          <w:left w:val="none" w:color="3598DB" w:sz="0" w:space="0"/>
          <w:bottom w:val="none" w:color="3598DB" w:sz="0" w:space="0"/>
          <w:right w:val="none" w:color="3598DB" w:sz="0" w:space="0"/>
          <w:insideH w:val="none" w:color="auto" w:sz="0" w:space="0"/>
          <w:insideV w:val="none" w:color="auto" w:sz="0" w:space="0"/>
        </w:tblBorders>
        <w:shd w:val="clear" w:color="auto" w:fill="C2E0F4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90"/>
        <w:gridCol w:w="4770"/>
      </w:tblGrid>
      <w:tr w14:paraId="0708E927">
        <w:tblPrEx>
          <w:tblBorders>
            <w:top w:val="none" w:color="3598DB" w:sz="0" w:space="0"/>
            <w:left w:val="none" w:color="3598DB" w:sz="0" w:space="0"/>
            <w:bottom w:val="none" w:color="3598DB" w:sz="0" w:space="0"/>
            <w:right w:val="none" w:color="3598DB" w:sz="0" w:space="0"/>
            <w:insideH w:val="none" w:color="auto" w:sz="0" w:space="0"/>
            <w:insideV w:val="none" w:color="auto" w:sz="0" w:space="0"/>
          </w:tblBorders>
          <w:shd w:val="clear" w:color="auto" w:fill="C2E0F4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90" w:type="dxa"/>
            <w:shd w:val="clear" w:color="auto" w:fill="C2E0F4"/>
            <w:vAlign w:val="center"/>
          </w:tcPr>
          <w:p w14:paraId="7D3DFA73"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5"/>
              </w:rPr>
              <w:t>试点城市</w:t>
            </w:r>
            <w:r>
              <w:t>​</w:t>
            </w:r>
          </w:p>
        </w:tc>
        <w:tc>
          <w:tcPr>
            <w:tcW w:w="4770" w:type="dxa"/>
            <w:shd w:val="clear" w:color="auto" w:fill="C2E0F4"/>
            <w:vAlign w:val="center"/>
          </w:tcPr>
          <w:p w14:paraId="32ACF9AF"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5"/>
              </w:rPr>
              <w:t>应用领域​</w:t>
            </w:r>
          </w:p>
        </w:tc>
      </w:tr>
      <w:tr w14:paraId="46159AEE">
        <w:tblPrEx>
          <w:tblBorders>
            <w:top w:val="none" w:color="3598DB" w:sz="0" w:space="0"/>
            <w:left w:val="none" w:color="3598DB" w:sz="0" w:space="0"/>
            <w:bottom w:val="none" w:color="3598DB" w:sz="0" w:space="0"/>
            <w:right w:val="none" w:color="3598DB" w:sz="0" w:space="0"/>
            <w:insideH w:val="none" w:color="auto" w:sz="0" w:space="0"/>
            <w:insideV w:val="none" w:color="auto" w:sz="0" w:space="0"/>
          </w:tblBorders>
          <w:shd w:val="clear" w:color="auto" w:fill="C2E0F4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90" w:type="dxa"/>
            <w:shd w:val="clear" w:color="auto" w:fill="C2E0F4"/>
            <w:vAlign w:val="center"/>
          </w:tcPr>
          <w:p w14:paraId="14F37962">
            <w:pPr>
              <w:pStyle w:val="2"/>
              <w:keepNext w:val="0"/>
              <w:keepLines w:val="0"/>
              <w:widowControl/>
              <w:suppressLineNumbers w:val="0"/>
            </w:pPr>
            <w:r>
              <w:t>深圳​</w:t>
            </w:r>
          </w:p>
        </w:tc>
        <w:tc>
          <w:tcPr>
            <w:tcW w:w="4770" w:type="dxa"/>
            <w:shd w:val="clear" w:color="auto" w:fill="C2E0F4"/>
            <w:vAlign w:val="center"/>
          </w:tcPr>
          <w:p w14:paraId="3B7D8845">
            <w:pPr>
              <w:pStyle w:val="2"/>
              <w:keepNext w:val="0"/>
              <w:keepLines w:val="0"/>
              <w:widowControl/>
              <w:suppressLineNumbers w:val="0"/>
            </w:pPr>
            <w:r>
              <w:t>零售、餐饮、交通、政务等​</w:t>
            </w:r>
          </w:p>
        </w:tc>
      </w:tr>
      <w:tr w14:paraId="353CA4F5">
        <w:tblPrEx>
          <w:tblBorders>
            <w:top w:val="none" w:color="3598DB" w:sz="0" w:space="0"/>
            <w:left w:val="none" w:color="3598DB" w:sz="0" w:space="0"/>
            <w:bottom w:val="none" w:color="3598DB" w:sz="0" w:space="0"/>
            <w:right w:val="none" w:color="3598DB" w:sz="0" w:space="0"/>
            <w:insideH w:val="none" w:color="auto" w:sz="0" w:space="0"/>
            <w:insideV w:val="none" w:color="auto" w:sz="0" w:space="0"/>
          </w:tblBorders>
          <w:shd w:val="clear" w:color="auto" w:fill="C2E0F4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90" w:type="dxa"/>
            <w:shd w:val="clear" w:color="auto" w:fill="C2E0F4"/>
            <w:vAlign w:val="center"/>
          </w:tcPr>
          <w:p w14:paraId="2DBEBB78">
            <w:pPr>
              <w:pStyle w:val="2"/>
              <w:keepNext w:val="0"/>
              <w:keepLines w:val="0"/>
              <w:widowControl/>
              <w:suppressLineNumbers w:val="0"/>
            </w:pPr>
            <w:r>
              <w:t>苏州​</w:t>
            </w:r>
          </w:p>
        </w:tc>
        <w:tc>
          <w:tcPr>
            <w:tcW w:w="4770" w:type="dxa"/>
            <w:shd w:val="clear" w:color="auto" w:fill="C2E0F4"/>
            <w:vAlign w:val="center"/>
          </w:tcPr>
          <w:p w14:paraId="2E151256">
            <w:pPr>
              <w:pStyle w:val="2"/>
              <w:keepNext w:val="0"/>
              <w:keepLines w:val="0"/>
              <w:widowControl/>
              <w:suppressLineNumbers w:val="0"/>
            </w:pPr>
            <w:r>
              <w:t>零售、旅游、教育、医疗等​</w:t>
            </w:r>
          </w:p>
        </w:tc>
      </w:tr>
      <w:tr w14:paraId="199AA8AA">
        <w:tblPrEx>
          <w:tblBorders>
            <w:top w:val="none" w:color="3598DB" w:sz="0" w:space="0"/>
            <w:left w:val="none" w:color="3598DB" w:sz="0" w:space="0"/>
            <w:bottom w:val="none" w:color="3598DB" w:sz="0" w:space="0"/>
            <w:right w:val="none" w:color="3598DB" w:sz="0" w:space="0"/>
            <w:insideH w:val="none" w:color="auto" w:sz="0" w:space="0"/>
            <w:insideV w:val="none" w:color="auto" w:sz="0" w:space="0"/>
          </w:tblBorders>
          <w:shd w:val="clear" w:color="auto" w:fill="C2E0F4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90" w:type="dxa"/>
            <w:shd w:val="clear" w:color="auto" w:fill="C2E0F4"/>
            <w:vAlign w:val="center"/>
          </w:tcPr>
          <w:p w14:paraId="56E58499">
            <w:pPr>
              <w:pStyle w:val="2"/>
              <w:keepNext w:val="0"/>
              <w:keepLines w:val="0"/>
              <w:widowControl/>
              <w:suppressLineNumbers w:val="0"/>
            </w:pPr>
            <w:r>
              <w:t>北京​</w:t>
            </w:r>
          </w:p>
        </w:tc>
        <w:tc>
          <w:tcPr>
            <w:tcW w:w="4770" w:type="dxa"/>
            <w:shd w:val="clear" w:color="auto" w:fill="C2E0F4"/>
            <w:vAlign w:val="center"/>
          </w:tcPr>
          <w:p w14:paraId="169059C2">
            <w:pPr>
              <w:pStyle w:val="2"/>
              <w:keepNext w:val="0"/>
              <w:keepLines w:val="0"/>
              <w:widowControl/>
              <w:suppressLineNumbers w:val="0"/>
            </w:pPr>
            <w:r>
              <w:t>冬奥会场景、零售、交通等​</w:t>
            </w:r>
          </w:p>
        </w:tc>
      </w:tr>
      <w:tr w14:paraId="782CE1E9">
        <w:tblPrEx>
          <w:tblBorders>
            <w:top w:val="none" w:color="3598DB" w:sz="0" w:space="0"/>
            <w:left w:val="none" w:color="3598DB" w:sz="0" w:space="0"/>
            <w:bottom w:val="none" w:color="3598DB" w:sz="0" w:space="0"/>
            <w:right w:val="none" w:color="3598DB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90" w:type="dxa"/>
            <w:shd w:val="clear" w:color="auto" w:fill="C2E0F4"/>
            <w:vAlign w:val="center"/>
          </w:tcPr>
          <w:p w14:paraId="027D3E78">
            <w:pPr>
              <w:pStyle w:val="2"/>
              <w:keepNext w:val="0"/>
              <w:keepLines w:val="0"/>
              <w:widowControl/>
              <w:suppressLineNumbers w:val="0"/>
            </w:pPr>
            <w:r>
              <w:t>上海​</w:t>
            </w:r>
          </w:p>
        </w:tc>
        <w:tc>
          <w:tcPr>
            <w:tcW w:w="4770" w:type="dxa"/>
            <w:shd w:val="clear" w:color="auto" w:fill="C2E0F4"/>
            <w:vAlign w:val="center"/>
          </w:tcPr>
          <w:p w14:paraId="3D06D226">
            <w:pPr>
              <w:pStyle w:val="2"/>
              <w:keepNext w:val="0"/>
              <w:keepLines w:val="0"/>
              <w:widowControl/>
              <w:suppressLineNumbers w:val="0"/>
            </w:pPr>
            <w:r>
              <w:t>零售、餐饮、旅游、金融等​</w:t>
            </w:r>
          </w:p>
        </w:tc>
      </w:tr>
      <w:tr w14:paraId="43626681">
        <w:tblPrEx>
          <w:tblBorders>
            <w:top w:val="none" w:color="3598DB" w:sz="0" w:space="0"/>
            <w:left w:val="none" w:color="3598DB" w:sz="0" w:space="0"/>
            <w:bottom w:val="none" w:color="3598DB" w:sz="0" w:space="0"/>
            <w:right w:val="none" w:color="3598DB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90" w:type="dxa"/>
            <w:shd w:val="clear" w:color="auto" w:fill="C2E0F4"/>
            <w:vAlign w:val="center"/>
          </w:tcPr>
          <w:p w14:paraId="20017A0B">
            <w:pPr>
              <w:pStyle w:val="2"/>
              <w:keepNext w:val="0"/>
              <w:keepLines w:val="0"/>
              <w:widowControl/>
              <w:suppressLineNumbers w:val="0"/>
            </w:pPr>
            <w:r>
              <w:t>成都​</w:t>
            </w:r>
          </w:p>
        </w:tc>
        <w:tc>
          <w:tcPr>
            <w:tcW w:w="4770" w:type="dxa"/>
            <w:shd w:val="clear" w:color="auto" w:fill="C2E0F4"/>
            <w:vAlign w:val="center"/>
          </w:tcPr>
          <w:p w14:paraId="278A7F94">
            <w:pPr>
              <w:pStyle w:val="2"/>
              <w:keepNext w:val="0"/>
              <w:keepLines w:val="0"/>
              <w:widowControl/>
              <w:suppressLineNumbers w:val="0"/>
            </w:pPr>
            <w:r>
              <w:t>零售、餐饮、交通、政务等​</w:t>
            </w:r>
          </w:p>
        </w:tc>
      </w:tr>
    </w:tbl>
    <w:p w14:paraId="0E9F5C0A">
      <w:pPr>
        <w:pStyle w:val="2"/>
        <w:keepNext w:val="0"/>
        <w:keepLines w:val="0"/>
        <w:widowControl/>
        <w:suppressLineNumbers w:val="0"/>
      </w:pPr>
      <w:r>
        <w:t>数字货币在支付与结算领域的应用，不仅提高了支付效率，降低了交易成本，还为用户提供了更加便捷、安全的支付体验，推动了支付行业的创新发展。​</w:t>
      </w:r>
    </w:p>
    <w:p w14:paraId="2C269D8B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2、金融领域​</w:t>
      </w:r>
    </w:p>
    <w:p w14:paraId="20186884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去中心化金融（DeFi）​</w:t>
      </w:r>
    </w:p>
    <w:p w14:paraId="548C9E79">
      <w:pPr>
        <w:pStyle w:val="2"/>
        <w:keepNext w:val="0"/>
        <w:keepLines w:val="0"/>
        <w:widowControl/>
        <w:suppressLineNumbers w:val="0"/>
      </w:pPr>
      <w:r>
        <w:t>去中心化金融（DeFi）是基于区块链技术构建的金融应用生态系统，旨在实现金融服务的去中心化和去中介化。DeFi 应用涵盖了借贷、交易、保险、稳定币发行等多个领域，为用户提供了更加便捷、高效的金融服务。​</w:t>
      </w:r>
    </w:p>
    <w:p w14:paraId="50905898">
      <w:pPr>
        <w:pStyle w:val="2"/>
        <w:keepNext w:val="0"/>
        <w:keepLines w:val="0"/>
        <w:widowControl/>
        <w:suppressLineNumbers w:val="0"/>
      </w:pPr>
      <w:r>
        <w:t>在借贷领域，DeFi 借贷平台允许用户以加密资产作为抵押，借入或借出资金。与传统借贷方式相比，DeFi 借贷无需通过银行等金融中介机构，借贷双方可以直接通过智能合约进行交易，降低了借贷成本，提高了借贷效率。例如，Compound 是以太坊上的一个知名借贷平台，用户可以将自己的加密资产存入平台，获得相应的利息收益；也可以抵押资产借入资金，满足自己的资金需求。Compound 的借贷利率根据市场供需关系自动调整，实现了借贷市场的市场化定价。​</w:t>
      </w:r>
    </w:p>
    <w:p w14:paraId="6227C644">
      <w:pPr>
        <w:pStyle w:val="2"/>
        <w:keepNext w:val="0"/>
        <w:keepLines w:val="0"/>
        <w:widowControl/>
        <w:suppressLineNumbers w:val="0"/>
      </w:pPr>
      <w:r>
        <w:t>在交易领域，去中心化交易所（DEX）允许用户直接在区块链上进行数字资产的交易，无需通过中心化交易所。DEX 的交易过程由智能合约自动执行，交易双方的资金直接在区块链上进行转移，避免了中心化交易所的资金托管风险。同时，DEX 还提供了更加丰富的交易对和流动性，用户可以更加便捷地进行数字资产的买卖交易。例如，Uniswap 是以太坊上的一个去中心化交易所，它采用自动做市商（AMM）机制，为用户提供了自动交易和流动性提供服务。在 Uniswap 上，用户可以随时进行数字资产的交易，无需担心交易对手的信用风险。​</w:t>
      </w:r>
    </w:p>
    <w:p w14:paraId="2D79342B">
      <w:pPr>
        <w:pStyle w:val="2"/>
        <w:keepNext w:val="0"/>
        <w:keepLines w:val="0"/>
        <w:widowControl/>
        <w:suppressLineNumbers w:val="0"/>
      </w:pPr>
      <w:r>
        <w:t>然而，DeFi 的发展也面临着一些问题。首先，DeFi 项目的安全性是一个重要问题。由于 DeFi 应用基于智能合约运行，智能合约的漏洞可能导致用户资产的损失。例如，2016 年，以太坊上的 The DAO 项目遭受黑客攻击，导致价值约 6000 万美元的以太币被盗。其次，DeFi 的监管环境尚不完善，不同国家和地区对 DeFi 的监管政策存在差异，这给 DeFi 的发展带来了一定的不确定性。此外，DeFi 的用户体验还有待提高，目前 DeFi 应用的操作相对复杂，对用户的技术要求较高，这限制了 DeFi 的普及和推广。​</w:t>
      </w:r>
    </w:p>
    <w:p w14:paraId="7D38F6F3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数字资产投资​</w:t>
      </w:r>
    </w:p>
    <w:p w14:paraId="7997A61A">
      <w:pPr>
        <w:pStyle w:val="2"/>
        <w:keepNext w:val="0"/>
        <w:keepLines w:val="0"/>
        <w:widowControl/>
        <w:suppressLineNumbers w:val="0"/>
      </w:pPr>
      <w:r>
        <w:t>数字货币作为一种新兴的投资资产，在投资组合中具有一定的作用。首先，数字货币具有较高的投资回报率。以比特币为例，自 2009 年诞生以来，比特币的价格经历了多次大幅上涨，其投资回报率远远超过了传统投资资产。例如，在 2020-2021 年期间，比特币价格从约 3800 美元上涨至约 63000 美元，涨幅超过 1500%。​</w:t>
      </w:r>
    </w:p>
    <w:p w14:paraId="0D2D293A">
      <w:pPr>
        <w:pStyle w:val="2"/>
        <w:keepNext w:val="0"/>
        <w:keepLines w:val="0"/>
        <w:widowControl/>
        <w:suppressLineNumbers w:val="0"/>
      </w:pPr>
      <w:r>
        <w:t>其次，数字货币与传统资产的相关性较低，可以为投资组合提供多元化的价值。根据历史数据统计，比特币价格与美国股票、债券等传统资产的相关性较低，将数字货币纳入投资组合可以降低投资组合的整体风险。例如，在 2020 年疫情爆发期间，全球股市大幅下跌，而比特币价格却相对稳定，甚至出现了上涨，为投资者提供了一定的避险功能。​</w:t>
      </w:r>
    </w:p>
    <w:p w14:paraId="2533EF36">
      <w:pPr>
        <w:pStyle w:val="2"/>
        <w:keepNext w:val="0"/>
        <w:keepLines w:val="0"/>
        <w:widowControl/>
        <w:suppressLineNumbers w:val="0"/>
      </w:pPr>
      <w:r>
        <w:t>然而，数字货币投资也存在着较高的风险。首先，数字货币市场的波动性较大，价格容易受到市场情绪、监管政策等因素的影响，投资者可能面临较大的投资损失。例如，在 2022 年，由于全球经济形势的变化以及监管政策的收紧，比特币价格大幅下跌，一度跌破 2 万美元，许多投资者遭受了巨大的损失。其次，数字货币市场的监管环境尚不完善，存在着市场操纵、欺诈等风险，投资者的合法权益难以得到有效保障。此外，数字货币的技术风险也不容忽视，如区块链技术的安全性、智能合约的漏洞等，都可能导致投资者的资产损失。​</w:t>
      </w:r>
    </w:p>
    <w:p w14:paraId="1432410B">
      <w:pPr>
        <w:pStyle w:val="2"/>
        <w:keepNext w:val="0"/>
        <w:keepLines w:val="0"/>
        <w:widowControl/>
        <w:suppressLineNumbers w:val="0"/>
      </w:pPr>
      <w:r>
        <w:rPr>
          <w:rStyle w:val="5"/>
        </w:rPr>
        <w:t>3、其他领域​</w:t>
      </w:r>
    </w:p>
    <w:p w14:paraId="79037481">
      <w:pPr>
        <w:pStyle w:val="2"/>
        <w:keepNext w:val="0"/>
        <w:keepLines w:val="0"/>
        <w:widowControl/>
        <w:suppressLineNumbers w:val="0"/>
      </w:pPr>
      <w:r>
        <w:t>数字货币在供应链金融、物联网、身份认证等领域也有着广泛的应用。​</w:t>
      </w:r>
    </w:p>
    <w:p w14:paraId="058E8DEB">
      <w:pPr>
        <w:pStyle w:val="2"/>
        <w:keepNext w:val="0"/>
        <w:keepLines w:val="0"/>
        <w:widowControl/>
        <w:suppressLineNumbers w:val="0"/>
      </w:pPr>
      <w:r>
        <w:t>在供应链金融领域，数字货币可以实现供应链上资金的快速流转和结算，提高供应链金融的效率和透明度。以 IBM 与马士基合作开发的区块链平台 TradeLens 为例，该平台利用区块链技术和数字货币，实现了集装箱运输过程中各方信息的实时共享和资金的快速结算。通过 TradeLens 平台，货物的运输状态、交付情况等信息可以实时更新，供应链上的企业可以根据这些信息及时进行资金结算，避免了传统供应链金融中信息不对称和结算周期长的问题。在物联网领域，数字货币可以实现设备之间的自动支付和结算，为物联网的发展提供了新的商业模式。例如，IOTA 是一个专为物联网设计的区块链平台，它采用了独特的缠结（Tangle）技术，实现了设备之间的微支付和数据共享。在 IOTA 平台上，物联网设备可以通过数字货币进行自动支付，如支付电费、数据传输费用等，无需人工干预，提高了物联网设备的运行效率和智能化水平。​</w:t>
      </w:r>
    </w:p>
    <w:p w14:paraId="39D70451">
      <w:pPr>
        <w:pStyle w:val="2"/>
        <w:keepNext w:val="0"/>
        <w:keepLines w:val="0"/>
        <w:widowControl/>
        <w:suppressLineNumbers w:val="0"/>
      </w:pPr>
      <w:r>
        <w:t>在身份认证领域，数字货币可以利用区块链技术实现去中心化的身份验证，保护用户的隐私和数据安全。例如，uPort 是一个基于以太坊的数字身份平台，用户可以通过 uPort 创建和管理自己的数字身份，使用数字货币进行身份验证和授权。在 uPort 平台上，用户的身份信息被加密存储在区块链上，只有用户本人拥有私钥才能访问和使用自己的身份信息，有效保护了用户的隐私和数据安全。数字货币在各个领域的应用不断拓展，为经济</w:t>
      </w:r>
    </w:p>
    <w:p w14:paraId="32B3F8E8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A36972"/>
    <w:rsid w:val="47A36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2025-03-20T06:56:00Z</dcterms:created>
  <dc:creator>yoovii</dc:creator>
  <cp:lastModifiedBy>yoovii</cp:lastModifiedBy>
  <dcterms:modified xsi:type="dcterms:W3CDTF">2025-03-20T06:56:58Z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86E7AD7CE66E47E696E4322775CB4810_11</vt:lpwstr>
  </property>
  <property fmtid="{D5CDD505-2E9C-101B-9397-08002B2CF9AE}" pid="4" name="KSOTemplateDocerSaveRecord">
    <vt:lpwstr>eyJoZGlkIjoiY2JkNjc3NzUwNmY0YTUwNTkzM2ZkNTNjOWU3MTAwOGIiLCJ1c2VySWQiOiI2MDg2NzQ2MTAifQ==</vt:lpwstr>
  </property>
</Properties>
</file>