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pPr>
      <w:bookmarkStart w:id="0" w:name="_Toc517262917"/>
      <w:bookmarkStart w:id="1" w:name="_Toc453597319"/>
      <w:bookmarkStart w:id="2" w:name="_Toc438987549"/>
      <w:bookmarkStart w:id="3" w:name="_Toc418070112"/>
      <w:bookmarkStart w:id="4" w:name="_Toc415818939"/>
      <w:bookmarkStart w:id="5" w:name="_Toc415143481"/>
      <w:bookmarkStart w:id="6" w:name="OLE_LINK13"/>
      <w:bookmarkStart w:id="7" w:name="OLE_LINK40"/>
      <w:bookmarkStart w:id="8" w:name="OLE_LINK24"/>
      <w:bookmarkStart w:id="9" w:name="_Toc415142861"/>
      <w:bookmarkStart w:id="10" w:name="OLE_LINK39"/>
      <w:bookmarkStart w:id="11" w:name="OLE_LINK15"/>
      <w:bookmarkStart w:id="12" w:name="_Toc481801204"/>
      <w:r>
        <w:rPr>
          <w:rFonts w:hint="eastAsia"/>
          <w:lang w:eastAsia="zh-CN"/>
        </w:rPr>
        <w:t>半挂车全球市场总体规模</w:t>
      </w:r>
    </w:p>
    <w:p>
      <w:pPr>
        <w:pStyle w:val="145"/>
        <w:rPr>
          <w:rFonts w:hint="eastAsia"/>
          <w:lang w:eastAsia="zh-CN"/>
        </w:rPr>
      </w:pPr>
      <w:r>
        <w:rPr>
          <w:rFonts w:hint="eastAsia"/>
          <w:lang w:eastAsia="zh-CN"/>
        </w:rPr>
        <w:t>据QYResearch调研团队最新报告“全球半挂车市场报告2023-2029”显示，预计2029年全球半挂车市场规模将达到265.9亿美元，未来几年年复合增长率CAGR为2.9%。</w:t>
      </w:r>
    </w:p>
    <w:p>
      <w:pPr>
        <w:pStyle w:val="148"/>
      </w:pPr>
      <w:r>
        <w:rPr>
          <w:rFonts w:hint="eastAsia"/>
          <w:lang w:eastAsia="zh-CN"/>
        </w:rPr>
        <w:t>半挂车全球市场总体规模，预计2</w:t>
      </w:r>
      <w:r>
        <w:rPr>
          <w:lang w:eastAsia="zh-CN"/>
        </w:rPr>
        <w:t>029</w:t>
      </w:r>
      <w:r>
        <w:rPr>
          <w:rFonts w:hint="eastAsia"/>
          <w:lang w:eastAsia="zh-CN"/>
        </w:rPr>
        <w:t>年达到</w:t>
      </w:r>
      <w:r>
        <w:rPr>
          <w:rFonts w:hint="eastAsia"/>
          <w:lang w:val="en-US" w:eastAsia="zh-CN"/>
        </w:rPr>
        <w:t>265.9</w:t>
      </w:r>
      <w:r>
        <w:rPr>
          <w:rFonts w:hint="eastAsia"/>
          <w:lang w:eastAsia="zh-CN"/>
        </w:rPr>
        <w:t>亿美元</w:t>
      </w:r>
    </w:p>
    <w:p>
      <w:pPr>
        <w:pStyle w:val="145"/>
      </w:pPr>
      <w:r>
        <w:drawing>
          <wp:inline distT="0" distB="0" distL="114300" distR="114300">
            <wp:extent cx="6188710" cy="2936240"/>
            <wp:effectExtent l="0" t="2540" r="2540" b="13970"/>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rPr>
          <w:rFonts w:hint="eastAsia"/>
          <w:lang w:eastAsia="zh-CN"/>
        </w:rPr>
        <w:t>如上图表/数据，摘自QYResearch最新报告“</w:t>
      </w:r>
      <w:r>
        <w:rPr>
          <w:rFonts w:hint="eastAsia"/>
        </w:rPr>
        <w:t>全球</w:t>
      </w:r>
      <w:r>
        <w:rPr>
          <w:rFonts w:hint="eastAsia"/>
          <w:lang w:eastAsia="zh-CN"/>
        </w:rPr>
        <w:t>半挂车</w:t>
      </w:r>
      <w:r>
        <w:rPr>
          <w:rFonts w:hint="eastAsia"/>
        </w:rPr>
        <w:t>市场研究报告2023-2029</w:t>
      </w:r>
      <w:r>
        <w:t>.</w:t>
      </w:r>
    </w:p>
    <w:p>
      <w:pPr>
        <w:pStyle w:val="145"/>
      </w:pPr>
    </w:p>
    <w:p>
      <w:pPr>
        <w:pStyle w:val="148"/>
        <w:rPr>
          <w:lang w:eastAsia="zh-CN"/>
        </w:rPr>
      </w:pPr>
      <w:r>
        <w:rPr>
          <w:rFonts w:hint="eastAsia"/>
          <w:lang w:eastAsia="zh-CN"/>
        </w:rPr>
        <w:t>全球半挂车市场前</w:t>
      </w:r>
      <w:r>
        <w:rPr>
          <w:rFonts w:hint="eastAsia"/>
          <w:lang w:val="en-US" w:eastAsia="zh-CN"/>
        </w:rPr>
        <w:t>12</w:t>
      </w:r>
      <w:r>
        <w:rPr>
          <w:rFonts w:hint="eastAsia"/>
          <w:lang w:eastAsia="zh-CN"/>
        </w:rPr>
        <w:t>强生产商排名及市场占有率（持续更新）</w:t>
      </w:r>
    </w:p>
    <w:p>
      <w:pPr>
        <w:pStyle w:val="145"/>
        <w:jc w:val="center"/>
      </w:pPr>
      <w:r>
        <w:drawing>
          <wp:inline distT="0" distB="0" distL="114300" distR="114300">
            <wp:extent cx="4572000" cy="4409440"/>
            <wp:effectExtent l="0" t="0" r="0" b="10160"/>
            <wp:docPr id="4"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5"/>
        <w:jc w:val="center"/>
      </w:pPr>
      <w:r>
        <w:rPr>
          <w:rFonts w:hint="eastAsia"/>
          <w:lang w:eastAsia="zh-CN"/>
        </w:rPr>
        <w:t>如上图表/数据，摘自QYResearch最新报告“</w:t>
      </w:r>
      <w:r>
        <w:rPr>
          <w:rFonts w:hint="eastAsia"/>
        </w:rPr>
        <w:t>全球</w:t>
      </w:r>
      <w:r>
        <w:rPr>
          <w:rFonts w:hint="eastAsia"/>
          <w:lang w:eastAsia="zh-CN"/>
        </w:rPr>
        <w:t>半挂车</w:t>
      </w:r>
      <w:r>
        <w:rPr>
          <w:rFonts w:hint="eastAsia"/>
        </w:rPr>
        <w:t>市场研究报告2023-2029</w:t>
      </w:r>
      <w:r>
        <w:t>.</w:t>
      </w:r>
    </w:p>
    <w:p>
      <w:pPr>
        <w:pStyle w:val="145"/>
        <w:rPr>
          <w:rFonts w:hint="eastAsia"/>
          <w:lang w:eastAsia="zh-CN"/>
        </w:rPr>
      </w:pPr>
      <w:r>
        <w:rPr>
          <w:rFonts w:hint="eastAsia"/>
          <w:lang w:eastAsia="zh-CN"/>
        </w:rPr>
        <w:t>全球范围内半挂车生产商主要包括CIMC、Schmitz Cargobull、Wabash National、Krone、Great Dane、Utility Trailer、Hyundai Translead、Luoxiang、Welton、Kogel等。2022年，全球前五大厂商占有大约34.0%的市场份额。</w:t>
      </w:r>
    </w:p>
    <w:p>
      <w:pPr>
        <w:pStyle w:val="145"/>
      </w:pPr>
      <w:r>
        <w:br w:type="page"/>
      </w:r>
    </w:p>
    <w:bookmarkEnd w:id="0"/>
    <w:bookmarkEnd w:id="1"/>
    <w:bookmarkEnd w:id="2"/>
    <w:bookmarkEnd w:id="3"/>
    <w:bookmarkEnd w:id="4"/>
    <w:bookmarkEnd w:id="5"/>
    <w:bookmarkEnd w:id="6"/>
    <w:bookmarkEnd w:id="7"/>
    <w:bookmarkEnd w:id="8"/>
    <w:bookmarkEnd w:id="9"/>
    <w:bookmarkEnd w:id="10"/>
    <w:bookmarkEnd w:id="11"/>
    <w:bookmarkEnd w:id="12"/>
    <w:p>
      <w:pPr>
        <w:pStyle w:val="167"/>
        <w:rPr>
          <w:lang w:eastAsia="zh-CN"/>
        </w:rPr>
      </w:pPr>
      <w:r>
        <w:rPr>
          <w:rFonts w:hint="eastAsia"/>
          <w:lang w:eastAsia="zh-CN"/>
        </w:rPr>
        <w:t>2023年全球半挂车行业总体规模、主要企业国内外市场占有率及排名</w:t>
      </w:r>
    </w:p>
    <w:p>
      <w:pPr>
        <w:pStyle w:val="145"/>
        <w:rPr>
          <w:rFonts w:hint="eastAsia"/>
          <w:lang w:eastAsia="zh-CN"/>
        </w:rPr>
      </w:pPr>
      <w:r>
        <w:rPr>
          <w:rFonts w:hint="eastAsia"/>
          <w:lang w:eastAsia="zh-CN"/>
        </w:rPr>
        <w:t>根据研究团队调研统计，2022年全球半挂车市场销售额达到了1393亿元，预计2029年将达到1794亿元，年复合增长率（CAGR）为3.4%（2023-2029）。中国市场在过去几年变化较快，2022年市场规模为 亿元，约占全球的 %，预计2029年将达到 亿元，届时全球占比将达到 %。</w:t>
      </w:r>
    </w:p>
    <w:p>
      <w:pPr>
        <w:pStyle w:val="145"/>
        <w:rPr>
          <w:rFonts w:hint="eastAsia"/>
          <w:lang w:eastAsia="zh-CN"/>
        </w:rPr>
      </w:pPr>
      <w:r>
        <w:rPr>
          <w:rFonts w:hint="eastAsia"/>
          <w:lang w:eastAsia="zh-CN"/>
        </w:rPr>
        <w:t>中国是最大的半挂车市场，约占35%的市场份额，其次是北美，约占30%的市场份额。</w:t>
      </w:r>
    </w:p>
    <w:p>
      <w:pPr>
        <w:pStyle w:val="145"/>
        <w:rPr>
          <w:rFonts w:hint="eastAsia"/>
          <w:lang w:eastAsia="zh-CN"/>
        </w:rPr>
      </w:pPr>
      <w:r>
        <w:rPr>
          <w:rFonts w:hint="eastAsia"/>
          <w:lang w:eastAsia="zh-CN"/>
        </w:rPr>
        <w:t>主要的生产厂商有Schmitz Cargobull, Krone, Kogel, CIMC, Schwarzmüller Group等。排名前五的厂商约占33%的市场份额。</w:t>
      </w:r>
    </w:p>
    <w:p>
      <w:pPr>
        <w:pStyle w:val="145"/>
        <w:rPr>
          <w:rFonts w:hint="eastAsia"/>
          <w:lang w:eastAsia="zh-CN"/>
        </w:rPr>
      </w:pPr>
      <w:r>
        <w:rPr>
          <w:rFonts w:hint="eastAsia"/>
          <w:lang w:eastAsia="zh-CN"/>
        </w:rPr>
        <w:t>本文侧重研究全球半挂车总体规模及主要厂商占有率和排名，主要统计指标包括半挂车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rPr>
          <w:rFonts w:hint="eastAsia"/>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rPr>
          <w:rFonts w:hint="eastAsia"/>
          <w:lang w:eastAsia="zh-CN"/>
        </w:rPr>
      </w:pPr>
      <w:r>
        <w:rPr>
          <w:rFonts w:hint="eastAsia"/>
          <w:lang w:eastAsia="zh-CN"/>
        </w:rPr>
        <w:t>本文主要企业名单如下，也可根据客户要求增加目标企业：</w:t>
      </w:r>
    </w:p>
    <w:p>
      <w:pPr>
        <w:pStyle w:val="145"/>
        <w:rPr>
          <w:rFonts w:hint="eastAsia"/>
          <w:lang w:eastAsia="zh-CN"/>
        </w:rPr>
      </w:pPr>
      <w:r>
        <w:rPr>
          <w:rFonts w:hint="eastAsia"/>
          <w:lang w:eastAsia="zh-CN"/>
        </w:rPr>
        <w:t xml:space="preserve">    中集集团</w:t>
      </w:r>
    </w:p>
    <w:p>
      <w:pPr>
        <w:pStyle w:val="145"/>
        <w:rPr>
          <w:rFonts w:hint="eastAsia"/>
          <w:lang w:eastAsia="zh-CN"/>
        </w:rPr>
      </w:pPr>
      <w:r>
        <w:rPr>
          <w:rFonts w:hint="eastAsia"/>
          <w:lang w:eastAsia="zh-CN"/>
        </w:rPr>
        <w:t xml:space="preserve">    Schmitz Cargobull</w:t>
      </w:r>
    </w:p>
    <w:p>
      <w:pPr>
        <w:pStyle w:val="145"/>
        <w:rPr>
          <w:rFonts w:hint="eastAsia"/>
          <w:lang w:eastAsia="zh-CN"/>
        </w:rPr>
      </w:pPr>
      <w:r>
        <w:rPr>
          <w:rFonts w:hint="eastAsia"/>
          <w:lang w:eastAsia="zh-CN"/>
        </w:rPr>
        <w:t xml:space="preserve">    Wabash National</w:t>
      </w:r>
    </w:p>
    <w:p>
      <w:pPr>
        <w:pStyle w:val="145"/>
        <w:rPr>
          <w:rFonts w:hint="eastAsia"/>
          <w:lang w:eastAsia="zh-CN"/>
        </w:rPr>
      </w:pPr>
      <w:r>
        <w:rPr>
          <w:rFonts w:hint="eastAsia"/>
          <w:lang w:eastAsia="zh-CN"/>
        </w:rPr>
        <w:t xml:space="preserve">    Krone</w:t>
      </w:r>
    </w:p>
    <w:p>
      <w:pPr>
        <w:pStyle w:val="145"/>
        <w:rPr>
          <w:rFonts w:hint="eastAsia"/>
          <w:lang w:eastAsia="zh-CN"/>
        </w:rPr>
      </w:pPr>
      <w:r>
        <w:rPr>
          <w:rFonts w:hint="eastAsia"/>
          <w:lang w:eastAsia="zh-CN"/>
        </w:rPr>
        <w:t xml:space="preserve">    Great Dane</w:t>
      </w:r>
    </w:p>
    <w:p>
      <w:pPr>
        <w:pStyle w:val="145"/>
        <w:rPr>
          <w:rFonts w:hint="eastAsia"/>
          <w:lang w:eastAsia="zh-CN"/>
        </w:rPr>
      </w:pPr>
      <w:r>
        <w:rPr>
          <w:rFonts w:hint="eastAsia"/>
          <w:lang w:eastAsia="zh-CN"/>
        </w:rPr>
        <w:t xml:space="preserve">    Utility Trailer</w:t>
      </w:r>
    </w:p>
    <w:p>
      <w:pPr>
        <w:pStyle w:val="145"/>
        <w:rPr>
          <w:rFonts w:hint="eastAsia"/>
          <w:lang w:eastAsia="zh-CN"/>
        </w:rPr>
      </w:pPr>
      <w:r>
        <w:rPr>
          <w:rFonts w:hint="eastAsia"/>
          <w:lang w:eastAsia="zh-CN"/>
        </w:rPr>
        <w:t xml:space="preserve">    Hyundai Translead</w:t>
      </w:r>
    </w:p>
    <w:p>
      <w:pPr>
        <w:pStyle w:val="145"/>
        <w:rPr>
          <w:rFonts w:hint="eastAsia"/>
          <w:lang w:eastAsia="zh-CN"/>
        </w:rPr>
      </w:pPr>
      <w:r>
        <w:rPr>
          <w:rFonts w:hint="eastAsia"/>
          <w:lang w:eastAsia="zh-CN"/>
        </w:rPr>
        <w:t xml:space="preserve">    锣响</w:t>
      </w:r>
    </w:p>
    <w:p>
      <w:pPr>
        <w:pStyle w:val="145"/>
        <w:rPr>
          <w:rFonts w:hint="eastAsia"/>
          <w:lang w:eastAsia="zh-CN"/>
        </w:rPr>
      </w:pPr>
      <w:r>
        <w:rPr>
          <w:rFonts w:hint="eastAsia"/>
          <w:lang w:eastAsia="zh-CN"/>
        </w:rPr>
        <w:t xml:space="preserve">    Welton</w:t>
      </w:r>
    </w:p>
    <w:p>
      <w:pPr>
        <w:pStyle w:val="145"/>
        <w:rPr>
          <w:rFonts w:hint="eastAsia"/>
          <w:lang w:eastAsia="zh-CN"/>
        </w:rPr>
      </w:pPr>
      <w:r>
        <w:rPr>
          <w:rFonts w:hint="eastAsia"/>
          <w:lang w:eastAsia="zh-CN"/>
        </w:rPr>
        <w:t xml:space="preserve">    Kogel</w:t>
      </w:r>
    </w:p>
    <w:p>
      <w:pPr>
        <w:pStyle w:val="145"/>
        <w:rPr>
          <w:rFonts w:hint="eastAsia"/>
          <w:lang w:eastAsia="zh-CN"/>
        </w:rPr>
      </w:pPr>
      <w:r>
        <w:rPr>
          <w:rFonts w:hint="eastAsia"/>
          <w:lang w:eastAsia="zh-CN"/>
        </w:rPr>
        <w:t xml:space="preserve">    Stoughton</w:t>
      </w:r>
    </w:p>
    <w:p>
      <w:pPr>
        <w:pStyle w:val="145"/>
        <w:rPr>
          <w:rFonts w:hint="eastAsia"/>
          <w:lang w:eastAsia="zh-CN"/>
        </w:rPr>
      </w:pPr>
      <w:r>
        <w:rPr>
          <w:rFonts w:hint="eastAsia"/>
          <w:lang w:eastAsia="zh-CN"/>
        </w:rPr>
        <w:t xml:space="preserve">    Schwarzmüller Group</w:t>
      </w:r>
    </w:p>
    <w:p>
      <w:pPr>
        <w:pStyle w:val="145"/>
        <w:rPr>
          <w:rFonts w:hint="eastAsia"/>
          <w:lang w:eastAsia="zh-CN"/>
        </w:rPr>
      </w:pPr>
      <w:r>
        <w:rPr>
          <w:rFonts w:hint="eastAsia"/>
          <w:lang w:eastAsia="zh-CN"/>
        </w:rPr>
        <w:t>按照不同产品类型，包括如下几个类别：</w:t>
      </w:r>
    </w:p>
    <w:p>
      <w:pPr>
        <w:pStyle w:val="145"/>
        <w:rPr>
          <w:rFonts w:hint="eastAsia"/>
          <w:lang w:eastAsia="zh-CN"/>
        </w:rPr>
      </w:pPr>
      <w:r>
        <w:rPr>
          <w:rFonts w:hint="eastAsia"/>
          <w:lang w:eastAsia="zh-CN"/>
        </w:rPr>
        <w:t xml:space="preserve">    平板半挂车</w:t>
      </w:r>
    </w:p>
    <w:p>
      <w:pPr>
        <w:pStyle w:val="145"/>
        <w:rPr>
          <w:rFonts w:hint="eastAsia"/>
          <w:lang w:eastAsia="zh-CN"/>
        </w:rPr>
      </w:pPr>
      <w:r>
        <w:rPr>
          <w:rFonts w:hint="eastAsia"/>
          <w:lang w:eastAsia="zh-CN"/>
        </w:rPr>
        <w:t xml:space="preserve">    多轮轴矮平板半挂</w:t>
      </w:r>
    </w:p>
    <w:p>
      <w:pPr>
        <w:pStyle w:val="145"/>
        <w:rPr>
          <w:rFonts w:hint="eastAsia"/>
          <w:lang w:eastAsia="zh-CN"/>
        </w:rPr>
      </w:pPr>
      <w:r>
        <w:rPr>
          <w:rFonts w:hint="eastAsia"/>
          <w:lang w:eastAsia="zh-CN"/>
        </w:rPr>
        <w:t xml:space="preserve">    厢式半挂车</w:t>
      </w:r>
    </w:p>
    <w:p>
      <w:pPr>
        <w:pStyle w:val="145"/>
        <w:rPr>
          <w:rFonts w:hint="eastAsia"/>
          <w:lang w:eastAsia="zh-CN"/>
        </w:rPr>
      </w:pPr>
      <w:r>
        <w:rPr>
          <w:rFonts w:hint="eastAsia"/>
          <w:lang w:eastAsia="zh-CN"/>
        </w:rPr>
        <w:t xml:space="preserve">    冷藏半挂车</w:t>
      </w:r>
    </w:p>
    <w:p>
      <w:pPr>
        <w:pStyle w:val="145"/>
        <w:rPr>
          <w:rFonts w:hint="eastAsia"/>
          <w:lang w:eastAsia="zh-CN"/>
        </w:rPr>
      </w:pPr>
      <w:r>
        <w:rPr>
          <w:rFonts w:hint="eastAsia"/>
          <w:lang w:eastAsia="zh-CN"/>
        </w:rPr>
        <w:t xml:space="preserve">    其他半挂车</w:t>
      </w:r>
    </w:p>
    <w:p>
      <w:pPr>
        <w:pStyle w:val="145"/>
        <w:rPr>
          <w:rFonts w:hint="eastAsia"/>
          <w:lang w:eastAsia="zh-CN"/>
        </w:rPr>
      </w:pPr>
      <w:r>
        <w:rPr>
          <w:rFonts w:hint="eastAsia"/>
          <w:lang w:eastAsia="zh-CN"/>
        </w:rPr>
        <w:t>按照不同应用，主要包括如下几个方面：</w:t>
      </w:r>
    </w:p>
    <w:p>
      <w:pPr>
        <w:pStyle w:val="145"/>
        <w:rPr>
          <w:rFonts w:hint="eastAsia"/>
          <w:lang w:eastAsia="zh-CN"/>
        </w:rPr>
      </w:pPr>
      <w:r>
        <w:rPr>
          <w:rFonts w:hint="eastAsia"/>
          <w:lang w:eastAsia="zh-CN"/>
        </w:rPr>
        <w:t xml:space="preserve">    物流</w:t>
      </w:r>
    </w:p>
    <w:p>
      <w:pPr>
        <w:pStyle w:val="145"/>
        <w:rPr>
          <w:rFonts w:hint="eastAsia"/>
          <w:lang w:eastAsia="zh-CN"/>
        </w:rPr>
      </w:pPr>
      <w:r>
        <w:rPr>
          <w:rFonts w:hint="eastAsia"/>
          <w:lang w:eastAsia="zh-CN"/>
        </w:rPr>
        <w:t xml:space="preserve">    化学</w:t>
      </w:r>
    </w:p>
    <w:p>
      <w:pPr>
        <w:pStyle w:val="145"/>
        <w:rPr>
          <w:rFonts w:hint="eastAsia"/>
          <w:lang w:eastAsia="zh-CN"/>
        </w:rPr>
      </w:pPr>
      <w:r>
        <w:rPr>
          <w:rFonts w:hint="eastAsia"/>
          <w:lang w:eastAsia="zh-CN"/>
        </w:rPr>
        <w:t xml:space="preserve">    食物</w:t>
      </w:r>
    </w:p>
    <w:p>
      <w:pPr>
        <w:pStyle w:val="145"/>
        <w:rPr>
          <w:rFonts w:hint="eastAsia"/>
          <w:lang w:eastAsia="zh-CN"/>
        </w:rPr>
      </w:pPr>
      <w:r>
        <w:rPr>
          <w:rFonts w:hint="eastAsia"/>
          <w:lang w:eastAsia="zh-CN"/>
        </w:rPr>
        <w:t xml:space="preserve">    水泥</w:t>
      </w:r>
    </w:p>
    <w:p>
      <w:pPr>
        <w:pStyle w:val="145"/>
        <w:rPr>
          <w:rFonts w:hint="eastAsia"/>
          <w:lang w:eastAsia="zh-CN"/>
        </w:rPr>
      </w:pPr>
      <w:r>
        <w:rPr>
          <w:rFonts w:hint="eastAsia"/>
          <w:lang w:eastAsia="zh-CN"/>
        </w:rPr>
        <w:t xml:space="preserve">    石油和天然气</w:t>
      </w:r>
    </w:p>
    <w:p>
      <w:pPr>
        <w:pStyle w:val="145"/>
        <w:rPr>
          <w:rFonts w:hint="eastAsia"/>
          <w:lang w:eastAsia="zh-CN"/>
        </w:rPr>
      </w:pPr>
      <w:r>
        <w:rPr>
          <w:rFonts w:hint="eastAsia"/>
          <w:lang w:eastAsia="zh-CN"/>
        </w:rPr>
        <w:t xml:space="preserve">    其他</w:t>
      </w:r>
    </w:p>
    <w:p>
      <w:pPr>
        <w:pStyle w:val="145"/>
        <w:rPr>
          <w:rFonts w:hint="eastAsia"/>
          <w:lang w:eastAsia="zh-CN"/>
        </w:rPr>
      </w:pPr>
      <w:r>
        <w:rPr>
          <w:rFonts w:hint="eastAsia"/>
          <w:lang w:eastAsia="zh-CN"/>
        </w:rPr>
        <w:t>重点关注如下几个地区</w:t>
      </w:r>
    </w:p>
    <w:p>
      <w:pPr>
        <w:pStyle w:val="145"/>
        <w:rPr>
          <w:rFonts w:hint="eastAsia"/>
          <w:lang w:eastAsia="zh-CN"/>
        </w:rPr>
      </w:pPr>
      <w:r>
        <w:rPr>
          <w:rFonts w:hint="eastAsia"/>
          <w:lang w:eastAsia="zh-CN"/>
        </w:rPr>
        <w:t xml:space="preserve">    北美</w:t>
      </w:r>
    </w:p>
    <w:p>
      <w:pPr>
        <w:pStyle w:val="145"/>
        <w:rPr>
          <w:rFonts w:hint="eastAsia"/>
          <w:lang w:eastAsia="zh-CN"/>
        </w:rPr>
      </w:pPr>
      <w:r>
        <w:rPr>
          <w:rFonts w:hint="eastAsia"/>
          <w:lang w:eastAsia="zh-CN"/>
        </w:rPr>
        <w:t xml:space="preserve">    欧洲</w:t>
      </w:r>
    </w:p>
    <w:p>
      <w:pPr>
        <w:pStyle w:val="145"/>
        <w:rPr>
          <w:rFonts w:hint="eastAsia"/>
          <w:lang w:eastAsia="zh-CN"/>
        </w:rPr>
      </w:pPr>
      <w:r>
        <w:rPr>
          <w:rFonts w:hint="eastAsia"/>
          <w:lang w:eastAsia="zh-CN"/>
        </w:rPr>
        <w:t xml:space="preserve">    日本</w:t>
      </w:r>
    </w:p>
    <w:p>
      <w:pPr>
        <w:pStyle w:val="145"/>
        <w:rPr>
          <w:rFonts w:hint="eastAsia"/>
          <w:lang w:eastAsia="zh-CN"/>
        </w:rPr>
      </w:pPr>
      <w:r>
        <w:rPr>
          <w:rFonts w:hint="eastAsia"/>
          <w:lang w:eastAsia="zh-CN"/>
        </w:rPr>
        <w:t xml:space="preserve">    中国</w:t>
      </w:r>
    </w:p>
    <w:p>
      <w:pPr>
        <w:pStyle w:val="145"/>
        <w:rPr>
          <w:rFonts w:hint="eastAsia"/>
          <w:lang w:eastAsia="zh-CN"/>
        </w:rPr>
      </w:pPr>
      <w:r>
        <w:rPr>
          <w:rFonts w:hint="eastAsia"/>
          <w:lang w:eastAsia="zh-CN"/>
        </w:rPr>
        <w:t>本文正文共10章，各章节主要内容如下：</w:t>
      </w:r>
    </w:p>
    <w:p>
      <w:pPr>
        <w:pStyle w:val="145"/>
        <w:rPr>
          <w:rFonts w:hint="eastAsia"/>
          <w:lang w:eastAsia="zh-CN"/>
        </w:rPr>
      </w:pPr>
      <w:r>
        <w:rPr>
          <w:rFonts w:hint="eastAsia"/>
          <w:lang w:eastAsia="zh-CN"/>
        </w:rPr>
        <w:t>第1章：报告统计范围、所属行业、产品细分及主要的下游市场，行业现状及进入壁垒等</w:t>
      </w:r>
    </w:p>
    <w:p>
      <w:pPr>
        <w:pStyle w:val="145"/>
        <w:rPr>
          <w:rFonts w:hint="eastAsia"/>
          <w:lang w:eastAsia="zh-CN"/>
        </w:rPr>
      </w:pPr>
      <w:r>
        <w:rPr>
          <w:rFonts w:hint="eastAsia"/>
          <w:lang w:eastAsia="zh-CN"/>
        </w:rPr>
        <w:t>第2章：国内外主要企业市场占有率及排名</w:t>
      </w:r>
    </w:p>
    <w:p>
      <w:pPr>
        <w:pStyle w:val="145"/>
        <w:rPr>
          <w:rFonts w:hint="eastAsia"/>
          <w:lang w:eastAsia="zh-CN"/>
        </w:rPr>
      </w:pPr>
      <w:r>
        <w:rPr>
          <w:rFonts w:hint="eastAsia"/>
          <w:lang w:eastAsia="zh-CN"/>
        </w:rPr>
        <w:t>第3章：全球总体规模（产能、产量、销量、需求量、销售收入等数据，2018-2029年）</w:t>
      </w:r>
    </w:p>
    <w:p>
      <w:pPr>
        <w:pStyle w:val="145"/>
        <w:rPr>
          <w:rFonts w:hint="eastAsia"/>
          <w:lang w:eastAsia="zh-CN"/>
        </w:rPr>
      </w:pPr>
      <w:r>
        <w:rPr>
          <w:rFonts w:hint="eastAsia"/>
          <w:lang w:eastAsia="zh-CN"/>
        </w:rPr>
        <w:t>第4章：全球半挂车主要地区分析，包括销量、销售收入等</w:t>
      </w:r>
    </w:p>
    <w:p>
      <w:pPr>
        <w:pStyle w:val="145"/>
        <w:rPr>
          <w:rFonts w:hint="eastAsia"/>
          <w:lang w:eastAsia="zh-CN"/>
        </w:rPr>
      </w:pPr>
      <w:r>
        <w:rPr>
          <w:rFonts w:hint="eastAsia"/>
          <w:lang w:eastAsia="zh-CN"/>
        </w:rPr>
        <w:t>第5章：全球半挂车主要厂商基本情况介绍，包括公司简介、半挂车产品型号、销量、收入、价格及最新动态等</w:t>
      </w:r>
    </w:p>
    <w:p>
      <w:pPr>
        <w:pStyle w:val="145"/>
        <w:rPr>
          <w:rFonts w:hint="eastAsia"/>
          <w:lang w:eastAsia="zh-CN"/>
        </w:rPr>
      </w:pPr>
      <w:r>
        <w:rPr>
          <w:rFonts w:hint="eastAsia"/>
          <w:lang w:eastAsia="zh-CN"/>
        </w:rPr>
        <w:t>第6章：全球不同产品类型半挂车销量、收入、价格及份额等</w:t>
      </w:r>
    </w:p>
    <w:p>
      <w:pPr>
        <w:pStyle w:val="145"/>
        <w:rPr>
          <w:rFonts w:hint="eastAsia"/>
          <w:lang w:eastAsia="zh-CN"/>
        </w:rPr>
      </w:pPr>
      <w:r>
        <w:rPr>
          <w:rFonts w:hint="eastAsia"/>
          <w:lang w:eastAsia="zh-CN"/>
        </w:rPr>
        <w:t>第7章：全球不同应用半挂车销量、收入、价格及份额等</w:t>
      </w:r>
    </w:p>
    <w:p>
      <w:pPr>
        <w:pStyle w:val="145"/>
        <w:rPr>
          <w:rFonts w:hint="eastAsia"/>
          <w:lang w:eastAsia="zh-CN"/>
        </w:rPr>
      </w:pPr>
      <w:r>
        <w:rPr>
          <w:rFonts w:hint="eastAsia"/>
          <w:lang w:eastAsia="zh-CN"/>
        </w:rPr>
        <w:t>第8章：行业发展趋势、驱动因素、行业政策等</w:t>
      </w:r>
    </w:p>
    <w:p>
      <w:pPr>
        <w:pStyle w:val="145"/>
        <w:rPr>
          <w:rFonts w:hint="eastAsia"/>
          <w:lang w:eastAsia="zh-CN"/>
        </w:rPr>
      </w:pPr>
      <w:r>
        <w:rPr>
          <w:rFonts w:hint="eastAsia"/>
          <w:lang w:eastAsia="zh-CN"/>
        </w:rPr>
        <w:t>第9章：产业链、上下游分析、生产模式、销售，模式及销售渠道分析等</w:t>
      </w:r>
    </w:p>
    <w:p>
      <w:pPr>
        <w:pStyle w:val="145"/>
        <w:rPr>
          <w:rFonts w:hint="eastAsia"/>
          <w:lang w:eastAsia="zh-CN"/>
        </w:rPr>
      </w:pPr>
      <w:r>
        <w:rPr>
          <w:rFonts w:hint="eastAsia"/>
          <w:lang w:eastAsia="zh-CN"/>
        </w:rPr>
        <w:t>第10章：报告结论</w:t>
      </w:r>
    </w:p>
    <w:p>
      <w:pPr>
        <w:pStyle w:val="145"/>
        <w:rPr>
          <w:rFonts w:hint="eastAsia"/>
          <w:lang w:eastAsia="zh-CN"/>
        </w:rPr>
      </w:pPr>
      <w:bookmarkStart w:id="13" w:name="_GoBack"/>
      <w:bookmarkEnd w:id="13"/>
    </w:p>
    <w:p>
      <w:pPr>
        <w:pStyle w:val="145"/>
        <w:rPr>
          <w:rFonts w:hint="eastAsia"/>
          <w:lang w:eastAsia="zh-CN"/>
        </w:rPr>
      </w:pPr>
    </w:p>
    <w:p>
      <w:pPr>
        <w:pStyle w:val="145"/>
        <w:rPr>
          <w:lang w:eastAsia="zh-CN"/>
        </w:rPr>
      </w:pPr>
      <w:r>
        <w:rPr>
          <w:rFonts w:hint="eastAsia"/>
          <w:lang w:eastAsia="zh-CN"/>
        </w:rPr>
        <w:t>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altName w:val="Yu Gothic UI"/>
    <w:panose1 w:val="020B0502020202020204"/>
    <w:charset w:val="00"/>
    <w:family w:val="swiss"/>
    <w:pitch w:val="default"/>
    <w:sig w:usb0="00000000" w:usb1="00000000" w:usb2="00000000" w:usb3="00000000" w:csb0="2000009F" w:csb1="DFD70000"/>
  </w:font>
  <w:font w:name="Franklin Gothic Demi">
    <w:altName w:val="Yu Gothic UI Semibold"/>
    <w:panose1 w:val="020B0703020102020204"/>
    <w:charset w:val="00"/>
    <w:family w:val="swiss"/>
    <w:pitch w:val="default"/>
    <w:sig w:usb0="00000000" w:usb1="00000000" w:usb2="00000000" w:usb3="00000000" w:csb0="2000009F" w:csb1="DFD7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r>
      <w:rPr>
        <w:b/>
        <w:sz w:val="21"/>
        <w:szCs w:val="22"/>
      </w:rPr>
      <w:t xml:space="preserve">Copyright © QYResearch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C4D"/>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809"/>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83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39"/>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797"/>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1B0"/>
    <w:rsid w:val="006E42A7"/>
    <w:rsid w:val="006E4324"/>
    <w:rsid w:val="006E464C"/>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627"/>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93A"/>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97C"/>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67F"/>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133731B9"/>
    <w:rsid w:val="337A784D"/>
    <w:rsid w:val="445E2538"/>
    <w:rsid w:val="5C967D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unhideWhenUsed/>
    <w:qFormat/>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qFormat/>
    <w:uiPriority w:val="0"/>
    <w:pPr>
      <w:ind w:left="842" w:hanging="422"/>
    </w:pPr>
    <w:rPr>
      <w:rFonts w:cs="宋体"/>
    </w:rPr>
  </w:style>
  <w:style w:type="paragraph" w:customStyle="1" w:styleId="124">
    <w:name w:val="样式 图表目录 + 左侧:  2 字符 悬挂缩进: 2 字符1"/>
    <w:basedOn w:val="28"/>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200" w:after="20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chart" Target="charts/chart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2.xml"/><Relationship Id="rId3" Type="http://schemas.microsoft.com/office/2011/relationships/chartStyle" Target="style2.xml"/><Relationship Id="rId2" Type="http://schemas.openxmlformats.org/officeDocument/2006/relationships/chartUserShapes" Target="../drawings/drawing1.xml"/><Relationship Id="rId1" Type="http://schemas.openxmlformats.org/officeDocument/2006/relationships/oleObject" Target="file:///C:\Users\admin\Documents\tencent%20files\2537702024\filerecv\&#35266;&#28857;&#25968;&#25454;&#22270;&#34920;&#27169;&#26495;-&#20840;&#29699;20230927%20&#23454;&#20064;&#21516;&#23398;(1).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Documents\tencent%20files\2537702024\filerecv\&#35266;&#28857;&#25968;&#25454;&#22270;&#34920;&#27169;&#26495;-&#20840;&#29699;20230927%20&#23454;&#20064;&#21516;&#23398;(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altLang="en-US" sz="1100">
                <a:latin typeface="Book Antiqua" panose="02040602050305030304" pitchFamily="1" charset="0"/>
              </a:rPr>
              <a:t>全球市场规模（百万美元）</a:t>
            </a:r>
            <a:endParaRPr lang="en-US" altLang="zh-CN" sz="1100">
              <a:latin typeface="Book Antiqua" panose="02040602050305030304" pitchFamily="1" charset="0"/>
            </a:endParaRPr>
          </a:p>
        </c:rich>
      </c:tx>
      <c:layout>
        <c:manualLayout>
          <c:xMode val="edge"/>
          <c:yMode val="edge"/>
          <c:x val="0.369168953351627"/>
          <c:y val="0.0213826032800498"/>
        </c:manualLayout>
      </c:layout>
      <c:overlay val="0"/>
      <c:spPr>
        <a:noFill/>
        <a:ln>
          <a:noFill/>
        </a:ln>
        <a:effectLst/>
      </c:spPr>
    </c:title>
    <c:autoTitleDeleted val="0"/>
    <c:plotArea>
      <c:layout>
        <c:manualLayout>
          <c:layoutTarget val="inner"/>
          <c:xMode val="edge"/>
          <c:yMode val="edge"/>
          <c:x val="0.0580120117504149"/>
          <c:y val="0.113841104625366"/>
          <c:w val="0.937283950617284"/>
          <c:h val="0.793030392156863"/>
        </c:manualLayout>
      </c:layout>
      <c:barChart>
        <c:barDir val="col"/>
        <c:grouping val="clustered"/>
        <c:varyColors val="0"/>
        <c:ser>
          <c:idx val="0"/>
          <c:order val="0"/>
          <c:tx>
            <c:strRef>
              <c:f>'[观点数据图表模板-全球20230927 实习同学(1).xlsx]全球总体'!$A$22</c:f>
              <c:strCache>
                <c:ptCount val="1"/>
                <c:pt idx="0">
                  <c:v>Global Market Size ($ Mn)</c:v>
                </c:pt>
              </c:strCache>
            </c:strRef>
          </c:tx>
          <c:spPr>
            <a:solidFill>
              <a:srgbClr val="002060"/>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'[观点数据图表模板-全球20230927 实习同学(1).xlsx]全球总体'!$B$21:$D$21</c:f>
              <c:numCache>
                <c:formatCode>General</c:formatCode>
                <c:ptCount val="3"/>
                <c:pt idx="0">
                  <c:v>2018</c:v>
                </c:pt>
                <c:pt idx="1">
                  <c:v>2022</c:v>
                </c:pt>
                <c:pt idx="2">
                  <c:v>2029</c:v>
                </c:pt>
              </c:numCache>
            </c:numRef>
          </c:cat>
          <c:val>
            <c:numRef>
              <c:f>'[观点数据图表模板-全球20230927 实习同学(1).xlsx]全球总体'!$B$22:$D$22</c:f>
              <c:numCache>
                <c:formatCode>#,##0_ </c:formatCode>
                <c:ptCount val="3"/>
                <c:pt idx="0">
                  <c:v>24210.74</c:v>
                </c:pt>
                <c:pt idx="1">
                  <c:v>21640.19</c:v>
                </c:pt>
                <c:pt idx="2">
                  <c:v>26593.7099115928</c:v>
                </c:pt>
              </c:numCache>
            </c:numRef>
          </c:val>
        </c:ser>
        <c:dLbls>
          <c:showLegendKey val="0"/>
          <c:showVal val="1"/>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40624697234778"/>
          <c:y val="0.0346320818516983"/>
        </c:manualLayout>
      </c:layout>
      <c:overlay val="0"/>
      <c:spPr>
        <a:noFill/>
        <a:ln>
          <a:noFill/>
        </a:ln>
        <a:effectLst/>
      </c:spPr>
    </c:title>
    <c:autoTitleDeleted val="0"/>
    <c:plotArea>
      <c:layout>
        <c:manualLayout>
          <c:layoutTarget val="inner"/>
          <c:xMode val="edge"/>
          <c:yMode val="edge"/>
          <c:x val="0.457887298074115"/>
          <c:y val="0.100880034536114"/>
          <c:w val="0.535611111111111"/>
          <c:h val="0.872131620724491"/>
        </c:manualLayout>
      </c:layout>
      <c:barChart>
        <c:barDir val="bar"/>
        <c:grouping val="clustered"/>
        <c:varyColors val="1"/>
        <c:ser>
          <c:idx val="0"/>
          <c:order val="0"/>
          <c:tx>
            <c:strRef>
              <c:f>'[观点数据图表模板-全球20230927 实习同学(1).xlsx]企业排序'!$G$1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Lbls>
            <c:delete val="1"/>
          </c:dLbls>
          <c:cat>
            <c:strRef>
              <c:f>'[观点数据图表模板-全球20230927 实习同学(1).xlsx]企业排序'!$F$2:$F$13</c:f>
              <c:strCache>
                <c:ptCount val="12"/>
                <c:pt idx="0">
                  <c:v>Schwarzmüller Group</c:v>
                </c:pt>
                <c:pt idx="1">
                  <c:v>Stoughton</c:v>
                </c:pt>
                <c:pt idx="2">
                  <c:v>Kogel</c:v>
                </c:pt>
                <c:pt idx="3">
                  <c:v>Welton</c:v>
                </c:pt>
                <c:pt idx="4">
                  <c:v>Luoxiang</c:v>
                </c:pt>
                <c:pt idx="5">
                  <c:v>Hyundai Translead</c:v>
                </c:pt>
                <c:pt idx="6">
                  <c:v>Utility Trailer</c:v>
                </c:pt>
                <c:pt idx="7">
                  <c:v>Great Dane</c:v>
                </c:pt>
                <c:pt idx="8">
                  <c:v>Krone</c:v>
                </c:pt>
                <c:pt idx="9">
                  <c:v>Wabash National</c:v>
                </c:pt>
                <c:pt idx="10">
                  <c:v>Schmitz Cargobull</c:v>
                </c:pt>
                <c:pt idx="11">
                  <c:v>CIMC</c:v>
                </c:pt>
              </c:strCache>
            </c:strRef>
          </c:cat>
          <c:val>
            <c:numRef>
              <c:f>'[观点数据图表模板-全球20230927 实习同学(1).xlsx]企业排序'!$G$2:$G$13</c:f>
              <c:numCache>
                <c:formatCode>General</c:formatCode>
                <c:ptCount val="12"/>
                <c:pt idx="0">
                  <c:v>270.4</c:v>
                </c:pt>
                <c:pt idx="1">
                  <c:v>298.98</c:v>
                </c:pt>
                <c:pt idx="2">
                  <c:v>341.55</c:v>
                </c:pt>
                <c:pt idx="3">
                  <c:v>385.08</c:v>
                </c:pt>
                <c:pt idx="4">
                  <c:v>420.53</c:v>
                </c:pt>
                <c:pt idx="5">
                  <c:v>761.1</c:v>
                </c:pt>
                <c:pt idx="6">
                  <c:v>830.49</c:v>
                </c:pt>
                <c:pt idx="7">
                  <c:v>890.37</c:v>
                </c:pt>
                <c:pt idx="8">
                  <c:v>955.32</c:v>
                </c:pt>
                <c:pt idx="9">
                  <c:v>1119.39</c:v>
                </c:pt>
                <c:pt idx="10">
                  <c:v>1495.76</c:v>
                </c:pt>
                <c:pt idx="11">
                  <c:v>2479.53</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General"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0.578106624852999</cdr:x>
      <cdr:y>0.147817047817048</cdr:y>
    </cdr:from>
    <cdr:to>
      <cdr:x>0.799490395923167</cdr:x>
      <cdr:y>0.291683991683992</cdr:y>
    </cdr:to>
    <cdr:grpSp>
      <cdr:nvGrpSpPr>
        <cdr:cNvPr id="2" name="组合 1"/>
        <cdr:cNvGrpSpPr/>
      </cdr:nvGrpSpPr>
      <cdr:grpSpPr xmlns:a="http://schemas.openxmlformats.org/drawingml/2006/main">
        <a:xfrm rot="0">
          <a:off x="3577734" y="434026"/>
          <a:ext cx="1370080" cy="422428"/>
          <a:chOff x="2843189" y="1373208"/>
          <a:chExt cx="898795" cy="1814350"/>
        </a:xfrm>
        <a:solidFill>
          <a:srgbClr val="FFC000"/>
        </a:solidFill>
      </cdr:grpSpPr>
      <cdr:cxnSp>
        <cdr:nvCxnSpPr>
          <cdr:cNvPr id="3" name="直接箭头连接符 2"/>
          <cdr:cNvCxnSpPr/>
        </cdr:nvCxnSpPr>
        <cdr:spPr xmlns:a="http://schemas.openxmlformats.org/drawingml/2006/main">
          <a:xfrm xmlns:a="http://schemas.openxmlformats.org/drawingml/2006/main" flipV="1">
            <a:off x="2843189" y="1373208"/>
            <a:ext cx="898795" cy="1814350"/>
          </a:xfrm>
          <a:prstGeom xmlns:a="http://schemas.openxmlformats.org/drawingml/2006/main" prst="straightConnector1">
            <a:avLst/>
          </a:prstGeom>
          <a:grp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20160000">
            <a:off x="3039983" y="1718254"/>
            <a:ext cx="407977" cy="1357335"/>
          </a:xfrm>
          <a:prstGeom xmlns:a="http://schemas.openxmlformats.org/drawingml/2006/main" prst="ellipse">
            <a:avLst/>
          </a:prstGeom>
          <a:grp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sz="800" baseline="0">
                <a:solidFill>
                  <a:sysClr val="windowText" lastClr="000000"/>
                </a:solidFill>
                <a:latin typeface="Book Antiqua" panose="02040602050305030304" pitchFamily="1" charset="0"/>
                <a:ea typeface="宋体" panose="02010600030101010101" charset="-122"/>
              </a:rPr>
              <a:t>2.9%</a:t>
            </a:r>
            <a:endParaRPr lang="zh-CN" sz="800" baseline="0">
              <a:solidFill>
                <a:sysClr val="windowText" lastClr="000000"/>
              </a:solidFill>
              <a:latin typeface="Book Antiqua" panose="02040602050305030304" pitchFamily="1" charset="0"/>
              <a:ea typeface="宋体" panose="02010600030101010101" charset="-122"/>
            </a:endParaRPr>
          </a:p>
        </cdr:txBody>
      </cdr:sp>
    </cdr:grpSp>
  </cdr:relSizeAnchor>
  <cdr:relSizeAnchor xmlns:cdr="http://schemas.openxmlformats.org/drawingml/2006/chartDrawing">
    <cdr:from>
      <cdr:x>0.301588449486984</cdr:x>
      <cdr:y>0.0803696644634952</cdr:y>
    </cdr:from>
    <cdr:to>
      <cdr:x>0.467857335992992</cdr:x>
      <cdr:y>0.44481872891256</cdr:y>
    </cdr:to>
    <cdr:grpSp>
      <cdr:nvGrpSpPr>
        <cdr:cNvPr id="5" name="组合 4"/>
        <cdr:cNvGrpSpPr/>
      </cdr:nvGrpSpPr>
      <cdr:grpSpPr xmlns:a="http://schemas.openxmlformats.org/drawingml/2006/main">
        <a:xfrm rot="8623320" flipH="1">
          <a:off x="1866443" y="235985"/>
          <a:ext cx="1028990" cy="1070110"/>
          <a:chOff x="4088719" y="2258231"/>
          <a:chExt cx="560045" cy="3344634"/>
        </a:xfrm>
      </cdr:grpSpPr>
      <cdr:cxnSp>
        <cdr:nvCxnSpPr>
          <cdr:cNvPr id="6" name="直接箭头连接符 5"/>
          <cdr:cNvCxnSpPr/>
        </cdr:nvCxnSpPr>
        <cdr:spPr xmlns:a="http://schemas.openxmlformats.org/drawingml/2006/main">
          <a:xfrm xmlns:a="http://schemas.openxmlformats.org/drawingml/2006/main" flipV="1">
            <a:off x="4088719" y="2258231"/>
            <a:ext cx="560045" cy="3344634"/>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7" name="椭圆 6"/>
          <cdr:cNvSpPr/>
        </cdr:nvSpPr>
        <cdr:spPr xmlns:a="http://schemas.openxmlformats.org/drawingml/2006/main">
          <a:xfrm xmlns:a="http://schemas.openxmlformats.org/drawingml/2006/main" rot="7619997">
            <a:off x="3341485" y="3887519"/>
            <a:ext cx="1965187" cy="248233"/>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sz="800">
                <a:solidFill>
                  <a:sysClr val="windowText" lastClr="000000"/>
                </a:solidFill>
              </a:rPr>
              <a:t>-2.8%</a:t>
            </a:r>
            <a:endParaRPr lang="en-US" altLang="zh-CN" sz="800">
              <a:solidFill>
                <a:sysClr val="windowText" lastClr="000000"/>
              </a:solidFill>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3</Pages>
  <Words>130</Words>
  <Characters>746</Characters>
  <Lines>6</Lines>
  <Paragraphs>1</Paragraphs>
  <TotalTime>1</TotalTime>
  <ScaleCrop>false</ScaleCrop>
  <LinksUpToDate>false</LinksUpToDate>
  <CharactersWithSpaces>875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2023-10-18T01:28:26Z</dcterms:modified>
  <cp:revision>795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EC4DDA1AC0494F658308CE5BA07F1E59_13</vt:lpwstr>
  </property>
</Properties>
</file>