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38987549"/>
      <w:bookmarkStart w:id="2" w:name="OLE_LINK40"/>
      <w:bookmarkStart w:id="3" w:name="OLE_LINK39"/>
      <w:bookmarkStart w:id="4" w:name="_Toc453597319"/>
      <w:bookmarkStart w:id="5" w:name="_Toc415142861"/>
      <w:bookmarkStart w:id="6" w:name="_Toc418070112"/>
      <w:bookmarkStart w:id="7" w:name="_Toc415818939"/>
      <w:bookmarkStart w:id="8" w:name="_Toc517262917"/>
      <w:bookmarkStart w:id="9" w:name="_Toc415143481"/>
      <w:bookmarkStart w:id="10" w:name="OLE_LINK15"/>
      <w:bookmarkStart w:id="11" w:name="_Toc481801204"/>
      <w:bookmarkStart w:id="12" w:name="OLE_LINK24"/>
      <w:bookmarkStart w:id="13" w:name="OLE_LINK13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val="en-US" w:eastAsia="zh-CN"/>
                              </w:rPr>
                              <w:t>工业机器人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val="en-US" w:eastAsia="zh-CN"/>
                              </w:rPr>
                              <w:t>中国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val="en-US" w:eastAsia="zh-CN"/>
                        </w:rPr>
                        <w:t>工业机器人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val="en-US" w:eastAsia="zh-CN"/>
                        </w:rPr>
                        <w:t>中国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工业机器人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工业机器人是自动控制的、可重复编程、多用途、移动或固定式的操作机，可对三个或三个以上轴进行编程，应用于工业自动化（ISO 8373:2012 标准定义）。</w:t>
      </w:r>
    </w:p>
    <w:p>
      <w:pPr>
        <w:pStyle w:val="145"/>
        <w:ind w:firstLine="420"/>
      </w:pPr>
      <w:r>
        <w:drawing>
          <wp:inline distT="0" distB="0" distL="0" distR="0">
            <wp:extent cx="3680460" cy="1713230"/>
            <wp:effectExtent l="0" t="0" r="15240" b="1270"/>
            <wp:docPr id="478" name="图片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47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8046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ind w:firstLine="420"/>
      </w:pPr>
      <w:r>
        <w:rPr>
          <w:rFonts w:hint="eastAsia"/>
        </w:rPr>
        <w:t>据QYResearch调研团队最新报告“</w:t>
      </w:r>
      <w:r>
        <w:rPr>
          <w:rFonts w:hint="eastAsia"/>
          <w:lang w:val="en-US" w:eastAsia="zh-CN"/>
        </w:rPr>
        <w:t>中国</w:t>
      </w:r>
      <w:r>
        <w:rPr>
          <w:rFonts w:hint="eastAsia"/>
        </w:rPr>
        <w:t>工业机器人市场报告2023-2029”显示，预计2029年</w:t>
      </w:r>
      <w:r>
        <w:rPr>
          <w:rFonts w:hint="eastAsia"/>
          <w:lang w:val="en-US" w:eastAsia="zh-CN"/>
        </w:rPr>
        <w:t>中国</w:t>
      </w:r>
      <w:r>
        <w:rPr>
          <w:rFonts w:hint="eastAsia"/>
        </w:rPr>
        <w:t>工业机器人市场规模将达到56</w:t>
      </w:r>
      <w:r>
        <w:rPr>
          <w:rFonts w:hint="eastAsia"/>
          <w:lang w:val="en-US" w:eastAsia="zh-CN"/>
        </w:rPr>
        <w:t>.4</w:t>
      </w:r>
      <w:r>
        <w:rPr>
          <w:rFonts w:hint="eastAsia"/>
        </w:rPr>
        <w:t>亿元，未来几年年复合增长率CAGR为6.6%。</w:t>
      </w:r>
    </w:p>
    <w:p>
      <w:pPr>
        <w:pStyle w:val="148"/>
      </w:pPr>
      <w:r>
        <w:rPr>
          <w:rFonts w:hint="eastAsia"/>
          <w:lang w:eastAsia="zh-CN"/>
        </w:rPr>
        <w:t>工业机器人，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56.4</w:t>
      </w:r>
      <w:r>
        <w:rPr>
          <w:rFonts w:hint="eastAsia"/>
          <w:lang w:eastAsia="zh-CN"/>
        </w:rPr>
        <w:t>亿元</w:t>
      </w:r>
    </w:p>
    <w:p>
      <w:pPr>
        <w:pStyle w:val="145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工业机器人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工业机器人市场前</w:t>
      </w:r>
      <w:r>
        <w:rPr>
          <w:rFonts w:hint="eastAsia"/>
          <w:lang w:val="en-US" w:eastAsia="zh-CN"/>
        </w:rPr>
        <w:t>23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114300" distR="114300">
            <wp:extent cx="4572000" cy="4409440"/>
            <wp:effectExtent l="0" t="0" r="0" b="10160"/>
            <wp:docPr id="1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工业机器人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中国范围内工业机器人生产商主要包括ABB、发那科、安川、库卡、爱普生、欧地希、松下、川崎机器人、埃斯顿、那智不二越等。2022年，中国前五大厂商占有大约54.0%的市场份额。</w:t>
      </w:r>
    </w:p>
    <w:p>
      <w:pPr>
        <w:pStyle w:val="145"/>
      </w:pPr>
      <w: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2023-2029中国工业机器人市场现状研究分析与发展前景预测报告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据QYR最新调研，2022年中国工业机器人市场销售收入达到了 万元，预计2029年可以达到 万元，2023-2029期间年复合增长率(CAGR)为 %。本研究项目旨在梳理工业机器人领域产品系列，洞悉行业特点、市场存量空间及增量空间，并结合市场发展前景判断工业机器人领域内各类竞争者所处地位。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中国市场核心厂商包括发那科、库卡、ABB、安川和那智不二越等，按收入计，2022年中国市场前三大厂商占有大约 %的市场份额。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从产品类型方面来看，多关节机器人占有重要地位，预计2029年份额将达到 %。同时就应用来看，汽车领域在2022年份额大约是 %，未来几年（2024-2029）年度复合增长率CAGR大约为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中国市场工业机器人的生产、消费及进出口情况，重点关注在中国市场扮演重要角色的全球及本土工业机器人生产商，呈现这些厂商在中国市场的工业机器人销量、收入、价格、毛利率、市场份额等关键指标。此外，针对工业机器人产品本身的细分增长情况，如不同工业机器人产品类型、价格、销量、收入，不同应用工业机器人的市场销量等，本文也做了深入分析。历史数据为2018至2022年，预测数据为2023至2029年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本文主要包括工业机器人生产商如下：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发那科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库卡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ABB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安川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那智不二越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川崎机器人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柯马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爱普生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史陶比尔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欧姆龙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电装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欧地希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松下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芝浦机械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三菱电机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雅马哈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优傲机器人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现代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罗普伺达机器人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星塔精机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JEL Corporation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达明机器人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新松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埃夫特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埃斯顿自动化集团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上海新时达电气股份有限公司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广东拓斯达科技股份有限公司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苏州汇川技术有限公司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Nidec (Genmark Automation)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Hirata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Brooks Automation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RORZE Corporation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Tianji Intelligent System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Delta Group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Chengdu CRP Robot Technology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AUBO Robotics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Huashu Robot Co., Ltd.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Zhejiang Qianjiang Robot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Peitian Robotics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Shanghai TURIN Chi Robot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Chenxing (Tianjin) Automation Equipment Co., Ltd.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QKM Technology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Guangzhou CNC Equipment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Robotphoenix LLC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warsonco Corporation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Sanwa Engineering Corporation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Bekannter Robot Technology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ROKAE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多关节机器人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并联机器人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SCARA机器人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圆柱型机器人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直角坐标机器人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汽车领域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电气电子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化工、橡胶和塑料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金属机械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食品、饮料和药品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其他应用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第1章：报告统计范围、产品细分及中国总体规模（销量、销售收入等数据，2018-2029年）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第2章：中国市场工业机器人主要厂商（品牌）竞争分析，主要包括工业机器人销量、收入、市场份额、价格、产地及行业集中度分析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第3章：中国市场工业机器人主要厂商（品牌）基本情况介绍，包括公司简介、工业机器人产品型号、销量、价格、收入及最新动态等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第4章：中国不同类型工业机器人销量、收入、价格及份额等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第5章：中国不同应用工业机器人销量、收入、价格及份额等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第6章：行业发展环境分析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第7章：供应链分析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第8章：中国本土工业机器人生产情况分析，及中国市场工业机器人进出口情况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本报告的关键问题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市场空间：中国工业机器人行业市场规模情况如何？未来增长情况如何？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产业链情况：中国工业机器人厂商所在产业链构成是怎样？未来格局会如何演化？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厂商分析：全球工业机器人领先企业是谁？企业情况怎样？</w:t>
      </w:r>
    </w:p>
    <w:p>
      <w:pPr>
        <w:pStyle w:val="145"/>
        <w:rPr>
          <w:rFonts w:hint="eastAsia"/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71357A8"/>
    <w:rsid w:val="1D7278C1"/>
    <w:rsid w:val="2DB20569"/>
    <w:rsid w:val="441B76DF"/>
    <w:rsid w:val="5E90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 sz="1100">
                <a:latin typeface="Book Antiqua" panose="02040602050305030304" pitchFamily="1" charset="0"/>
              </a:rPr>
              <a:t>中国市场规模（万元）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69168953351627"/>
          <c:y val="0.021382603280049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80120117504149"/>
          <c:y val="0.113841104625366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2804913</c:v>
                </c:pt>
                <c:pt idx="1">
                  <c:v>3591302</c:v>
                </c:pt>
                <c:pt idx="2">
                  <c:v>5635703.18525534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中国市场主要企业排名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062469723477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57887298074115"/>
          <c:y val="0.100880034536114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6"/>
            <c:invertIfNegative val="0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7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8"/>
            <c:invertIfNegative val="0"/>
            <c:bubble3D val="0"/>
            <c:spPr>
              <a:solidFill>
                <a:schemeClr val="accent5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2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/>
            </c:spPr>
          </c:dPt>
          <c:dPt>
            <c:idx val="30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1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2"/>
            <c:invertIfNegative val="0"/>
            <c:bubble3D val="0"/>
            <c:spPr>
              <a:solidFill>
                <a:schemeClr val="accent3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3"/>
            <c:invertIfNegative val="0"/>
            <c:bubble3D val="0"/>
            <c:spPr>
              <a:solidFill>
                <a:schemeClr val="accent4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4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5"/>
            <c:invertIfNegative val="0"/>
            <c:bubble3D val="0"/>
            <c:spPr>
              <a:solidFill>
                <a:schemeClr val="accent6">
                  <a:lumMod val="50000"/>
                </a:schemeClr>
              </a:solidFill>
              <a:ln>
                <a:noFill/>
              </a:ln>
              <a:effectLst/>
            </c:spPr>
          </c:dPt>
          <c:dPt>
            <c:idx val="36"/>
            <c:invertIfNegative val="0"/>
            <c:bubble3D val="0"/>
            <c:spPr>
              <a:solidFill>
                <a:schemeClr val="accent1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37"/>
            <c:invertIfNegative val="0"/>
            <c:bubble3D val="0"/>
            <c:spPr>
              <a:solidFill>
                <a:schemeClr val="accent2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38"/>
            <c:invertIfNegative val="0"/>
            <c:bubble3D val="0"/>
            <c:spPr>
              <a:solidFill>
                <a:schemeClr val="accent3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39"/>
            <c:invertIfNegative val="0"/>
            <c:bubble3D val="0"/>
            <c:spPr>
              <a:solidFill>
                <a:schemeClr val="accent4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40"/>
            <c:invertIfNegative val="0"/>
            <c:bubble3D val="0"/>
            <c:spPr>
              <a:solidFill>
                <a:schemeClr val="accent5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41"/>
            <c:invertIfNegative val="0"/>
            <c:bubble3D val="0"/>
            <c:spPr>
              <a:solidFill>
                <a:schemeClr val="accent6">
                  <a:lumMod val="70000"/>
                  <a:lumOff val="30000"/>
                </a:schemeClr>
              </a:solidFill>
              <a:ln>
                <a:noFill/>
              </a:ln>
              <a:effectLst/>
            </c:spPr>
          </c:dPt>
          <c:dPt>
            <c:idx val="42"/>
            <c:invertIfNegative val="0"/>
            <c:bubble3D val="0"/>
            <c:spPr>
              <a:solidFill>
                <a:schemeClr val="accent1">
                  <a:lumMod val="70000"/>
                </a:schemeClr>
              </a:solidFill>
              <a:ln>
                <a:noFill/>
              </a:ln>
              <a:effectLst/>
            </c:spPr>
          </c:dPt>
          <c:dPt>
            <c:idx val="43"/>
            <c:invertIfNegative val="0"/>
            <c:bubble3D val="0"/>
            <c:spPr>
              <a:solidFill>
                <a:schemeClr val="accent2">
                  <a:lumMod val="70000"/>
                </a:schemeClr>
              </a:solidFill>
              <a:ln>
                <a:noFill/>
              </a:ln>
              <a:effectLst/>
            </c:spPr>
          </c:dPt>
          <c:dPt>
            <c:idx val="44"/>
            <c:invertIfNegative val="0"/>
            <c:bubble3D val="0"/>
            <c:spPr>
              <a:solidFill>
                <a:schemeClr val="accent3">
                  <a:lumMod val="7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实习同学(1).xlsx]企业排序'!$F$2:$F$46</c:f>
              <c:strCache>
                <c:ptCount val="45"/>
                <c:pt idx="0">
                  <c:v>广州数控GSK</c:v>
                </c:pt>
                <c:pt idx="1">
                  <c:v>罗普伺达机器人</c:v>
                </c:pt>
                <c:pt idx="2">
                  <c:v>新时达（众为兴）</c:v>
                </c:pt>
                <c:pt idx="3">
                  <c:v>电产三协（Nidec Sankyo）</c:v>
                </c:pt>
                <c:pt idx="4">
                  <c:v>李群自动化</c:v>
                </c:pt>
                <c:pt idx="5">
                  <c:v>阿童木机器人</c:v>
                </c:pt>
                <c:pt idx="6">
                  <c:v>天机机器人</c:v>
                </c:pt>
                <c:pt idx="7">
                  <c:v>芝浦机械</c:v>
                </c:pt>
                <c:pt idx="8">
                  <c:v>博迈机器人（勃肯特）</c:v>
                </c:pt>
                <c:pt idx="9">
                  <c:v>现代</c:v>
                </c:pt>
                <c:pt idx="10">
                  <c:v>柯马</c:v>
                </c:pt>
                <c:pt idx="11">
                  <c:v>台达</c:v>
                </c:pt>
                <c:pt idx="12">
                  <c:v>平田机工</c:v>
                </c:pt>
                <c:pt idx="13">
                  <c:v>新松</c:v>
                </c:pt>
                <c:pt idx="14">
                  <c:v>达明机器人</c:v>
                </c:pt>
                <c:pt idx="15">
                  <c:v>RORZE</c:v>
                </c:pt>
                <c:pt idx="16">
                  <c:v>华数机器人</c:v>
                </c:pt>
                <c:pt idx="17">
                  <c:v>钱江机器人</c:v>
                </c:pt>
                <c:pt idx="18">
                  <c:v>埃夫特</c:v>
                </c:pt>
                <c:pt idx="19">
                  <c:v>珞石机器人（ROKAE）</c:v>
                </c:pt>
                <c:pt idx="20">
                  <c:v>配天机器人</c:v>
                </c:pt>
                <c:pt idx="21">
                  <c:v>JEL Corporation</c:v>
                </c:pt>
                <c:pt idx="22">
                  <c:v>欧姆龙</c:v>
                </c:pt>
                <c:pt idx="23">
                  <c:v>星塔精机</c:v>
                </c:pt>
                <c:pt idx="24">
                  <c:v>博鲁可斯</c:v>
                </c:pt>
                <c:pt idx="25">
                  <c:v>图灵机器人</c:v>
                </c:pt>
                <c:pt idx="26">
                  <c:v>汇川技术</c:v>
                </c:pt>
                <c:pt idx="27">
                  <c:v>遨博</c:v>
                </c:pt>
                <c:pt idx="28">
                  <c:v>优傲机器人</c:v>
                </c:pt>
                <c:pt idx="29">
                  <c:v>卡诺普</c:v>
                </c:pt>
                <c:pt idx="30">
                  <c:v>拓斯达</c:v>
                </c:pt>
                <c:pt idx="31">
                  <c:v>史陶比尔</c:v>
                </c:pt>
                <c:pt idx="32">
                  <c:v>电装</c:v>
                </c:pt>
                <c:pt idx="33">
                  <c:v>三菱电机</c:v>
                </c:pt>
                <c:pt idx="34">
                  <c:v>雅马哈</c:v>
                </c:pt>
                <c:pt idx="35">
                  <c:v>那智不二越</c:v>
                </c:pt>
                <c:pt idx="36">
                  <c:v>埃斯顿</c:v>
                </c:pt>
                <c:pt idx="37">
                  <c:v>川崎机器人</c:v>
                </c:pt>
                <c:pt idx="38">
                  <c:v>松下</c:v>
                </c:pt>
                <c:pt idx="39">
                  <c:v>欧地希</c:v>
                </c:pt>
                <c:pt idx="40">
                  <c:v>爱普生</c:v>
                </c:pt>
                <c:pt idx="41">
                  <c:v>库卡</c:v>
                </c:pt>
                <c:pt idx="42">
                  <c:v>安川</c:v>
                </c:pt>
                <c:pt idx="43">
                  <c:v>发那科</c:v>
                </c:pt>
                <c:pt idx="44">
                  <c:v>ABB</c:v>
                </c:pt>
              </c:strCache>
            </c:strRef>
          </c:cat>
          <c:val>
            <c:numRef>
              <c:f>'[观点数据图表模板-全球20230927 实习同学(1).xlsx]企业排序'!$G$2:$G$46</c:f>
              <c:numCache>
                <c:formatCode>General</c:formatCode>
                <c:ptCount val="45"/>
                <c:pt idx="0">
                  <c:v>3641</c:v>
                </c:pt>
                <c:pt idx="1">
                  <c:v>3718</c:v>
                </c:pt>
                <c:pt idx="2">
                  <c:v>3879</c:v>
                </c:pt>
                <c:pt idx="3">
                  <c:v>4625</c:v>
                </c:pt>
                <c:pt idx="4">
                  <c:v>4688</c:v>
                </c:pt>
                <c:pt idx="5">
                  <c:v>5377</c:v>
                </c:pt>
                <c:pt idx="6">
                  <c:v>5618</c:v>
                </c:pt>
                <c:pt idx="7">
                  <c:v>6546</c:v>
                </c:pt>
                <c:pt idx="8">
                  <c:v>7075</c:v>
                </c:pt>
                <c:pt idx="9">
                  <c:v>7678</c:v>
                </c:pt>
                <c:pt idx="10">
                  <c:v>9806</c:v>
                </c:pt>
                <c:pt idx="11">
                  <c:v>10185</c:v>
                </c:pt>
                <c:pt idx="12">
                  <c:v>11072</c:v>
                </c:pt>
                <c:pt idx="13">
                  <c:v>14797</c:v>
                </c:pt>
                <c:pt idx="14">
                  <c:v>15540</c:v>
                </c:pt>
                <c:pt idx="15">
                  <c:v>15556</c:v>
                </c:pt>
                <c:pt idx="16">
                  <c:v>15846</c:v>
                </c:pt>
                <c:pt idx="17">
                  <c:v>16382</c:v>
                </c:pt>
                <c:pt idx="18">
                  <c:v>18248</c:v>
                </c:pt>
                <c:pt idx="19">
                  <c:v>19886</c:v>
                </c:pt>
                <c:pt idx="20">
                  <c:v>19963</c:v>
                </c:pt>
                <c:pt idx="21">
                  <c:v>20489</c:v>
                </c:pt>
                <c:pt idx="22">
                  <c:v>21740</c:v>
                </c:pt>
                <c:pt idx="23">
                  <c:v>22913</c:v>
                </c:pt>
                <c:pt idx="24">
                  <c:v>23088</c:v>
                </c:pt>
                <c:pt idx="25">
                  <c:v>23802</c:v>
                </c:pt>
                <c:pt idx="26">
                  <c:v>24695</c:v>
                </c:pt>
                <c:pt idx="27">
                  <c:v>28403</c:v>
                </c:pt>
                <c:pt idx="28">
                  <c:v>30135</c:v>
                </c:pt>
                <c:pt idx="29">
                  <c:v>39199</c:v>
                </c:pt>
                <c:pt idx="30">
                  <c:v>42124</c:v>
                </c:pt>
                <c:pt idx="31">
                  <c:v>47494</c:v>
                </c:pt>
                <c:pt idx="32">
                  <c:v>47777</c:v>
                </c:pt>
                <c:pt idx="33">
                  <c:v>49389</c:v>
                </c:pt>
                <c:pt idx="34">
                  <c:v>65959</c:v>
                </c:pt>
                <c:pt idx="35">
                  <c:v>80217</c:v>
                </c:pt>
                <c:pt idx="36">
                  <c:v>85596</c:v>
                </c:pt>
                <c:pt idx="37">
                  <c:v>99143</c:v>
                </c:pt>
                <c:pt idx="38">
                  <c:v>102238</c:v>
                </c:pt>
                <c:pt idx="39">
                  <c:v>104710</c:v>
                </c:pt>
                <c:pt idx="40">
                  <c:v>124627</c:v>
                </c:pt>
                <c:pt idx="41">
                  <c:v>235323</c:v>
                </c:pt>
                <c:pt idx="42">
                  <c:v>277693</c:v>
                </c:pt>
                <c:pt idx="43">
                  <c:v>531905</c:v>
                </c:pt>
                <c:pt idx="44">
                  <c:v>600966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0.569482441726884</cdr:x>
      <cdr:y>0.0977130730014411</cdr:y>
    </cdr:from>
    <cdr:to>
      <cdr:x>0.806448423054222</cdr:x>
      <cdr:y>0.391268226905001</cdr:y>
    </cdr:to>
    <cdr:grpSp>
      <cdr:nvGrpSpPr>
        <cdr:cNvPr id="2" name="组合 1"/>
        <cdr:cNvGrpSpPr/>
      </cdr:nvGrpSpPr>
      <cdr:grpSpPr xmlns:a="http://schemas.openxmlformats.org/drawingml/2006/main">
        <a:xfrm rot="0">
          <a:off x="3524362" y="286909"/>
          <a:ext cx="1466514" cy="861948"/>
          <a:chOff x="2843189" y="1373208"/>
          <a:chExt cx="898795" cy="1814350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843189" y="1373208"/>
            <a:ext cx="898795" cy="1814350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800000">
            <a:off x="3082570" y="1982274"/>
            <a:ext cx="373940" cy="605212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6.6%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0.267542140337123</cdr:x>
      <cdr:y>0.348232848232848</cdr:y>
    </cdr:from>
    <cdr:to>
      <cdr:x>0.476381811054488</cdr:x>
      <cdr:y>0.533264033264033</cdr:y>
    </cdr:to>
    <cdr:grpSp>
      <cdr:nvGrpSpPr>
        <cdr:cNvPr id="5" name="组合 4"/>
        <cdr:cNvGrpSpPr/>
      </cdr:nvGrpSpPr>
      <cdr:grpSpPr xmlns:a="http://schemas.openxmlformats.org/drawingml/2006/main">
        <a:xfrm rot="8623320" flipH="1">
          <a:off x="1655741" y="1022495"/>
          <a:ext cx="1292448" cy="543296"/>
          <a:chOff x="4088719" y="2258231"/>
          <a:chExt cx="560045" cy="3344634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4088719" y="2258231"/>
            <a:ext cx="560045" cy="334463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9479997">
            <a:off x="4218131" y="3038964"/>
            <a:ext cx="244988" cy="225895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6.4%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2023-10-18T01:41:31Z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296A5FA920EC41EDADD24129961FF23F_13</vt:lpwstr>
  </property>
</Properties>
</file>