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HWMPPC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1.8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VBIBEN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VBIBEN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HWMPPC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VBIBEN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VBIBEN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Tivozanib</w:t>
      </w:r>
    </w:p>
    <w:p>
      <w:pPr>
        <w:spacing w:before="309" w:after="0" w:line="236" w:lineRule="exact"/>
        <w:ind w:left="0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VBIBEN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HY-10977</w:t>
      </w:r>
    </w:p>
    <w:p>
      <w:pPr>
        <w:spacing w:before="109" w:after="0" w:line="236" w:lineRule="exact"/>
        <w:ind w:left="0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VBIBEN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475108-18-0</w:t>
      </w:r>
    </w:p>
    <w:p>
      <w:pPr>
        <w:spacing w:before="107" w:after="0" w:line="238" w:lineRule="exact"/>
        <w:ind w:left="0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SVNKUB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HWMPPC+SegoeUI" w:eastAsiaTheme="minorEastAsia" w:cs="HWMPPC+SegoeUI"/>
          <w:color w:val="3E3A39"/>
          <w:sz w:val="17"/>
          <w:szCs w:val="22"/>
          <w:lang w:val="en-US" w:eastAsia="en-US" w:bidi="ar-SA"/>
        </w:rPr>
        <w:t>C₂₂H₁₉ClN₄O₅</w:t>
      </w:r>
    </w:p>
    <w:p>
      <w:pPr>
        <w:spacing w:before="105" w:after="0" w:line="238" w:lineRule="exact"/>
        <w:ind w:left="0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SVNKUB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454.86</w:t>
      </w:r>
    </w:p>
    <w:p>
      <w:pPr>
        <w:spacing w:before="105" w:after="0" w:line="238" w:lineRule="exact"/>
        <w:ind w:left="0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SVNKUB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</w:t>
      </w:r>
    </w:p>
    <w:p>
      <w:pPr>
        <w:spacing w:before="107" w:after="0" w:line="236" w:lineRule="exact"/>
        <w:ind w:left="0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SVNKUB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Tyrosine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Kinase/RTK</w:t>
      </w:r>
    </w:p>
    <w:p>
      <w:pPr>
        <w:spacing w:before="109" w:after="0" w:line="236" w:lineRule="exact"/>
        <w:ind w:left="0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SVNKUB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HWMPPC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HWMPPC+SegoeUI" w:eastAsiaTheme="minorEastAsia" w:cs="HWMPPC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HWMPPC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WMPPC+SegoeUI" w:hAnsi="HWMPPC+SegoeUI" w:eastAsiaTheme="minorEastAsia" w:cs="HWMPPC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HWMPPC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HWMPPC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HWMPPC+SegoeUI" w:eastAsiaTheme="minorEastAsia" w:cs="HWMPPC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HWMPPC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WMPPC+SegoeUI" w:hAnsi="HWMPPC+SegoeUI" w:eastAsiaTheme="minorEastAsia" w:cs="HWMPPC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HWMPPC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SVNKUB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256" w:line="237" w:lineRule="exact"/>
        <w:ind w:left="250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SVNKUB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25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54.96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WMPPC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VBIBEN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IBEN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VBIBEN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IBEN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VBIBEN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VBIBEN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IBEN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SVNKUB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VNKUB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HWMPPC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MPP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2.1985</w:t>
            </w:r>
            <w:r>
              <w:rPr>
                <w:rFonts w:ascii="HWMPP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MPP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HWMPPC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MPP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10.9924</w:t>
            </w:r>
            <w:r>
              <w:rPr>
                <w:rFonts w:ascii="HWMPP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MPP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HWMPPC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MPP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21.9848</w:t>
            </w:r>
            <w:r>
              <w:rPr>
                <w:rFonts w:ascii="HWMPP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MPPC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VBIBEN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0.4397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HWMPPC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2.1985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HWMPPC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4.3970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VBIBEN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0.2198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HWMPPC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1.0992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HWMPPC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2.1985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SVNKUB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SVNKUB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HWMPPC+SegoeUI" w:hAnsi="HWMPPC+SegoeUI" w:eastAsiaTheme="minorEastAsia" w:cs="HWMPPC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HWMPPC+SegoeUI" w:eastAsiaTheme="minorEastAsia" w:cs="HWMPPC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HWMPPC+SegoeUI" w:hAnsi="HWMPPC+SegoeUI" w:eastAsiaTheme="minorEastAsia" w:cs="HWMPPC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HWMPPC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SVNKU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HWMPPC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HWMPPC+SegoeUI" w:hAnsi="HWMPPC+SegoeUI" w:eastAsiaTheme="minorEastAsia" w:cs="HWMPPC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HWMPPC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SVNKUB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SVNKUB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HWMPPC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VNKUB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SVNKUB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VNKUB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SVNKUB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SVNKUB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VBIBE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SVNKUB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SVNKUB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SVNKUB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SVNKUB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SVNKU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SVNKUB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SVNKUB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VNKUB+AdobeHeitiStd-Regular-Identity-H" w:hAnsi="SVNKUB+AdobeHeitiStd-Regular-Identity-H" w:eastAsiaTheme="minorEastAsia" w:cs="SVNKUB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VBIBEN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SVNKUB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VBIBEN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VBIBEN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VBIBEN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HWMPPC+SegoeUI" w:eastAsiaTheme="minorEastAsia" w:cs="HWMPPC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(5.50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SVNKUB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SVNKU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HWMPPC+SegoeUI" w:eastAsiaTheme="minorEastAsia" w:cs="HWMPPC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(5.50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HWMPP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6" w:right="0" w:firstLine="0"/>
        <w:jc w:val="left"/>
        <w:rPr>
          <w:rFonts w:ascii="SVNKUB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SVNKU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HWMPP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SVNKU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HWMPPC+SegoeUI" w:eastAsiaTheme="minorEastAsia" w:cs="HWMPPC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HWMPP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SVNKUB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HWMPP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SVNKU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HWMPPC+SegoeUI" w:eastAsiaTheme="minorEastAsia" w:cs="HWMPPC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HWMPP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HWMPPC+SegoeUI" w:eastAsiaTheme="minorEastAsia" w:cs="HWMPPC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SVNKU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HWMPPC+SegoeUI" w:eastAsiaTheme="minorEastAsia" w:cs="HWMPPC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HWMPP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SVNKU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VBIBEN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SVNKUB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VBIBEN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VBIBEN+SegoeUI-SemiBold" w:eastAsiaTheme="minorEastAsia" w:cs="VBIBEN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VBIBE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HWMPPC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HWMPPC+SegoeUI" w:eastAsiaTheme="minorEastAsia" w:cs="HWMPPC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(5.50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SVNKUB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SVNKU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HWMPPC+SegoeUI" w:eastAsiaTheme="minorEastAsia" w:cs="HWMPPC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(5.50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HWMPPC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HWMPPC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SVNKUB+AdobeHeitiStd-Regular-Identity-H" w:hAnsi="SVNKUB+AdobeHeitiStd-Regular-Identity-H" w:eastAsiaTheme="minorEastAsia" w:cs="SVNKUB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760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166"/>
        <w:gridCol w:w="3620"/>
        <w:gridCol w:w="20"/>
        <w:gridCol w:w="494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60"/>
          <w:jc w:val="left"/>
        </w:trPr>
        <w:tc>
          <w:tcPr>
            <w:tcW w:w="216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2" w:name="br1_1"/>
            <w:bookmarkEnd w:id="2"/>
            <w:r>
              <w:rPr>
                <w:noProof/>
              </w:rPr>
              <w:pict>
                <v:shape id="_x0000_s1027" type="#_x0000_t75" style="width:553pt;height:3pt;margin-top:-10pt;margin-left:-0.6pt;mso-position-horizontal-relative:page;mso-position-vertical-relative:page;position:absolute;z-index:-251652096">
                  <v:imagedata r:id="rId6" o:title=""/>
                </v:shape>
              </w:pict>
            </w:r>
            <w:bookmarkStart w:id="3" w:name="br1_2"/>
            <w:bookmarkEnd w:id="3"/>
            <w:r>
              <w:rPr>
                <w:noProof/>
              </w:rPr>
              <w:pict>
                <v:shape id="_x0000_s1028" type="#_x0000_t75" style="width:552.25pt;height:716.6pt;margin-top:-5pt;margin-left:-0.25pt;mso-position-horizontal-relative:page;mso-position-vertical-relative:page;position:absolute;z-index:-251654144">
                  <v:imagedata r:id="rId7" o:title=""/>
                </v:shape>
              </w:pict>
            </w:r>
            <w:r>
              <w:rPr>
                <w:noProof/>
              </w:rPr>
              <w:pict>
                <v:shape id="_x0000_s1029" type="#_x0000_t75" style="width:553pt;height:3pt;margin-top:712pt;margin-left:-0.6pt;mso-position-horizontal-relative:page;mso-position-vertical-relative:page;position:absolute;z-index:-251657216">
                  <v:imagedata r:id="rId5" o:title=""/>
                </v:shape>
              </w:pict>
            </w:r>
          </w:p>
        </w:tc>
        <w:tc>
          <w:tcPr>
            <w:tcW w:w="36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HIIDJW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HIIDJW+AdobeHeitiStd-Regular-Identity-H" w:hAnsi="HIIDJW+AdobeHeitiStd-Regular-Identity-H" w:eastAsiaTheme="minorEastAsia" w:cs="HIIDJW+AdobeHeitiStd-Regular-Identity-H"/>
                <w:color w:val="808285"/>
                <w:sz w:val="16"/>
                <w:szCs w:val="22"/>
                <w:lang w:val="en-US" w:eastAsia="en-US" w:bidi="ar-SA"/>
              </w:rPr>
              <w:t>以</w:t>
            </w:r>
            <w:r>
              <w:rPr>
                <w:rFonts w:ascii="HIIDJW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mL</w:t>
            </w:r>
            <w:r>
              <w:rPr>
                <w:rFonts w:ascii="JPRLFK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IDJW+AdobeHeitiStd-Regular-Identity-H" w:hAnsi="HIIDJW+AdobeHeitiStd-Regular-Identity-H" w:eastAsiaTheme="minorEastAsia" w:cs="HIIDJW+AdobeHeitiStd-Regular-Identity-H"/>
                <w:color w:val="808285"/>
                <w:sz w:val="16"/>
                <w:szCs w:val="22"/>
                <w:lang w:val="en-US" w:eastAsia="en-US" w:bidi="ar-SA"/>
              </w:rPr>
              <w:t>⼯作液为例，取</w:t>
            </w:r>
            <w:r>
              <w:rPr>
                <w:rFonts w:ascii="HIIDJW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100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PRLFK+SegoeUI" w:hAnsi="JPRLFK+SegoeUI" w:eastAsiaTheme="minorEastAsia" w:cs="JPRLFK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25.0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mg/mL</w:t>
            </w:r>
            <w:r>
              <w:rPr>
                <w:rFonts w:ascii="JPRLFK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IDJW+AdobeHeitiStd-Regular-Identity-H" w:hAnsi="HIIDJW+AdobeHeitiStd-Regular-Identity-H" w:eastAsiaTheme="minorEastAsia" w:cs="HIIDJW+AdobeHeitiStd-Regular-Identity-H"/>
                <w:color w:val="808285"/>
                <w:sz w:val="16"/>
                <w:szCs w:val="22"/>
                <w:lang w:val="en-US" w:eastAsia="en-US" w:bidi="ar-SA"/>
              </w:rPr>
              <w:t>的澄</w:t>
            </w:r>
          </w:p>
          <w:p>
            <w:pPr>
              <w:spacing w:before="42" w:after="0" w:line="200" w:lineRule="exact"/>
              <w:ind w:left="0" w:right="0" w:firstLine="0"/>
              <w:jc w:val="left"/>
              <w:rPr>
                <w:rFonts w:ascii="HIIDJW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HIIDJW+AdobeHeitiStd-Regular-Identity-H" w:hAnsi="HIIDJW+AdobeHeitiStd-Regular-Identity-H" w:eastAsiaTheme="minorEastAsia" w:cs="HIIDJW+AdobeHeitiStd-Regular-Identity-H"/>
                <w:color w:val="808285"/>
                <w:sz w:val="16"/>
                <w:szCs w:val="22"/>
                <w:lang w:val="en-US" w:eastAsia="en-US" w:bidi="ar-SA"/>
              </w:rPr>
              <w:t>均匀。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IIDJW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494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HIIDJW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DMSO</w:t>
            </w:r>
            <w:r>
              <w:rPr>
                <w:rFonts w:ascii="JPRLFK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IDJW+AdobeHeitiStd-Regular-Identity-H" w:hAnsi="HIIDJW+AdobeHeitiStd-Regular-Identity-H" w:eastAsiaTheme="minorEastAsia" w:cs="HIIDJW+AdobeHeitiStd-Regular-Identity-H"/>
                <w:color w:val="808285"/>
                <w:sz w:val="16"/>
                <w:szCs w:val="22"/>
                <w:lang w:val="en-US" w:eastAsia="en-US" w:bidi="ar-SA"/>
              </w:rPr>
              <w:t>储备液加到</w:t>
            </w:r>
            <w:r>
              <w:rPr>
                <w:rFonts w:ascii="HIIDJW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900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PRLFK+SegoeUI" w:hAnsi="JPRLFK+SegoeUI" w:eastAsiaTheme="minorEastAsia" w:cs="JPRLFK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PRLFK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20%</w:t>
            </w:r>
            <w:r>
              <w:rPr>
                <w:rFonts w:ascii="JPRLFK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IDJW+AdobeHeitiStd-Regular-Identity-H" w:hAnsi="HIIDJW+AdobeHeitiStd-Regular-Identity-H" w:eastAsiaTheme="minorEastAsia" w:cs="HIIDJW+AdobeHeitiStd-Regular-Identity-H"/>
                <w:color w:val="808285"/>
                <w:sz w:val="16"/>
                <w:szCs w:val="22"/>
                <w:lang w:val="en-US" w:eastAsia="en-US" w:bidi="ar-SA"/>
              </w:rPr>
              <w:t>的</w:t>
            </w:r>
            <w:r>
              <w:rPr>
                <w:rFonts w:ascii="HIIDJW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PRLFK+SegoeUI" w:hAnsi="JPRLFK+SegoeUI" w:eastAsiaTheme="minorEastAsia" w:cs="JPRLFK+SegoeUI"/>
                <w:color w:val="808285"/>
                <w:sz w:val="16"/>
                <w:szCs w:val="22"/>
                <w:lang w:val="en-US" w:eastAsia="en-US" w:bidi="ar-SA"/>
              </w:rPr>
              <w:t>SBE-β-CD</w:t>
            </w:r>
            <w:r>
              <w:rPr>
                <w:rFonts w:ascii="JPRLFK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IIDJW+AdobeHeitiStd-Regular-Identity-H" w:hAnsi="HIIDJW+AdobeHeitiStd-Regular-Identity-H" w:eastAsiaTheme="minorEastAsia" w:cs="HIIDJW+AdobeHeitiStd-Regular-Identity-H"/>
                <w:color w:val="808285"/>
                <w:sz w:val="16"/>
                <w:szCs w:val="22"/>
                <w:lang w:val="en-US" w:eastAsia="en-US" w:bidi="ar-SA"/>
              </w:rPr>
              <w:t>⽣理盐⽔⽔溶液中，混合</w:t>
            </w:r>
          </w:p>
        </w:tc>
      </w:tr>
    </w:tbl>
    <w:p>
      <w:pPr>
        <w:spacing w:before="1073" w:after="0" w:line="276" w:lineRule="exact"/>
        <w:ind w:left="216" w:right="0" w:firstLine="0"/>
        <w:jc w:val="left"/>
        <w:rPr>
          <w:rFonts w:ascii="RHKBOB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RHKBOB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RHKBOB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p>
      <w:pPr>
        <w:spacing w:before="243" w:after="0" w:line="242" w:lineRule="exact"/>
        <w:ind w:left="250" w:right="0" w:firstLine="0"/>
        <w:jc w:val="left"/>
        <w:rPr>
          <w:rFonts w:ascii="HIIDJW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HIIDJW+AdobeHeitiStd-Regular-Identity-H" w:hAnsi="HIIDJW+AdobeHeitiStd-Regular-Identity-H" w:eastAsiaTheme="minorEastAsia" w:cs="HIIDJW+AdobeHeitiStd-Regular-Identity-H"/>
          <w:color w:val="3E3A39"/>
          <w:sz w:val="17"/>
          <w:szCs w:val="22"/>
          <w:lang w:val="en-US" w:eastAsia="en-US" w:bidi="ar-SA"/>
        </w:rPr>
        <w:t>⽣物活性</w:t>
      </w:r>
      <w:r>
        <w:rPr>
          <w:rFonts w:ascii="HIIDJW+AdobeHeitiStd-Regular-Identity-H" w:hAnsi="Calibri" w:eastAsiaTheme="minorEastAsia" w:cstheme="minorBidi"/>
          <w:color w:val="3E3A39"/>
          <w:spacing w:val="1047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Tivozanib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(AV-951;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KRN951)</w:t>
      </w:r>
      <w:r>
        <w:rPr>
          <w:rFonts w:ascii="HIIDJW+AdobeHeitiStd-Regular-Identity-H" w:hAnsi="HIIDJW+AdobeHeitiStd-Regular-Identity-H" w:eastAsiaTheme="minorEastAsia" w:cs="HIIDJW+AdobeHeitiStd-Regular-Identity-H"/>
          <w:color w:val="3E3A39"/>
          <w:spacing w:val="-10969"/>
          <w:sz w:val="17"/>
          <w:szCs w:val="22"/>
          <w:lang w:val="en-US" w:eastAsia="en-US" w:bidi="ar-SA"/>
        </w:rPr>
        <w:t>是</w:t>
      </w:r>
      <w:r>
        <w:rPr>
          <w:rFonts w:ascii="HIIDJW+AdobeHeitiStd-Regular-Identity-H" w:hAnsi="HIIDJW+AdobeHeitiStd-Regular-Identity-H" w:eastAsiaTheme="minorEastAsia" w:cs="HIIDJW+AdobeHeitiStd-Regular-Identity-H"/>
          <w:color w:val="3E3A39"/>
          <w:sz w:val="17"/>
          <w:szCs w:val="22"/>
          <w:lang w:val="en-US" w:eastAsia="en-US" w:bidi="ar-SA"/>
        </w:rPr>
        <w:t>有效，选择性的</w:t>
      </w:r>
      <w:r>
        <w:rPr>
          <w:rFonts w:ascii="HIIDJW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VEGFR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1/2/3</w:t>
      </w:r>
      <w:r>
        <w:rPr>
          <w:rFonts w:ascii="RHKBOB+SegoeUI-SemiBold" w:hAnsi="Calibri" w:eastAsiaTheme="minorEastAsia" w:cstheme="minorBidi"/>
          <w:b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HIIDJW+AdobeHeitiStd-Regular-Identity-H" w:hAnsi="HIIDJW+AdobeHeitiStd-Regular-Identity-H" w:eastAsiaTheme="minorEastAsia" w:cs="HIIDJW+AdobeHeitiStd-Regular-Identity-H"/>
          <w:color w:val="3E3A39"/>
          <w:sz w:val="17"/>
          <w:szCs w:val="22"/>
          <w:lang w:val="en-US" w:eastAsia="en-US" w:bidi="ar-SA"/>
        </w:rPr>
        <w:t>抑制剂，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IC</w:t>
      </w:r>
      <w:r>
        <w:rPr>
          <w:rFonts w:ascii="RHKBOB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HKBOB+SegoeUI-SemiBold" w:hAnsi="Calibri" w:eastAsiaTheme="minorEastAsia" w:cstheme="minorBidi"/>
          <w:b/>
          <w:color w:val="3E3A39"/>
          <w:sz w:val="14"/>
          <w:szCs w:val="22"/>
          <w:lang w:val="en-US" w:eastAsia="en-US" w:bidi="ar-SA"/>
        </w:rPr>
        <w:t xml:space="preserve"> </w:t>
      </w:r>
      <w:r>
        <w:rPr>
          <w:rFonts w:ascii="HIIDJW+AdobeHeitiStd-Regular-Identity-H" w:hAnsi="HIIDJW+AdobeHeitiStd-Regular-Identity-H" w:eastAsiaTheme="minorEastAsia" w:cs="HIIDJW+AdobeHeitiStd-Regular-Identity-H"/>
          <w:color w:val="3E3A39"/>
          <w:sz w:val="17"/>
          <w:szCs w:val="22"/>
          <w:lang w:val="en-US" w:eastAsia="en-US" w:bidi="ar-SA"/>
        </w:rPr>
        <w:t>值分别为0.21，0.16，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0.24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HIIDJW+AdobeHeitiStd-Regular-Identity-H" w:hAnsi="HIIDJW+AdobeHeitiStd-Regular-Identity-H" w:eastAsiaTheme="minorEastAsia" w:cs="HIIDJW+AdobeHeitiStd-Regular-Identity-H"/>
          <w:color w:val="3E3A39"/>
          <w:sz w:val="17"/>
          <w:szCs w:val="22"/>
          <w:lang w:val="en-US" w:eastAsia="en-US" w:bidi="ar-SA"/>
        </w:rPr>
        <w:t>。</w:t>
      </w:r>
    </w:p>
    <w:p>
      <w:pPr>
        <w:spacing w:before="302" w:after="0" w:line="236" w:lineRule="exact"/>
        <w:ind w:left="2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HKBOB+SegoeUI-SemiBold" w:hAnsi="RHKBOB+SegoeUI-SemiBold" w:eastAsiaTheme="minorEastAsia" w:cs="RHKBOB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RHKBOB+SegoeUI-SemiBold" w:hAnsi="Calibri" w:eastAsiaTheme="minorEastAsia" w:cstheme="minorBidi"/>
          <w:b/>
          <w:color w:val="3E3A39"/>
          <w:spacing w:val="701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VEGFR1</w:t>
      </w:r>
      <w:r>
        <w:rPr>
          <w:rFonts w:ascii="JPRLFK+SegoeUI" w:hAnsi="Calibri" w:eastAsiaTheme="minorEastAsia" w:cstheme="minorBidi"/>
          <w:color w:val="3E3A39"/>
          <w:spacing w:val="166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VEGFR2</w:t>
      </w:r>
      <w:r>
        <w:rPr>
          <w:rFonts w:ascii="JPRLFK+SegoeUI" w:hAnsi="Calibri" w:eastAsiaTheme="minorEastAsia" w:cstheme="minorBidi"/>
          <w:color w:val="3E3A39"/>
          <w:spacing w:val="166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VEGFR3</w:t>
      </w:r>
    </w:p>
    <w:p>
      <w:pPr>
        <w:spacing w:before="35" w:after="0" w:line="236" w:lineRule="exact"/>
        <w:ind w:left="2014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JPRLF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JPRLFK+SegoeUI" w:hAnsi="Calibri" w:eastAsiaTheme="minorEastAsia" w:cstheme="minorBidi"/>
          <w:color w:val="3E3A39"/>
          <w:spacing w:val="131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6.5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JPRLF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JPRLFK+SegoeUI" w:hAnsi="Calibri" w:eastAsiaTheme="minorEastAsia" w:cstheme="minorBidi"/>
          <w:color w:val="3E3A39"/>
          <w:spacing w:val="1283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JPRLF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05" w:after="0" w:line="237" w:lineRule="exact"/>
        <w:ind w:left="2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IDJW+AdobeHeitiStd-Regular-Identity-H" w:hAnsi="HIIDJW+AdobeHeitiStd-Regular-Identity-H" w:eastAsiaTheme="minorEastAsia" w:cs="HIIDJW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HIIDJW+AdobeHeitiStd-Regular-Identity-H" w:hAnsi="Calibri" w:eastAsiaTheme="minorEastAsia" w:cstheme="minorBidi"/>
          <w:color w:val="3E3A39"/>
          <w:spacing w:val="1047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Tivozanib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potently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VEGF-induced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VEGFR2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endothelial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JPRLF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=0.16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</w:p>
    <w:p>
      <w:pPr>
        <w:spacing w:before="35" w:after="0" w:line="236" w:lineRule="exact"/>
        <w:ind w:left="2014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ligand-induced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JPRLFK+SegoeUI" w:eastAsiaTheme="minorEastAsia" w:cs="JPRLFK+SegoeUI"/>
          <w:color w:val="3E3A39"/>
          <w:sz w:val="17"/>
          <w:szCs w:val="22"/>
          <w:lang w:val="en-US" w:eastAsia="en-US" w:bidi="ar-SA"/>
        </w:rPr>
        <w:t>PDGFRβ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c-Kit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JPRLF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=1.72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1.63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respectively).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Tivozanib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blocks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VEGF-</w:t>
      </w:r>
    </w:p>
    <w:p>
      <w:pPr>
        <w:spacing w:before="35" w:after="0" w:line="236" w:lineRule="exact"/>
        <w:ind w:left="2014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dependent,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VEGF-independent,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mitogenactivated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14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endothelial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VEGF-mediated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migration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umbilical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vein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endothelial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JPRLF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IDJW+AdobeHeitiStd-Regular-Identity-H" w:hAnsi="HIIDJW+AdobeHeitiStd-Regular-Identity-H" w:eastAsiaTheme="minorEastAsia" w:cs="HIIDJW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HIIDJW+AdobeHeitiStd-Regular-Identity-H" w:hAnsi="Calibri" w:eastAsiaTheme="minorEastAsia" w:cstheme="minorBidi"/>
          <w:color w:val="3E3A39"/>
          <w:spacing w:val="1047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athymic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Tivozanib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microvessel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density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within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</w:t>
      </w:r>
    </w:p>
    <w:p>
      <w:pPr>
        <w:spacing w:before="0" w:after="0" w:line="266" w:lineRule="exact"/>
        <w:ind w:left="2014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attenuates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VEGFR-2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endothelium.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displays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antitumor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JPRLFK+SegoeUI" w:eastAsiaTheme="minorEastAsia" w:cs="JPRLFK+SegoeUI"/>
          <w:color w:val="3E3A39"/>
          <w:sz w:val="17"/>
          <w:szCs w:val="22"/>
          <w:lang w:val="en-US" w:eastAsia="en-US" w:bidi="ar-SA"/>
        </w:rPr>
        <w:t>a</w:t>
      </w:r>
      <w:r>
        <w:rPr>
          <w:rFonts w:ascii="JPRLFK+SegoeUI" w:hAnsi="JPRLFK+SegoeUI" w:eastAsiaTheme="minorEastAsia" w:cs="JPRLFK+SegoeUI"/>
          <w:color w:val="3E3A39"/>
          <w:sz w:val="17"/>
          <w:szCs w:val="22"/>
          <w:lang w:val="en-US" w:eastAsia="en-US" w:bidi="ar-SA"/>
        </w:rPr>
        <w:cr/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wide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variety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including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lung,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breast,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colon,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ovarian,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pancreas,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prostate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JPRLF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RHKBOB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RHKBOB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RHKBOB+SegoeUI-SemiBold" w:hAnsi="Calibri" w:eastAsiaTheme="minorEastAsia" w:cstheme="minorBidi"/>
          <w:b/>
          <w:color w:val="3E3A39"/>
          <w:spacing w:val="762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Cell-free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done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quadruplicate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JPRLFK+SegoeUI" w:eastAsiaTheme="minorEastAsia" w:cs="JPRLFK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ATP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JPRLF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JPRLFK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KRN951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variety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recombinant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nonreceptor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tyrosine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kinases</w:t>
      </w:r>
      <w:r>
        <w:rPr>
          <w:rFonts w:ascii="JPRLF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RHKBOB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Cell-based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done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ability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KRN951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ligand-dependent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tyrosine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kinases.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Briefly,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starved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overnight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appropriate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basic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containing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0.5%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fetal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bovine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serum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(FBS).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KRN951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0.1%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DMSO,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cognate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JPRLFK+SegoeUI" w:eastAsiaTheme="minorEastAsia" w:cs="JPRLFK+SegoeUI"/>
          <w:color w:val="3E3A39"/>
          <w:sz w:val="17"/>
          <w:szCs w:val="22"/>
          <w:lang w:val="en-US" w:eastAsia="en-US" w:bidi="ar-SA"/>
        </w:rPr>
        <w:t>37°C.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minutes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except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VEGFR3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minutes),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c-Met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minutes),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c-Kit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(15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minutes).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ligands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recombinant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proteins,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except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VEGF-C,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recombinant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lysis,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immunoprecipitated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appropriate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antibodies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subjected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immunoblotting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phosphotyrosine.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Quantification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blots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JPRLF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JPRLFK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carried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</w:t>
      </w:r>
      <w:r>
        <w:rPr>
          <w:rFonts w:ascii="JPRLF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JPRLFK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RHKBOB+SegoeUI-SemiBold" w:hAnsi="Calibri" w:eastAsiaTheme="minorEastAsia" w:cstheme="minorBidi"/>
          <w:b/>
          <w:color w:val="3E3A39"/>
          <w:spacing w:val="1202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Mice: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s.c.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inoculated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right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flank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athymic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Once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established,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1,500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JPRLFK+SegoeUI" w:hAnsi="Calibri" w:eastAsiaTheme="minorEastAsia" w:cstheme="minorBidi"/>
          <w:color w:val="3E3A39"/>
          <w:sz w:val="14"/>
          <w:szCs w:val="22"/>
          <w:lang w:val="en-US" w:eastAsia="en-US" w:bidi="ar-SA"/>
        </w:rPr>
        <w:t>3</w:t>
      </w:r>
    </w:p>
    <w:p>
      <w:pPr>
        <w:spacing w:before="35" w:after="0" w:line="236" w:lineRule="exact"/>
        <w:ind w:left="26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RHKBOB+SegoeUI-SemiBold" w:hAnsi="Calibri" w:eastAsiaTheme="minorEastAsia" w:cstheme="minorBidi"/>
          <w:b/>
          <w:color w:val="3E3A39"/>
          <w:spacing w:val="385"/>
          <w:sz w:val="14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surgically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excised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smaller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fragments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(20-30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mg)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s.c.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implanted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right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flank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irradiated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rats.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KRN951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(0.2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initiated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randomization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(day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0).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twice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weekly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Vernier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calipers,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calculated</w:t>
      </w:r>
      <w:r>
        <w:rPr>
          <w:rFonts w:ascii="JPRLF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21" w:after="0" w:line="248" w:lineRule="exact"/>
        <w:ind w:left="406" w:right="0" w:firstLine="0"/>
        <w:jc w:val="left"/>
        <w:rPr>
          <w:rFonts w:ascii="HIIDJW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HIIDJW+AdobeHeitiStd-Regular-Identity-H" w:hAnsi="HIIDJW+AdobeHeitiStd-Regular-Identity-H" w:eastAsiaTheme="minorEastAsia" w:cs="HIIDJW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JPRLFK+SegoeUI" w:eastAsiaTheme="minorEastAsia" w:cs="JPRLFK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JPRLFK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Transl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Jul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18;10(450).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eaaq1093.</w:t>
      </w:r>
    </w:p>
    <w:p>
      <w:pPr>
        <w:spacing w:before="104" w:after="0" w:line="236" w:lineRule="exact"/>
        <w:ind w:left="250" w:right="0" w:firstLine="0"/>
        <w:jc w:val="left"/>
        <w:rPr>
          <w:rFonts w:ascii="JPRLF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RLFK+SegoeUI" w:hAnsi="JPRLFK+SegoeUI" w:eastAsiaTheme="minorEastAsia" w:cs="JPRLFK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JPRLFK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Technical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University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of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HKBO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Munich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RLF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24.01.2018.</w:t>
      </w:r>
    </w:p>
    <w:p>
      <w:pPr>
        <w:spacing w:before="38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50" w:right="0" w:firstLine="0"/>
        <w:jc w:val="left"/>
        <w:rPr>
          <w:rFonts w:ascii="OEPHVS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177.6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OEPHVS+SegoeUI" w:hAnsi="OEPHVS+SegoeUI" w:eastAsiaTheme="minorEastAsia" w:cs="OEPHVS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OEPHVS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GOLVJ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Patent</w:t>
      </w: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US20170349880A1.</w:t>
      </w:r>
    </w:p>
    <w:p>
      <w:pPr>
        <w:spacing w:before="104" w:after="0" w:line="236" w:lineRule="exact"/>
        <w:ind w:left="250" w:right="0" w:firstLine="0"/>
        <w:jc w:val="left"/>
        <w:rPr>
          <w:rFonts w:ascii="GOLVJL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EPHVS+SegoeUI" w:hAnsi="OEPHVS+SegoeUI" w:eastAsiaTheme="minorEastAsia" w:cs="OEPHVS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OEPHVS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GOLVJ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Harvard</w:t>
      </w:r>
      <w:r>
        <w:rPr>
          <w:rFonts w:ascii="GOLVJ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OLVJ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GOLVJ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OLVJ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School</w:t>
      </w:r>
      <w:r>
        <w:rPr>
          <w:rFonts w:ascii="GOLVJ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OLVJ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LINCS</w:t>
      </w:r>
      <w:r>
        <w:rPr>
          <w:rFonts w:ascii="GOLVJ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OLVJ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LIBRARY</w:t>
      </w:r>
    </w:p>
    <w:p>
      <w:pPr>
        <w:spacing w:before="330" w:after="0" w:line="236" w:lineRule="exact"/>
        <w:ind w:left="0" w:right="0" w:firstLine="0"/>
        <w:jc w:val="left"/>
        <w:rPr>
          <w:rFonts w:ascii="OEPHVS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OEPHVS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OEPHVS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GOLVJL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GOLVJL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OEPHVS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Nakamura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K,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KRN951,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highly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potent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vascular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endothelial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growth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factor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receptor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tyrosine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kinases,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has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antitumor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activities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affects</w:t>
      </w:r>
    </w:p>
    <w:p>
      <w:pPr>
        <w:spacing w:before="32" w:after="0" w:line="223" w:lineRule="exact"/>
        <w:ind w:left="0" w:right="0" w:firstLine="0"/>
        <w:jc w:val="left"/>
        <w:rPr>
          <w:rFonts w:ascii="OEPHVS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functional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vascular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properties.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Res.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2006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Sep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EPHVS+SegoeUI" w:hAnsi="Calibri" w:eastAsiaTheme="minorEastAsia" w:cstheme="minorBidi"/>
          <w:color w:val="3E3A39"/>
          <w:sz w:val="16"/>
          <w:szCs w:val="22"/>
          <w:lang w:val="en-US" w:eastAsia="en-US" w:bidi="ar-SA"/>
        </w:rPr>
        <w:t>15;66(18):9134-42.</w:t>
      </w:r>
    </w:p>
    <w:p>
      <w:pPr>
        <w:spacing w:before="429" w:after="0" w:line="257" w:lineRule="exact"/>
        <w:ind w:left="0" w:right="0" w:firstLine="0"/>
        <w:jc w:val="left"/>
        <w:rPr>
          <w:rFonts w:ascii="OEPHVS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OEPHVS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2656" w:after="0" w:line="236" w:lineRule="exact"/>
        <w:ind w:left="1918" w:right="0" w:firstLine="0"/>
        <w:jc w:val="left"/>
        <w:rPr>
          <w:rFonts w:ascii="FKWRBD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WRB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JIPPM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JIPPMU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JIPPMU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744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IPPMU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JIPPMU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JIPPMU+SegoeUI" w:hAnsi="JIPPMU+SegoeUI" w:eastAsiaTheme="minorEastAsia" w:cs="JIPPMU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JIPPMU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BWBJFS+AdobeHeitiStd-Regular-Identity-H" w:hAnsi="BWBJFS+AdobeHeitiStd-Regular-Identity-H" w:eastAsiaTheme="minorEastAsia" w:cs="BWBJFS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941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VBIBEN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HWMPPC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SVNKUB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HIIDJW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PRLFK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RHKBOB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OEPHVS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GOLVJL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FKWRBD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JIPPMU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BWBJFS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