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GoBack"/>
      <w:r>
        <w:rPr>
          <w:lang w:eastAsia="zh-CN"/>
        </w:rPr>
        <w:t>堆取料机</w:t>
      </w:r>
      <w:r>
        <w:rPr>
          <w:rFonts w:hint="eastAsia"/>
          <w:lang w:eastAsia="zh-CN"/>
        </w:rPr>
        <w:t>全球市场总体规模</w:t>
      </w:r>
    </w:p>
    <w:p>
      <w:pPr>
        <w:pStyle w:val="145"/>
        <w:rPr>
          <w:lang w:eastAsia="zh-CN"/>
        </w:rPr>
      </w:pPr>
      <w:r>
        <w:rPr>
          <w:rFonts w:hint="eastAsia"/>
          <w:lang w:eastAsia="zh-CN"/>
        </w:rPr>
        <w:t>堆取料机是指一种用于大型干散货堆场的既能堆料又能取料的连续输送的高效装卸机械。</w:t>
      </w:r>
    </w:p>
    <w:p>
      <w:pPr>
        <w:pStyle w:val="145"/>
        <w:jc w:val="center"/>
        <w:rPr>
          <w:lang w:eastAsia="zh-CN"/>
        </w:rPr>
      </w:pPr>
      <w:r>
        <w:rPr>
          <w:lang w:val="en-US" w:eastAsia="zh-CN"/>
        </w:rPr>
        <w:drawing>
          <wp:inline distT="0" distB="0" distL="0" distR="0">
            <wp:extent cx="3848100" cy="2357755"/>
            <wp:effectExtent l="0" t="0" r="0" b="4445"/>
            <wp:docPr id="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866637" cy="2369498"/>
                    </a:xfrm>
                    <a:prstGeom prst="rect">
                      <a:avLst/>
                    </a:prstGeom>
                    <a:noFill/>
                    <a:ln>
                      <a:noFill/>
                    </a:ln>
                  </pic:spPr>
                </pic:pic>
              </a:graphicData>
            </a:graphic>
          </wp:inline>
        </w:drawing>
      </w:r>
    </w:p>
    <w:p>
      <w:pPr>
        <w:pStyle w:val="145"/>
        <w:rPr>
          <w:lang w:val="en-US" w:eastAsia="zh-CN"/>
        </w:rPr>
      </w:pPr>
      <w:r>
        <w:rPr>
          <w:rFonts w:hint="eastAsia"/>
          <w:lang w:eastAsia="zh-CN"/>
        </w:rPr>
        <w:t>据QYResearch调研团队最新报告“全球堆取料机市场报告2023-2029”显示，预计2029年全球堆取料机市场规模将达到14.4亿美元，未来几年年复合增长率CAGR为4.0%。</w:t>
      </w:r>
    </w:p>
    <w:p>
      <w:pPr>
        <w:pStyle w:val="145"/>
        <w:rPr>
          <w:lang w:eastAsia="zh-CN"/>
        </w:rPr>
      </w:pPr>
    </w:p>
    <w:p>
      <w:pPr>
        <w:pStyle w:val="148"/>
        <w:rPr>
          <w:lang w:eastAsia="zh-CN"/>
        </w:rPr>
      </w:pPr>
      <w:r>
        <w:rPr>
          <w:lang w:eastAsia="zh-CN"/>
        </w:rPr>
        <w:t>堆取料机</w:t>
      </w:r>
      <w:r>
        <w:rPr>
          <w:rFonts w:hint="eastAsia"/>
          <w:lang w:eastAsia="zh-CN"/>
        </w:rPr>
        <w:t>，全球市场总体规模，预计2</w:t>
      </w:r>
      <w:r>
        <w:rPr>
          <w:lang w:eastAsia="zh-CN"/>
        </w:rPr>
        <w:t>029</w:t>
      </w:r>
      <w:r>
        <w:rPr>
          <w:rFonts w:hint="eastAsia"/>
          <w:lang w:eastAsia="zh-CN"/>
        </w:rPr>
        <w:t>年达到</w:t>
      </w:r>
      <w:r>
        <w:rPr>
          <w:lang w:eastAsia="zh-CN"/>
        </w:rPr>
        <w:t>14.4</w:t>
      </w:r>
      <w:r>
        <w:rPr>
          <w:rFonts w:hint="eastAsia"/>
          <w:lang w:eastAsia="zh-CN"/>
        </w:rPr>
        <w:t>亿美元</w:t>
      </w:r>
    </w:p>
    <w:p>
      <w:pPr>
        <w:pStyle w:val="145"/>
      </w:pPr>
      <w:r>
        <w:rPr>
          <w:lang w:val="en-US" w:eastAsia="zh-CN"/>
        </w:rPr>
        <w:drawing>
          <wp:inline distT="0" distB="0" distL="0" distR="0">
            <wp:extent cx="6188710" cy="2922270"/>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t>堆取料机</w:t>
      </w:r>
      <w:r>
        <w:rPr>
          <w:rFonts w:hint="eastAsia"/>
        </w:rPr>
        <w:t>市场研究报告2023-2029</w:t>
      </w:r>
      <w:r>
        <w:t>.</w:t>
      </w:r>
    </w:p>
    <w:p>
      <w:pPr>
        <w:pStyle w:val="145"/>
        <w:rPr>
          <w:lang w:eastAsia="zh-CN"/>
        </w:rPr>
      </w:pPr>
      <w:r>
        <w:rPr>
          <w:rFonts w:hint="eastAsia"/>
          <w:lang w:eastAsia="zh-CN"/>
        </w:rPr>
        <w:t>主要驱动因素</w:t>
      </w:r>
      <w:r>
        <w:rPr>
          <w:lang w:eastAsia="zh-CN"/>
        </w:rPr>
        <w:t>:</w:t>
      </w:r>
    </w:p>
    <w:p>
      <w:pPr>
        <w:pStyle w:val="145"/>
        <w:rPr>
          <w:lang w:eastAsia="zh-CN"/>
        </w:rPr>
      </w:pPr>
      <w:r>
        <w:rPr>
          <w:rFonts w:ascii="Segoe UI" w:hAnsi="Segoe UI" w:cs="Segoe UI"/>
          <w:color w:val="000000"/>
          <w:szCs w:val="21"/>
          <w:shd w:val="clear" w:color="auto" w:fill="FFFFFF"/>
          <w:lang w:eastAsia="zh-CN"/>
        </w:rPr>
        <w:t>随着全球范围内基础设施建设需求的增加，如公路、桥梁、码头和矿山等项目，堆取料机的需求也相应增长。这些机器在大型基础设施项目中起到重要作用，用于高效处理和储存散粒物料。矿山和采石业是堆取料机的重要应用领域。随着全球对矿产资源的需求增加，矿山和采石业的发展也带动了堆取料机市场的增长。</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堆取料机是复杂的大型设备，需要昂贵的投资。购买、安装和维护这些机器所需的成本可能对一些公司或行业来说承担能力较低，从而限制了对堆取料机的需求。堆取料机市场的发展与其服务的行业密切相关，如矿山、采石业、能源等。如果这些行业的景气度低迷或出现波动，新堆取料机的需求可能会减少，从而影响市场的增长。</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自动化和数字化技术的广泛应用为堆取料机行业带来创新机遇。集成传感器、人工智能和数据分析等新技术可以提高设备的自动化水平、运行效率和安全性，满足行业对智能化物料处理设备的需求。在新兴市场中，工业和基础设施建设需求日益增长，为堆取料机行业提供了巨大机遇。这些市场的经济增长和城市化进程推动了对基础设施的增加投资，促进了堆取料机市场的扩展。</w:t>
      </w:r>
    </w:p>
    <w:p>
      <w:pPr>
        <w:pStyle w:val="145"/>
        <w:rPr>
          <w:lang w:eastAsia="zh-CN"/>
        </w:rPr>
      </w:pPr>
    </w:p>
    <w:p>
      <w:pPr>
        <w:pStyle w:val="148"/>
        <w:rPr>
          <w:lang w:eastAsia="zh-CN"/>
        </w:rPr>
      </w:pPr>
      <w:r>
        <w:rPr>
          <w:rFonts w:hint="eastAsia"/>
          <w:lang w:eastAsia="zh-CN"/>
        </w:rPr>
        <w:t>全球</w:t>
      </w:r>
      <w:r>
        <w:rPr>
          <w:lang w:eastAsia="zh-CN"/>
        </w:rPr>
        <w:t>堆取料机</w:t>
      </w:r>
      <w:r>
        <w:rPr>
          <w:rFonts w:hint="eastAsia"/>
          <w:lang w:eastAsia="zh-CN"/>
        </w:rPr>
        <w:t>市场前</w:t>
      </w:r>
      <w:r>
        <w:rPr>
          <w:lang w:eastAsia="zh-CN"/>
        </w:rPr>
        <w:t>15</w:t>
      </w:r>
      <w:r>
        <w:rPr>
          <w:rFonts w:hint="eastAsia"/>
          <w:lang w:eastAsia="zh-CN"/>
        </w:rPr>
        <w:t>强生产商排名及市场占有率（持续更新）</w:t>
      </w:r>
    </w:p>
    <w:p>
      <w:pPr>
        <w:pStyle w:val="145"/>
        <w:jc w:val="center"/>
        <w:rPr>
          <w:lang w:eastAsia="zh-CN"/>
        </w:rPr>
      </w:pPr>
      <w:r>
        <w:rPr>
          <w:lang w:val="en-US" w:eastAsia="zh-CN"/>
        </w:rP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堆取料机</w:t>
      </w:r>
      <w:r>
        <w:rPr>
          <w:rFonts w:hint="eastAsia"/>
          <w:lang w:eastAsia="zh-CN"/>
        </w:rPr>
        <w:t>市场研究报告2023-2029</w:t>
      </w:r>
      <w:r>
        <w:rPr>
          <w:lang w:eastAsia="zh-CN"/>
        </w:rPr>
        <w:t>.</w:t>
      </w:r>
    </w:p>
    <w:p>
      <w:pPr>
        <w:pStyle w:val="145"/>
        <w:rPr>
          <w:lang w:eastAsia="zh-CN"/>
        </w:rPr>
      </w:pPr>
      <w:r>
        <w:rPr>
          <w:rFonts w:hint="eastAsia"/>
          <w:lang w:eastAsia="zh-CN"/>
        </w:rPr>
        <w:t>全球范围内，</w:t>
      </w:r>
      <w:r>
        <w:rPr>
          <w:lang w:eastAsia="zh-CN"/>
        </w:rPr>
        <w:t>堆取料机</w:t>
      </w:r>
      <w:r>
        <w:rPr>
          <w:rFonts w:hint="eastAsia"/>
          <w:lang w:eastAsia="zh-CN"/>
        </w:rPr>
        <w:t>主要生产商包括</w:t>
      </w:r>
      <w:r>
        <w:rPr>
          <w:lang w:eastAsia="zh-CN"/>
        </w:rPr>
        <w:t>Tidfore, FLSmidth, Dalian Huarui</w:t>
      </w:r>
      <w:r>
        <w:rPr>
          <w:rFonts w:hint="eastAsia"/>
          <w:lang w:eastAsia="zh-CN"/>
        </w:rPr>
        <w:t>,</w:t>
      </w:r>
      <w:r>
        <w:rPr>
          <w:lang w:eastAsia="zh-CN"/>
        </w:rPr>
        <w:t xml:space="preserve"> Dalian SDA Heavy Industries, Metso Outotec, Changzhong Machinery</w:t>
      </w:r>
      <w:r>
        <w:rPr>
          <w:rFonts w:hint="eastAsia"/>
          <w:lang w:eastAsia="zh-CN"/>
        </w:rPr>
        <w:t>,</w:t>
      </w:r>
      <w:r>
        <w:rPr>
          <w:lang w:eastAsia="zh-CN"/>
        </w:rPr>
        <w:t xml:space="preserve"> Thyssenkrupp</w:t>
      </w:r>
      <w:r>
        <w:rPr>
          <w:rFonts w:hint="eastAsia"/>
          <w:lang w:eastAsia="zh-CN"/>
        </w:rPr>
        <w:t>,</w:t>
      </w:r>
      <w:r>
        <w:rPr>
          <w:lang w:eastAsia="zh-CN"/>
        </w:rPr>
        <w:t xml:space="preserve"> Nantong Rainbow Heavy Machineries</w:t>
      </w:r>
      <w:r>
        <w:rPr>
          <w:rFonts w:hint="eastAsia"/>
          <w:lang w:eastAsia="zh-CN"/>
        </w:rPr>
        <w:t>,</w:t>
      </w:r>
      <w:r>
        <w:rPr>
          <w:lang w:eastAsia="zh-CN"/>
        </w:rPr>
        <w:t xml:space="preserve"> MITSUI MIIKE MACHINERY</w:t>
      </w:r>
      <w:r>
        <w:rPr>
          <w:rFonts w:hint="eastAsia"/>
          <w:lang w:eastAsia="zh-CN"/>
        </w:rPr>
        <w:t>,</w:t>
      </w:r>
      <w:r>
        <w:rPr>
          <w:lang w:eastAsia="zh-CN"/>
        </w:rPr>
        <w:t xml:space="preserve"> TAKRAF GmbH</w:t>
      </w:r>
      <w:r>
        <w:rPr>
          <w:rFonts w:hint="eastAsia"/>
          <w:lang w:eastAsia="zh-CN"/>
        </w:rPr>
        <w:t>,</w:t>
      </w:r>
      <w:r>
        <w:rPr>
          <w:lang w:eastAsia="zh-CN"/>
        </w:rPr>
        <w:t xml:space="preserve"> NHI</w:t>
      </w:r>
      <w:r>
        <w:rPr>
          <w:rFonts w:hint="eastAsia"/>
          <w:lang w:eastAsia="zh-CN"/>
        </w:rPr>
        <w:t>,</w:t>
      </w:r>
      <w:r>
        <w:rPr>
          <w:lang w:eastAsia="zh-CN"/>
        </w:rPr>
        <w:t xml:space="preserve"> Bruks Siwertell</w:t>
      </w:r>
      <w:r>
        <w:rPr>
          <w:rFonts w:hint="eastAsia"/>
          <w:lang w:eastAsia="zh-CN"/>
        </w:rPr>
        <w:t>,</w:t>
      </w:r>
      <w:r>
        <w:rPr>
          <w:lang w:eastAsia="zh-CN"/>
        </w:rPr>
        <w:t xml:space="preserve"> ANDRITZ</w:t>
      </w:r>
      <w:r>
        <w:rPr>
          <w:rFonts w:hint="eastAsia"/>
          <w:lang w:eastAsia="zh-CN"/>
        </w:rPr>
        <w:t>,</w:t>
      </w:r>
      <w:r>
        <w:rPr>
          <w:lang w:eastAsia="zh-CN"/>
        </w:rPr>
        <w:t xml:space="preserve"> NRW Civil &amp; Mining</w:t>
      </w:r>
      <w:r>
        <w:rPr>
          <w:rFonts w:hint="eastAsia"/>
          <w:lang w:eastAsia="zh-CN"/>
        </w:rPr>
        <w:t xml:space="preserve"> </w:t>
      </w:r>
      <w:r>
        <w:rPr>
          <w:lang w:eastAsia="zh-CN"/>
        </w:rPr>
        <w:t>and Wuxi Zhongji</w:t>
      </w:r>
      <w:r>
        <w:rPr>
          <w:rFonts w:hint="eastAsia"/>
          <w:lang w:eastAsia="zh-CN"/>
        </w:rPr>
        <w:t>等，其中前五大厂商占有大约6</w:t>
      </w:r>
      <w:r>
        <w:rPr>
          <w:lang w:eastAsia="zh-CN"/>
        </w:rPr>
        <w:t>2</w:t>
      </w:r>
      <w:r>
        <w:rPr>
          <w:rFonts w:hint="eastAsia"/>
          <w:lang w:eastAsia="zh-CN"/>
        </w:rPr>
        <w:t>%的市场份额。</w:t>
      </w:r>
    </w:p>
    <w:p>
      <w:pPr>
        <w:pStyle w:val="145"/>
        <w:rPr>
          <w:lang w:eastAsia="zh-CN"/>
        </w:rPr>
      </w:pPr>
      <w:r>
        <w:rPr>
          <w:lang w:eastAsia="zh-CN"/>
        </w:rPr>
        <w:br w:type="page"/>
      </w:r>
    </w:p>
    <w:p>
      <w:pPr>
        <w:pStyle w:val="148"/>
        <w:rPr>
          <w:lang w:eastAsia="zh-CN"/>
        </w:rPr>
      </w:pPr>
      <w:r>
        <w:rPr>
          <w:lang w:eastAsia="zh-CN"/>
        </w:rPr>
        <w:t>堆取料机</w:t>
      </w:r>
      <w:r>
        <w:rPr>
          <w:rFonts w:hint="eastAsia"/>
          <w:lang w:eastAsia="zh-CN"/>
        </w:rPr>
        <w:t>，全球市场规模，按产品类型细分，堆料机处于主导地位</w:t>
      </w:r>
    </w:p>
    <w:p>
      <w:pPr>
        <w:pStyle w:val="145"/>
        <w:rPr>
          <w:lang w:eastAsia="zh-CN"/>
        </w:rPr>
      </w:pPr>
      <w:r>
        <w:rPr>
          <w:lang w:val="en-US" w:eastAsia="zh-CN"/>
        </w:rPr>
        <w:drawing>
          <wp:inline distT="0" distB="0" distL="0" distR="0">
            <wp:extent cx="6639560" cy="3067685"/>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639560" cy="306768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堆取料机</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就产品类型而言，目前堆料机是最主要的细分产品，占据大约</w:t>
      </w:r>
      <w:r>
        <w:rPr>
          <w:lang w:eastAsia="zh-CN"/>
        </w:rPr>
        <w:t>43</w:t>
      </w:r>
      <w:r>
        <w:rPr>
          <w:rFonts w:hint="eastAsia"/>
          <w:lang w:eastAsia="zh-CN"/>
        </w:rPr>
        <w:t>%的份额。</w:t>
      </w:r>
    </w:p>
    <w:p>
      <w:pPr>
        <w:pStyle w:val="145"/>
        <w:rPr>
          <w:lang w:eastAsia="zh-CN"/>
        </w:rPr>
      </w:pPr>
      <w:r>
        <w:rPr>
          <w:lang w:eastAsia="zh-CN"/>
        </w:rPr>
        <w:br w:type="page"/>
      </w:r>
    </w:p>
    <w:p>
      <w:pPr>
        <w:pStyle w:val="148"/>
        <w:rPr>
          <w:lang w:eastAsia="zh-CN"/>
        </w:rPr>
      </w:pPr>
      <w:r>
        <w:rPr>
          <w:lang w:eastAsia="zh-CN"/>
        </w:rPr>
        <w:t>堆取料机</w:t>
      </w:r>
      <w:r>
        <w:rPr>
          <w:rFonts w:hint="eastAsia"/>
          <w:lang w:eastAsia="zh-CN"/>
        </w:rPr>
        <w:t>，全球市场规模，按应用细分，矿业是最大的下游市场，占有</w:t>
      </w:r>
      <w:r>
        <w:rPr>
          <w:lang w:eastAsia="zh-CN"/>
        </w:rPr>
        <w:t>73</w:t>
      </w:r>
      <w:r>
        <w:rPr>
          <w:rFonts w:hint="eastAsia"/>
          <w:lang w:eastAsia="zh-CN"/>
        </w:rPr>
        <w:t>%份额。</w:t>
      </w:r>
    </w:p>
    <w:p>
      <w:pPr>
        <w:pStyle w:val="145"/>
      </w:pPr>
      <w:r>
        <w:rPr>
          <w:lang w:val="en-US" w:eastAsia="zh-CN"/>
        </w:rPr>
        <w:drawing>
          <wp:inline distT="0" distB="0" distL="0" distR="0">
            <wp:extent cx="6639560" cy="3067685"/>
            <wp:effectExtent l="0" t="0" r="889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639560" cy="306768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堆取料机</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就产品类型而言，目前矿业是最主要的需求来源，占据大约</w:t>
      </w:r>
      <w:r>
        <w:rPr>
          <w:lang w:eastAsia="zh-CN"/>
        </w:rPr>
        <w:t>73</w:t>
      </w:r>
      <w:r>
        <w:rPr>
          <w:rFonts w:hint="eastAsia"/>
          <w:lang w:eastAsia="zh-CN"/>
        </w:rPr>
        <w:t>%的份额。</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全球主要市场</w:t>
      </w:r>
      <w:r>
        <w:rPr>
          <w:lang w:eastAsia="zh-CN"/>
        </w:rPr>
        <w:t>堆取料机</w:t>
      </w:r>
      <w:r>
        <w:rPr>
          <w:rFonts w:hint="eastAsia"/>
          <w:lang w:eastAsia="zh-CN"/>
        </w:rPr>
        <w:t>规模</w:t>
      </w:r>
    </w:p>
    <w:p>
      <w:pPr>
        <w:pStyle w:val="145"/>
        <w:rPr>
          <w:lang w:val="en-US" w:eastAsia="zh-CN"/>
        </w:rPr>
      </w:pPr>
      <w:r>
        <w:rPr>
          <w:lang w:val="en-US" w:eastAsia="zh-CN"/>
        </w:rPr>
        <w:drawing>
          <wp:inline distT="0" distB="0" distL="0" distR="0">
            <wp:extent cx="6188710" cy="2922270"/>
            <wp:effectExtent l="0" t="0" r="254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pPr>
      <w:r>
        <w:rPr>
          <w:rFonts w:hint="eastAsia"/>
          <w:lang w:eastAsia="zh-CN"/>
        </w:rPr>
        <w:t>如上图表/数据，摘自QYResearch最新报告“</w:t>
      </w:r>
      <w:r>
        <w:rPr>
          <w:rFonts w:hint="eastAsia"/>
        </w:rPr>
        <w:t>全球</w:t>
      </w:r>
      <w:r>
        <w:t>堆取料机</w:t>
      </w:r>
      <w:r>
        <w:rPr>
          <w:rFonts w:hint="eastAsia"/>
        </w:rPr>
        <w:t>市场研究报告2023-2029</w:t>
      </w:r>
      <w:r>
        <w:t>.</w:t>
      </w:r>
    </w:p>
    <w:bookmarkEnd w:id="0"/>
    <w:p>
      <w:pPr>
        <w:pStyle w:val="145"/>
      </w:pPr>
    </w:p>
    <w:p>
      <w:pPr>
        <w:pStyle w:val="145"/>
      </w:pPr>
    </w:p>
    <w:p>
      <w:pPr>
        <w:pStyle w:val="145"/>
      </w:pPr>
      <w: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Segoe UI">
    <w:panose1 w:val="020B0502040204020203"/>
    <w:charset w:val="00"/>
    <w:family w:val="swiss"/>
    <w:pitch w:val="default"/>
    <w:sig w:usb0="E10022FF" w:usb1="C000E47F" w:usb2="00000029" w:usb3="00000000" w:csb0="200001DF" w:csb1="2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B5B"/>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6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18A5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autoRedefine/>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autoRedefine/>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autoRedefine/>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autoRedefine/>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3.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G:\M&#30446;&#24405;\2018&#24180;1&#26376;&#26368;&#26032;excel&#30446;&#24405;&#27169;&#26495;\2020&#30446;&#24405;\&#26032;&#38395;&#31295;\&#35266;&#28857;&#25968;&#25454;&#22270;&#34920;&#27169;&#26495;-&#20840;&#29699;20230925%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M&#30446;&#24405;\2018&#24180;1&#26376;&#26368;&#26032;excel&#30446;&#24405;&#27169;&#26495;\2020&#30446;&#24405;\&#26032;&#38395;&#31295;\&#35266;&#28857;&#25968;&#25454;&#22270;&#34920;&#27169;&#26495;-&#20840;&#29699;20230925%20-%20&#21103;&#264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M&#30446;&#24405;\2018&#24180;1&#26376;&#26368;&#26032;excel&#30446;&#24405;&#27169;&#26495;\2020&#30446;&#24405;\&#26032;&#38395;&#31295;\&#35266;&#28857;&#25968;&#25454;&#22270;&#34920;&#27169;&#26495;-&#20840;&#29699;20230925%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全球市场规模（百万美元），</a:t>
            </a:r>
            <a:r>
              <a:rPr lang="en-US" altLang="zh-CN" sz="1100">
                <a:latin typeface="Book Antiqua" panose="02040602050305030304" pitchFamily="1" charset="0"/>
              </a:rPr>
              <a:t>2022 VS 2029</a:t>
            </a:r>
            <a:endParaRPr lang="en-US" altLang="zh-CN" sz="11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全球总体!$C$21:$D$21</c:f>
              <c:numCache>
                <c:formatCode>General</c:formatCode>
                <c:ptCount val="2"/>
                <c:pt idx="0">
                  <c:v>2022</c:v>
                </c:pt>
                <c:pt idx="1">
                  <c:v>2029</c:v>
                </c:pt>
              </c:numCache>
            </c:numRef>
          </c:cat>
          <c:val>
            <c:numRef>
              <c:f>全球总体!$C$22:$D$22</c:f>
              <c:numCache>
                <c:formatCode>#,##0_ </c:formatCode>
                <c:ptCount val="2"/>
                <c:pt idx="0">
                  <c:v>1058.51</c:v>
                </c:pt>
                <c:pt idx="1">
                  <c:v>1435</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Lbls>
            <c:delete val="1"/>
          </c:dLbls>
          <c:cat>
            <c:strRef>
              <c:f>企业排序!$F$2:$F$16</c:f>
              <c:strCache>
                <c:ptCount val="15"/>
                <c:pt idx="0">
                  <c:v>Wuxi Zhongji</c:v>
                </c:pt>
                <c:pt idx="1">
                  <c:v>NRW Civil &amp; Mining</c:v>
                </c:pt>
                <c:pt idx="2">
                  <c:v>ANDRITZ</c:v>
                </c:pt>
                <c:pt idx="3">
                  <c:v>Bruks Siwertell</c:v>
                </c:pt>
                <c:pt idx="4">
                  <c:v>NHI</c:v>
                </c:pt>
                <c:pt idx="5">
                  <c:v>TAKRAF GmbH</c:v>
                </c:pt>
                <c:pt idx="6">
                  <c:v>MITSUI MIIKE MACHINERY</c:v>
                </c:pt>
                <c:pt idx="7">
                  <c:v>Nantong Rainbow Heavy Machineries</c:v>
                </c:pt>
                <c:pt idx="8">
                  <c:v>Thyssenkrupp</c:v>
                </c:pt>
                <c:pt idx="9">
                  <c:v>Changzhong Machinery</c:v>
                </c:pt>
                <c:pt idx="10">
                  <c:v>Metso Outotec</c:v>
                </c:pt>
                <c:pt idx="11">
                  <c:v>Dalian SDA Heavy Industries</c:v>
                </c:pt>
                <c:pt idx="12">
                  <c:v>Dalian Huarui</c:v>
                </c:pt>
                <c:pt idx="13">
                  <c:v>FLSmidth</c:v>
                </c:pt>
                <c:pt idx="14">
                  <c:v>Tidfore</c:v>
                </c:pt>
              </c:strCache>
            </c:strRef>
          </c:cat>
          <c:val>
            <c:numRef>
              <c:f>企业排序!$G$2:$G$16</c:f>
              <c:numCache>
                <c:formatCode>#,##0.00_ </c:formatCode>
                <c:ptCount val="15"/>
                <c:pt idx="0">
                  <c:v>4.67</c:v>
                </c:pt>
                <c:pt idx="1">
                  <c:v>9.1</c:v>
                </c:pt>
                <c:pt idx="2">
                  <c:v>13.21</c:v>
                </c:pt>
                <c:pt idx="3">
                  <c:v>14.84</c:v>
                </c:pt>
                <c:pt idx="4">
                  <c:v>15.14</c:v>
                </c:pt>
                <c:pt idx="5">
                  <c:v>15.44</c:v>
                </c:pt>
                <c:pt idx="6">
                  <c:v>17.58</c:v>
                </c:pt>
                <c:pt idx="7">
                  <c:v>18.14</c:v>
                </c:pt>
                <c:pt idx="8">
                  <c:v>18.68</c:v>
                </c:pt>
                <c:pt idx="9">
                  <c:v>34.32</c:v>
                </c:pt>
                <c:pt idx="10">
                  <c:v>43.52</c:v>
                </c:pt>
                <c:pt idx="11">
                  <c:v>67.68</c:v>
                </c:pt>
                <c:pt idx="12">
                  <c:v>86.23</c:v>
                </c:pt>
                <c:pt idx="13">
                  <c:v>105.83</c:v>
                </c:pt>
                <c:pt idx="14">
                  <c:v>347.47</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200">
                <a:latin typeface="Book Antiqua" panose="02040602050305030304" pitchFamily="1" charset="0"/>
              </a:rPr>
              <a:t> 全球主要市场堆取料机规模</a:t>
            </a:r>
            <a:r>
              <a:rPr lang="en-US" altLang="zh-CN" sz="1200">
                <a:latin typeface="Book Antiqua" panose="02040602050305030304" pitchFamily="1" charset="0"/>
              </a:rPr>
              <a:t>,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'地区-消费'!$AF$1</c:f>
              <c:strCache>
                <c:ptCount val="1"/>
                <c:pt idx="0">
                  <c:v>2022</c:v>
                </c:pt>
              </c:strCache>
            </c:strRef>
          </c:tx>
          <c:spPr>
            <a:solidFill>
              <a:srgbClr val="FFC000"/>
            </a:solidFill>
            <a:ln>
              <a:noFill/>
            </a:ln>
            <a:effectLst/>
          </c:spPr>
          <c:invertIfNegative val="0"/>
          <c:dLbls>
            <c:delete val="1"/>
          </c:dLbls>
          <c:cat>
            <c:strRef>
              <c:f>'地区-消费'!$AD$2:$AD$10</c:f>
              <c:strCache>
                <c:ptCount val="5"/>
                <c:pt idx="0">
                  <c:v>北美</c:v>
                </c:pt>
                <c:pt idx="1">
                  <c:v>欧洲</c:v>
                </c:pt>
                <c:pt idx="2">
                  <c:v>亚太</c:v>
                </c:pt>
                <c:pt idx="3">
                  <c:v>拉美</c:v>
                </c:pt>
                <c:pt idx="4">
                  <c:v>中东和非洲</c:v>
                </c:pt>
              </c:strCache>
            </c:strRef>
          </c:cat>
          <c:val>
            <c:numRef>
              <c:f>'地区-消费'!$AF$2:$AF$10</c:f>
              <c:numCache>
                <c:formatCode>#,##0_);[Red]\(#,##0\)</c:formatCode>
                <c:ptCount val="5"/>
                <c:pt idx="0">
                  <c:v>206.51</c:v>
                </c:pt>
                <c:pt idx="1">
                  <c:v>244.31</c:v>
                </c:pt>
                <c:pt idx="2">
                  <c:v>483.19</c:v>
                </c:pt>
                <c:pt idx="3">
                  <c:v>71.27</c:v>
                </c:pt>
                <c:pt idx="4">
                  <c:v>53.23</c:v>
                </c:pt>
              </c:numCache>
            </c:numRef>
          </c:val>
        </c:ser>
        <c:ser>
          <c:idx val="1"/>
          <c:order val="1"/>
          <c:tx>
            <c:strRef>
              <c:f>'地区-消费'!$AG$1</c:f>
              <c:strCache>
                <c:ptCount val="1"/>
                <c:pt idx="0">
                  <c:v>2029</c:v>
                </c:pt>
              </c:strCache>
            </c:strRef>
          </c:tx>
          <c:spPr>
            <a:solidFill>
              <a:schemeClr val="bg1">
                <a:lumMod val="50000"/>
              </a:schemeClr>
            </a:solidFill>
            <a:ln>
              <a:noFill/>
            </a:ln>
            <a:effectLst/>
          </c:spPr>
          <c:invertIfNegative val="0"/>
          <c:dLbls>
            <c:delete val="1"/>
          </c:dLbls>
          <c:cat>
            <c:strRef>
              <c:f>'地区-消费'!$AD$2:$AD$10</c:f>
              <c:strCache>
                <c:ptCount val="5"/>
                <c:pt idx="0">
                  <c:v>北美</c:v>
                </c:pt>
                <c:pt idx="1">
                  <c:v>欧洲</c:v>
                </c:pt>
                <c:pt idx="2">
                  <c:v>亚太</c:v>
                </c:pt>
                <c:pt idx="3">
                  <c:v>拉美</c:v>
                </c:pt>
                <c:pt idx="4">
                  <c:v>中东和非洲</c:v>
                </c:pt>
              </c:strCache>
            </c:strRef>
          </c:cat>
          <c:val>
            <c:numRef>
              <c:f>'地区-消费'!$AG$2:$AG$10</c:f>
              <c:numCache>
                <c:formatCode>#,##0_);[Red]\(#,##0\)</c:formatCode>
                <c:ptCount val="5"/>
                <c:pt idx="0">
                  <c:v>291</c:v>
                </c:pt>
                <c:pt idx="1">
                  <c:v>333</c:v>
                </c:pt>
                <c:pt idx="2">
                  <c:v>635</c:v>
                </c:pt>
                <c:pt idx="3">
                  <c:v>96</c:v>
                </c:pt>
                <c:pt idx="4">
                  <c:v>80</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0.3424</cdr:x>
      <cdr:y>0.19487</cdr:y>
    </cdr:from>
    <cdr:to>
      <cdr:x>0.64472</cdr:x>
      <cdr:y>0.49438</cdr:y>
    </cdr:to>
    <cdr:grpSp>
      <cdr:nvGrpSpPr>
        <cdr:cNvPr id="2" name="组合 1"/>
        <cdr:cNvGrpSpPr/>
      </cdr:nvGrpSpPr>
      <cdr:grpSpPr xmlns:a="http://schemas.openxmlformats.org/drawingml/2006/main">
        <a:xfrm rot="439955">
          <a:off x="2119014" y="569463"/>
          <a:ext cx="1870971" cy="875249"/>
          <a:chOff x="2472076" y="803781"/>
          <a:chExt cx="1347825" cy="936531"/>
        </a:xfrm>
      </cdr:grpSpPr>
      <cdr:cxnSp>
        <cdr:nvCxnSpPr>
          <cdr:cNvPr id="3" name="直接箭头连接符 2"/>
          <cdr:cNvCxnSpPr/>
        </cdr:nvCxnSpPr>
        <cdr:spPr xmlns:a="http://schemas.openxmlformats.org/drawingml/2006/main">
          <a:xfrm xmlns:a="http://schemas.openxmlformats.org/drawingml/2006/main" rot="21160045" flipV="1">
            <a:off x="2472076" y="803781"/>
            <a:ext cx="1347825" cy="93653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012677">
            <a:off x="2758732" y="1132418"/>
            <a:ext cx="491455" cy="37654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4.0%</a:t>
            </a:r>
            <a:endParaRPr lang="zh-CN" baseline="0">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B67201-2C7F-4EA5-91ED-E0660F63D49B}">
  <ds:schemaRefs/>
</ds:datastoreItem>
</file>

<file path=docProps/app.xml><?xml version="1.0" encoding="utf-8"?>
<Properties xmlns="http://schemas.openxmlformats.org/officeDocument/2006/extended-properties" xmlns:vt="http://schemas.openxmlformats.org/officeDocument/2006/docPropsVTypes">
  <Template>Normal</Template>
  <Pages>7</Pages>
  <Words>290</Words>
  <Characters>1658</Characters>
  <Lines>13</Lines>
  <Paragraphs>3</Paragraphs>
  <TotalTime>645</TotalTime>
  <ScaleCrop>false</ScaleCrop>
  <LinksUpToDate>false</LinksUpToDate>
  <CharactersWithSpaces>1945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2024-03-19T06:57:06Z</dcterms:modified>
  <cp:revision>809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D070A31DE80C41849252E42578CDEE13_13</vt:lpwstr>
  </property>
</Properties>
</file>