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AFDFE7">
      <w:pPr>
        <w:pStyle w:val="145"/>
        <w:rPr>
          <w:lang w:eastAsia="zh-CN"/>
        </w:rPr>
      </w:pPr>
      <w:bookmarkStart w:id="0" w:name="_Toc517262917"/>
      <w:bookmarkStart w:id="1" w:name="_Toc453597319"/>
      <w:bookmarkStart w:id="2" w:name="_Toc438987549"/>
      <w:bookmarkStart w:id="3" w:name="OLE_LINK15"/>
      <w:bookmarkStart w:id="4" w:name="_Toc481801204"/>
      <w:bookmarkStart w:id="5" w:name="OLE_LINK40"/>
      <w:bookmarkStart w:id="6" w:name="_Toc415143481"/>
      <w:bookmarkStart w:id="7" w:name="OLE_LINK13"/>
      <w:bookmarkStart w:id="8" w:name="_Toc415818939"/>
      <w:bookmarkStart w:id="9" w:name="_Toc418070112"/>
      <w:bookmarkStart w:id="10" w:name="_Toc415142861"/>
      <w:bookmarkStart w:id="11" w:name="OLE_LINK39"/>
      <w:bookmarkStart w:id="12" w:name="OLE_LINK24"/>
      <w:r>
        <w:rPr>
          <w:rFonts w:hint="eastAsia"/>
          <w:lang w:eastAsia="zh-CN"/>
        </w:rPr>
        <w:t>含硫含磷毒剂探测仪是种专门用于检测化学战剂的仪器。这类仪器能够在战场上迅速检测出化学武器使用的迹象，帮助军事和应急响应人员及时采取防护措施，保障人员安全。它可以快速识别多种化学战剂，包括神经性毒剂、糜烂性毒剂等，以及可能的生化威胁。含硫含磷毒剂探测仪能够在很短的时间内对化学战剂的存在作出响应，通常几秒钟到几分钟内就能完成检测。快速响应意味着能够迅速采取防护措施，减少暴露于有害物质的风险。 含硫含磷毒剂探测仪能够检测出极低浓度的化学战剂，确保即使是微量的化学战剂也不会被忽略。高灵敏度使得设备在早期就能发现潜在威胁，从而提前预警。含硫含磷毒剂探测仪能够准确识别化学战剂的种类，并提供详细的分析结果。</w:t>
      </w:r>
    </w:p>
    <w:p w14:paraId="26C5720D">
      <w:pPr>
        <w:pStyle w:val="145"/>
        <w:rPr>
          <w:lang w:eastAsia="zh-CN"/>
        </w:rPr>
      </w:pPr>
      <w:r>
        <w:rPr>
          <w:rFonts w:hint="eastAsia"/>
          <w:lang w:eastAsia="zh-CN"/>
        </w:rPr>
        <w:t>据QYResearch调研团队最新报告“全球含硫含磷毒剂探测仪市场报告2024-2030”显示，预计2030年全球含硫含磷毒剂探测仪市场规模将达到4.1亿美元，未来几年年复合增长率CAGR为6.5%。</w:t>
      </w:r>
    </w:p>
    <w:p w14:paraId="6FB5DFE5">
      <w:pPr>
        <w:pStyle w:val="145"/>
        <w:rPr>
          <w:lang w:eastAsia="zh-CN"/>
        </w:rPr>
      </w:pPr>
      <w:r>
        <w:rPr>
          <w:lang w:val="en-US" w:eastAsia="zh-CN"/>
        </w:rPr>
        <w:drawing>
          <wp:inline distT="0" distB="0" distL="0" distR="0">
            <wp:extent cx="2552700" cy="1703070"/>
            <wp:effectExtent l="0" t="0" r="0" b="0"/>
            <wp:docPr id="18" name="图片 18" descr="Ap2c Chemical Detector Ap2c | Surveillance And Targeting Equipment |  Proengin 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Ap2c Chemical Detector Ap2c | Surveillance And Targeting Equipment |  Proengin S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580365" cy="1722060"/>
                    </a:xfrm>
                    <a:prstGeom prst="rect">
                      <a:avLst/>
                    </a:prstGeom>
                    <a:noFill/>
                    <a:ln>
                      <a:noFill/>
                    </a:ln>
                  </pic:spPr>
                </pic:pic>
              </a:graphicData>
            </a:graphic>
          </wp:inline>
        </w:drawing>
      </w:r>
    </w:p>
    <w:p w14:paraId="3F6C2722">
      <w:pPr>
        <w:pStyle w:val="148"/>
        <w:rPr>
          <w:lang w:eastAsia="zh-CN"/>
        </w:rPr>
      </w:pPr>
      <w:r>
        <w:rPr>
          <w:lang w:eastAsia="zh-CN"/>
        </w:rPr>
        <w:t>含硫含磷毒剂探测仪</w:t>
      </w:r>
      <w:r>
        <w:rPr>
          <w:rFonts w:hint="eastAsia"/>
          <w:lang w:eastAsia="zh-CN"/>
        </w:rPr>
        <w:t>，全球市场总体规模</w:t>
      </w:r>
    </w:p>
    <w:p w14:paraId="33261207">
      <w:pPr>
        <w:pStyle w:val="145"/>
      </w:pPr>
      <w:r>
        <w:rPr>
          <w:lang w:val="en-US" w:eastAsia="zh-CN"/>
        </w:rPr>
        <w:drawing>
          <wp:inline distT="0" distB="0" distL="0" distR="0">
            <wp:extent cx="6119495" cy="3239770"/>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48964BA">
      <w:pPr>
        <w:pStyle w:val="143"/>
        <w:rPr>
          <w:lang w:eastAsia="zh-CN"/>
        </w:rPr>
      </w:pPr>
      <w:r>
        <w:rPr>
          <w:rFonts w:hint="eastAsia"/>
          <w:lang w:eastAsia="zh-CN"/>
        </w:rPr>
        <w:t>来源：QYResearch机械设备研究中心</w:t>
      </w:r>
    </w:p>
    <w:p w14:paraId="12FD9BEF">
      <w:pPr>
        <w:pStyle w:val="145"/>
        <w:rPr>
          <w:i/>
          <w:sz w:val="16"/>
          <w:lang w:eastAsia="zh-CN"/>
        </w:rPr>
      </w:pPr>
    </w:p>
    <w:p w14:paraId="720E31E2">
      <w:pPr>
        <w:pStyle w:val="148"/>
        <w:rPr>
          <w:lang w:eastAsia="zh-CN"/>
        </w:rPr>
      </w:pPr>
      <w:r>
        <w:rPr>
          <w:rFonts w:hint="eastAsia"/>
          <w:lang w:eastAsia="zh-CN"/>
        </w:rPr>
        <w:t>全球</w:t>
      </w:r>
      <w:r>
        <w:rPr>
          <w:lang w:eastAsia="zh-CN"/>
        </w:rPr>
        <w:t>含硫含磷毒剂探测仪</w:t>
      </w:r>
      <w:r>
        <w:rPr>
          <w:rFonts w:hint="eastAsia"/>
          <w:lang w:eastAsia="zh-CN"/>
        </w:rPr>
        <w:t>市场前</w:t>
      </w:r>
      <w:r>
        <w:rPr>
          <w:lang w:eastAsia="zh-CN"/>
        </w:rPr>
        <w:t>13</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6096000" cy="3933825"/>
            <wp:effectExtent l="0" t="0" r="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4A43543">
      <w:pPr>
        <w:pStyle w:val="143"/>
        <w:rPr>
          <w:lang w:eastAsia="zh-CN"/>
        </w:rPr>
      </w:pPr>
      <w:r>
        <w:rPr>
          <w:rFonts w:hint="eastAsia"/>
          <w:lang w:eastAsia="zh-CN"/>
        </w:rPr>
        <w:t>来源：QYResearch 机械设备研究中心。行业处于不断变动之中，最新数据请联系QYResearch咨询。</w:t>
      </w:r>
    </w:p>
    <w:p w14:paraId="3B2E5865">
      <w:pPr>
        <w:pStyle w:val="145"/>
      </w:pPr>
      <w:r>
        <w:rPr>
          <w:rFonts w:hint="eastAsia"/>
        </w:rPr>
        <w:t>根据QYResearch头部企业研究中心调研，全球范围内含硫含磷毒剂探测仪生产商主要包括布鲁克、Smiths Detection、赛默飞、Teledyne FLIR、Proengin、Bertin Technologies、AIRSENSE Analytics、SEC Technologies、ENMET、Owlstone等。2022年，全球前十强厂商占有大约73.0%的市场份额。</w:t>
      </w:r>
    </w:p>
    <w:p w14:paraId="3E6DE9A8">
      <w:pPr>
        <w:pStyle w:val="148"/>
        <w:rPr>
          <w:lang w:eastAsia="zh-CN"/>
        </w:rPr>
      </w:pPr>
      <w:r>
        <w:rPr>
          <w:lang w:eastAsia="zh-CN"/>
        </w:rPr>
        <w:t>含硫含磷毒剂探测仪</w:t>
      </w:r>
      <w:r>
        <w:rPr>
          <w:rFonts w:hint="eastAsia"/>
          <w:lang w:eastAsia="zh-CN"/>
        </w:rPr>
        <w:t>，全球市场规模，按产品类型细分，便携式处于主导地位</w:t>
      </w:r>
    </w:p>
    <w:p w14:paraId="18DDA3B7">
      <w:pPr>
        <w:pStyle w:val="145"/>
        <w:rPr>
          <w:lang w:val="en-US" w:eastAsia="zh-CN"/>
        </w:rPr>
      </w:pPr>
      <w:r>
        <w:rPr>
          <w:lang w:val="en-US" w:eastAsia="zh-CN"/>
        </w:rPr>
        <w:drawing>
          <wp:inline distT="0" distB="0" distL="0" distR="0">
            <wp:extent cx="6120765" cy="323723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120765" cy="3237230"/>
                    </a:xfrm>
                    <a:prstGeom prst="rect">
                      <a:avLst/>
                    </a:prstGeom>
                    <a:noFill/>
                  </pic:spPr>
                </pic:pic>
              </a:graphicData>
            </a:graphic>
          </wp:inline>
        </w:drawing>
      </w:r>
      <w:r>
        <w:rPr>
          <w:lang w:val="en-US" w:eastAsia="zh-CN"/>
        </w:rPr>
        <w:drawing>
          <wp:inline distT="0" distB="0" distL="0" distR="0">
            <wp:extent cx="6119495" cy="3239770"/>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9AE0722">
      <w:pPr>
        <w:pStyle w:val="143"/>
        <w:rPr>
          <w:lang w:eastAsia="zh-CN"/>
        </w:rPr>
      </w:pPr>
      <w:r>
        <w:rPr>
          <w:rFonts w:hint="eastAsia"/>
          <w:lang w:eastAsia="zh-CN"/>
        </w:rPr>
        <w:t>来源：QYResearch 机械设备研究中心</w:t>
      </w:r>
    </w:p>
    <w:p w14:paraId="3A3A11C8">
      <w:pPr>
        <w:pStyle w:val="145"/>
        <w:rPr>
          <w:lang w:eastAsia="zh-CN"/>
        </w:rPr>
      </w:pPr>
      <w:r>
        <w:rPr>
          <w:rFonts w:hint="eastAsia"/>
          <w:lang w:eastAsia="zh-CN"/>
        </w:rPr>
        <w:t>就产品类型而言，目前便携式是最主要的细分产品，占据大约72.6%的份额。</w:t>
      </w:r>
    </w:p>
    <w:p w14:paraId="196063ED">
      <w:pPr>
        <w:pStyle w:val="145"/>
        <w:rPr>
          <w:lang w:eastAsia="zh-CN"/>
        </w:rPr>
      </w:pPr>
    </w:p>
    <w:p w14:paraId="0B069045">
      <w:pPr>
        <w:pStyle w:val="148"/>
        <w:rPr>
          <w:lang w:eastAsia="zh-CN"/>
        </w:rPr>
      </w:pPr>
      <w:r>
        <w:rPr>
          <w:lang w:eastAsia="zh-CN"/>
        </w:rPr>
        <w:t>含硫含磷毒剂探测仪</w:t>
      </w:r>
      <w:r>
        <w:rPr>
          <w:rFonts w:hint="eastAsia"/>
          <w:lang w:eastAsia="zh-CN"/>
        </w:rPr>
        <w:t>，全球市场规模，按应用细分，军事领域是最大的下游市场，占有</w:t>
      </w:r>
      <w:r>
        <w:rPr>
          <w:lang w:eastAsia="zh-CN"/>
        </w:rPr>
        <w:t>49.3%</w:t>
      </w:r>
      <w:r>
        <w:rPr>
          <w:rFonts w:hint="eastAsia"/>
          <w:lang w:eastAsia="zh-CN"/>
        </w:rPr>
        <w:t>份额。</w:t>
      </w:r>
    </w:p>
    <w:p w14:paraId="1F9213C6">
      <w:pPr>
        <w:widowControl/>
        <w:topLinePunct w:val="0"/>
        <w:spacing w:after="0"/>
        <w:jc w:val="left"/>
        <w:rPr>
          <w:rFonts w:ascii="宋体" w:hAnsi="宋体" w:cs="宋体"/>
          <w:kern w:val="0"/>
          <w:sz w:val="24"/>
          <w:szCs w:val="24"/>
        </w:rPr>
      </w:pPr>
      <w:r>
        <w:rPr>
          <w:rFonts w:ascii="宋体" w:hAnsi="宋体" w:cs="宋体"/>
          <w:kern w:val="0"/>
          <w:sz w:val="24"/>
          <w:szCs w:val="24"/>
        </w:rPr>
        <w:drawing>
          <wp:inline distT="0" distB="0" distL="0" distR="0">
            <wp:extent cx="6120765" cy="324358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120765" cy="3243580"/>
                    </a:xfrm>
                    <a:prstGeom prst="rect">
                      <a:avLst/>
                    </a:prstGeom>
                    <a:noFill/>
                  </pic:spPr>
                </pic:pic>
              </a:graphicData>
            </a:graphic>
          </wp:inline>
        </w:drawing>
      </w:r>
      <w:r>
        <w:drawing>
          <wp:inline distT="0" distB="0" distL="0" distR="0">
            <wp:extent cx="6188710" cy="2922270"/>
            <wp:effectExtent l="0" t="0" r="254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753BDFC">
      <w:pPr>
        <w:pStyle w:val="143"/>
        <w:rPr>
          <w:lang w:eastAsia="zh-CN"/>
        </w:rPr>
      </w:pPr>
      <w:r>
        <w:rPr>
          <w:rFonts w:hint="eastAsia"/>
          <w:lang w:eastAsia="zh-CN"/>
        </w:rPr>
        <w:t>来源：QYResearch 机械设备研究中心</w:t>
      </w:r>
    </w:p>
    <w:p w14:paraId="4B5D90DE">
      <w:pPr>
        <w:pStyle w:val="145"/>
        <w:rPr>
          <w:lang w:eastAsia="zh-CN"/>
        </w:rPr>
      </w:pPr>
      <w:r>
        <w:rPr>
          <w:rFonts w:hint="eastAsia"/>
          <w:lang w:eastAsia="zh-CN"/>
        </w:rPr>
        <w:t>就产品应用而言，目前军事是最主要的需求来源，占据大约49.3%的份额。</w:t>
      </w:r>
    </w:p>
    <w:p w14:paraId="5F8B78C0">
      <w:pPr>
        <w:pStyle w:val="148"/>
        <w:rPr>
          <w:lang w:eastAsia="zh-CN"/>
        </w:rPr>
      </w:pPr>
      <w:r>
        <w:rPr>
          <w:rFonts w:hint="eastAsia"/>
          <w:lang w:eastAsia="zh-CN"/>
        </w:rPr>
        <w:t>全球</w:t>
      </w:r>
      <w:r>
        <w:rPr>
          <w:lang w:eastAsia="zh-CN"/>
        </w:rPr>
        <w:t>含硫含磷毒剂探测仪</w:t>
      </w:r>
      <w:r>
        <w:rPr>
          <w:rFonts w:hint="eastAsia"/>
          <w:lang w:eastAsia="zh-CN"/>
        </w:rPr>
        <w:t>规模，主要生产地区份额（按销量）</w:t>
      </w:r>
    </w:p>
    <w:p w14:paraId="04A4515E">
      <w:pPr>
        <w:pStyle w:val="145"/>
        <w:rPr>
          <w:i/>
          <w:sz w:val="16"/>
          <w:lang w:val="en-US" w:eastAsia="zh-CN"/>
        </w:rPr>
      </w:pPr>
      <w:r>
        <w:rPr>
          <w:lang w:val="en-US" w:eastAsia="zh-CN"/>
        </w:rPr>
        <w:drawing>
          <wp:inline distT="0" distB="0" distL="0" distR="0">
            <wp:extent cx="6119495" cy="3239770"/>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2059567">
      <w:pPr>
        <w:pStyle w:val="143"/>
        <w:rPr>
          <w:lang w:eastAsia="zh-CN"/>
        </w:rPr>
      </w:pPr>
      <w:r>
        <w:rPr>
          <w:rFonts w:hint="eastAsia"/>
          <w:lang w:eastAsia="zh-CN"/>
        </w:rPr>
        <w:t>来源：QYResearch 机械设备研究中心</w:t>
      </w:r>
    </w:p>
    <w:p w14:paraId="5315F7D2">
      <w:pPr>
        <w:pStyle w:val="143"/>
      </w:pPr>
    </w:p>
    <w:p w14:paraId="0CD10F4E">
      <w:pPr>
        <w:pStyle w:val="148"/>
        <w:rPr>
          <w:lang w:eastAsia="zh-CN"/>
        </w:rPr>
      </w:pPr>
      <w:r>
        <w:rPr>
          <w:rFonts w:hint="eastAsia"/>
          <w:lang w:eastAsia="zh-CN"/>
        </w:rPr>
        <w:t>全球主要市场</w:t>
      </w:r>
      <w:r>
        <w:rPr>
          <w:lang w:eastAsia="zh-CN"/>
        </w:rPr>
        <w:t>含硫含磷毒剂探测仪</w:t>
      </w:r>
      <w:r>
        <w:rPr>
          <w:rFonts w:hint="eastAsia"/>
          <w:lang w:eastAsia="zh-CN"/>
        </w:rPr>
        <w:t>规模</w:t>
      </w:r>
    </w:p>
    <w:p w14:paraId="4B44D8E9">
      <w:pPr>
        <w:pStyle w:val="145"/>
        <w:rPr>
          <w:lang w:val="en-US" w:eastAsia="zh-CN"/>
        </w:rPr>
      </w:pPr>
      <w:r>
        <w:rPr>
          <w:lang w:val="en-US" w:eastAsia="zh-CN"/>
        </w:rPr>
        <w:drawing>
          <wp:inline distT="0" distB="0" distL="0" distR="0">
            <wp:extent cx="6119495" cy="3239770"/>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020B357">
      <w:pPr>
        <w:pStyle w:val="143"/>
        <w:rPr>
          <w:lang w:eastAsia="zh-CN"/>
        </w:rPr>
      </w:pPr>
      <w:r>
        <w:rPr>
          <w:rFonts w:hint="eastAsia"/>
          <w:lang w:eastAsia="zh-CN"/>
        </w:rPr>
        <w:t>来源：QYResearch 机械设备研究中心</w:t>
      </w:r>
    </w:p>
    <w:p w14:paraId="418CECD8">
      <w:pPr>
        <w:pStyle w:val="145"/>
        <w:rPr>
          <w:b/>
          <w:lang w:eastAsia="zh-CN"/>
        </w:rPr>
      </w:pPr>
      <w:r>
        <w:rPr>
          <w:rFonts w:hint="eastAsia"/>
          <w:b/>
          <w:lang w:eastAsia="zh-CN"/>
        </w:rPr>
        <w:t>主要驱动因素</w:t>
      </w:r>
      <w:r>
        <w:rPr>
          <w:b/>
          <w:lang w:eastAsia="zh-CN"/>
        </w:rPr>
        <w:t>:</w:t>
      </w:r>
    </w:p>
    <w:p w14:paraId="654BDAF2">
      <w:pPr>
        <w:pStyle w:val="145"/>
        <w:rPr>
          <w:lang w:eastAsia="zh-CN"/>
        </w:rPr>
      </w:pPr>
      <w:r>
        <w:rPr>
          <w:rFonts w:hint="eastAsia"/>
          <w:lang w:eastAsia="zh-CN"/>
        </w:rPr>
        <w:t>全球范围内恐怖主义活动的增加以及化学武器被作为非常规武器使用的风险提升，促使各国政府加强了对化学战剂探测技术的需求。</w:t>
      </w:r>
    </w:p>
    <w:p w14:paraId="7A24D35A">
      <w:pPr>
        <w:pStyle w:val="145"/>
        <w:rPr>
          <w:lang w:eastAsia="zh-CN"/>
        </w:rPr>
      </w:pPr>
      <w:r>
        <w:rPr>
          <w:rFonts w:hint="eastAsia"/>
          <w:lang w:eastAsia="zh-CN"/>
        </w:rPr>
        <w:t>新材料科学、传感器技术和数据分析算法的进步使得含硫含磷毒剂探测仪更加灵敏、可靠且易于操作。</w:t>
      </w:r>
    </w:p>
    <w:p w14:paraId="5666E4F2">
      <w:pPr>
        <w:pStyle w:val="145"/>
        <w:rPr>
          <w:lang w:eastAsia="zh-CN"/>
        </w:rPr>
      </w:pPr>
      <w:r>
        <w:rPr>
          <w:rFonts w:hint="eastAsia"/>
          <w:lang w:eastAsia="zh-CN"/>
        </w:rPr>
        <w:t>军队现代化建设对高效、可靠的化学战剂探测装备提出了更高要求，这促进了相关产业的发展。随着公众对个人安全意识的提高以及化工事故频发，民用市场对化学战剂探测设备的需求也在增加。</w:t>
      </w:r>
    </w:p>
    <w:p w14:paraId="446A06E2">
      <w:pPr>
        <w:pStyle w:val="145"/>
        <w:rPr>
          <w:b/>
          <w:lang w:eastAsia="zh-CN"/>
        </w:rPr>
      </w:pPr>
      <w:r>
        <w:rPr>
          <w:rFonts w:hint="eastAsia"/>
          <w:b/>
          <w:lang w:eastAsia="zh-CN"/>
        </w:rPr>
        <w:t>主要阻碍因素</w:t>
      </w:r>
      <w:r>
        <w:rPr>
          <w:b/>
          <w:lang w:eastAsia="zh-CN"/>
        </w:rPr>
        <w:t>:</w:t>
      </w:r>
    </w:p>
    <w:p w14:paraId="3296E651">
      <w:pPr>
        <w:pStyle w:val="145"/>
        <w:rPr>
          <w:lang w:eastAsia="zh-CN"/>
        </w:rPr>
      </w:pPr>
      <w:r>
        <w:rPr>
          <w:rFonts w:hint="eastAsia"/>
          <w:lang w:eastAsia="zh-CN"/>
        </w:rPr>
        <w:t>如何提高探测精度、减少误报率以及应对复杂环境下的干扰等问题仍然是技术上的难题。高端含硫含磷毒剂探测仪的研发和生产成本较高，这限制了其在某些地区的普及。专业含硫含磷毒剂探测仪的操作通常需要经过专门培训的技术人员来执行，这对于用户来说是一个障碍。</w:t>
      </w:r>
    </w:p>
    <w:p w14:paraId="620E7F93">
      <w:pPr>
        <w:pStyle w:val="145"/>
        <w:rPr>
          <w:b/>
          <w:lang w:eastAsia="zh-CN"/>
        </w:rPr>
      </w:pPr>
      <w:r>
        <w:rPr>
          <w:rFonts w:hint="eastAsia"/>
          <w:b/>
          <w:lang w:eastAsia="zh-CN"/>
        </w:rPr>
        <w:t>行业发展机遇</w:t>
      </w:r>
      <w:r>
        <w:rPr>
          <w:b/>
          <w:lang w:eastAsia="zh-CN"/>
        </w:rPr>
        <w:t>:</w:t>
      </w:r>
    </w:p>
    <w:p w14:paraId="59190E56">
      <w:pPr>
        <w:pStyle w:val="145"/>
        <w:rPr>
          <w:lang w:eastAsia="zh-CN"/>
        </w:rPr>
      </w:pPr>
      <w:r>
        <w:rPr>
          <w:rFonts w:hint="eastAsia"/>
          <w:lang w:eastAsia="zh-CN"/>
        </w:rPr>
        <w:t>发展中国家和地区在国家安全、公共安全方面的投入加大，提供了新的市场机会。含硫含磷毒剂探测仪制造商与科研机构、政府部门以及其他相关行业的合作，可以促进技术的创新和应用领域的扩展。</w:t>
      </w:r>
    </w:p>
    <w:p w14:paraId="15B2B9A0">
      <w:pPr>
        <w:pStyle w:val="145"/>
        <w:rPr>
          <w:lang w:eastAsia="zh-CN"/>
        </w:rPr>
      </w:pPr>
      <w:r>
        <w:rPr>
          <w:rFonts w:hint="eastAsia"/>
          <w:lang w:eastAsia="zh-CN"/>
        </w:rPr>
        <w:t>将化学战剂探测与其他功能（如生物威胁检测）整合在一起的产品，可能会受到市场的欢迎。利用物联网（IoT）技术发展无线、远程监控的化学战剂探测网络，提高系统的灵活性和响应速度。</w:t>
      </w:r>
    </w:p>
    <w:p w14:paraId="04711324">
      <w:pPr>
        <w:pStyle w:val="145"/>
        <w:rPr>
          <w:lang w:eastAsia="zh-CN"/>
        </w:rPr>
      </w:pPr>
      <w:r>
        <w:rPr>
          <w:rFonts w:hint="eastAsia"/>
          <w:lang w:eastAsia="zh-CN"/>
        </w:rPr>
        <w:t>采用大数据分析、机器学习等技术，可以提高含硫含磷毒剂探测仪的数据处理能力和预测准确性。在国际层面上参与含硫含磷毒剂探测仪的标准制定和技术交流，有助于推动整个行业的发展。</w:t>
      </w:r>
    </w:p>
    <w:p w14:paraId="44C61FC0">
      <w:pPr>
        <w:pStyle w:val="145"/>
        <w:rPr>
          <w:lang w:eastAsia="zh-CN"/>
        </w:rPr>
      </w:pPr>
    </w:p>
    <w:p w14:paraId="0BA9BF5E">
      <w:pPr>
        <w:pStyle w:val="145"/>
        <w:rPr>
          <w:lang w:eastAsia="zh-CN"/>
        </w:rPr>
      </w:pPr>
    </w:p>
    <w:p w14:paraId="68ECC50C">
      <w:pPr>
        <w:pStyle w:val="145"/>
        <w:rPr>
          <w:lang w:eastAsia="zh-CN"/>
        </w:rPr>
      </w:pPr>
    </w:p>
    <w:p w14:paraId="3400F8DB">
      <w:pPr>
        <w:pStyle w:val="145"/>
        <w:rPr>
          <w:lang w:eastAsia="zh-CN"/>
        </w:rPr>
      </w:pPr>
    </w:p>
    <w:p w14:paraId="4AAA1A14">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14:paraId="07A95001">
      <w:pPr>
        <w:pStyle w:val="145"/>
        <w:rPr>
          <w:lang w:eastAsia="zh-CN"/>
        </w:rPr>
      </w:pPr>
      <w:bookmarkStart w:id="13" w:name="_GoBack"/>
      <w:bookmarkEnd w:id="13"/>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AD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392"/>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7B6"/>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240"/>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10"/>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4FE3"/>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8F9"/>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998"/>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C0C"/>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5340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jpe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image" Target="media/image5.png"/><Relationship Id="rId12" Type="http://schemas.openxmlformats.org/officeDocument/2006/relationships/chart" Target="charts/chart3.xml"/><Relationship Id="rId11" Type="http://schemas.openxmlformats.org/officeDocument/2006/relationships/image" Target="media/image4.png"/><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zbz\Desktop\Chemical%20Warfare%20Agent%20Detectors&#21270;&#23398;&#25112;&#21058;&#25506;&#27979;&#2020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hzbz\Desktop\Chemical%20Warfare%20Agent%20Detectors&#21270;&#23398;&#25112;&#21058;&#25506;&#27979;&#20202;.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zbz\Desktop\Chemical%20Warfare%20Agent%20Detectors&#21270;&#23398;&#25112;&#21058;&#25506;&#27979;&#20202;.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hzbz\Desktop\Chemical%20Warfare%20Agent%20Detectors&#21270;&#23398;&#25112;&#21058;&#25506;&#27979;&#20202;.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hzbz\Desktop\Chemical%20Warfare%20Agent%20Detectors&#21270;&#23398;&#25112;&#21058;&#25506;&#27979;&#20202;.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bz\Desktop\Chemical%20Warfare%20Agent%20Detectors%20&#21270;&#23398;&#25112;&#21058;&#25506;&#27979;&#20202;\Chemical%20Warfare%20Agent%20Detectors&#21270;&#23398;&#25112;&#21058;&#25506;&#27979;&#202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935194815912097"/>
          <c:y val="0.0979109628152616"/>
          <c:w val="0.845512387307458"/>
          <c:h val="0.794607567572072"/>
        </c:manualLayout>
      </c:layout>
      <c:barChart>
        <c:barDir val="col"/>
        <c:grouping val="clustered"/>
        <c:varyColors val="0"/>
        <c:ser>
          <c:idx val="0"/>
          <c:order val="0"/>
          <c:tx>
            <c:strRef>
              <c:f>全球总体!$A$7</c:f>
              <c:strCache>
                <c:ptCount val="1"/>
                <c:pt idx="0">
                  <c:v>Global Market Size ($ Mn)</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delete val="1"/>
          </c:dLbls>
          <c:cat>
            <c:numRef>
              <c:f>全球总体!$B$6:$M$6</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全球总体!$B$7:$M$7</c:f>
              <c:numCache>
                <c:formatCode>#,##0_ </c:formatCode>
                <c:ptCount val="12"/>
                <c:pt idx="0">
                  <c:v>214.59</c:v>
                </c:pt>
                <c:pt idx="1">
                  <c:v>205.43</c:v>
                </c:pt>
                <c:pt idx="2">
                  <c:v>226.49</c:v>
                </c:pt>
                <c:pt idx="3">
                  <c:v>235.75</c:v>
                </c:pt>
                <c:pt idx="4">
                  <c:v>247.29</c:v>
                </c:pt>
                <c:pt idx="5">
                  <c:v>279.1</c:v>
                </c:pt>
                <c:pt idx="6">
                  <c:v>301.5</c:v>
                </c:pt>
                <c:pt idx="7">
                  <c:v>326.56</c:v>
                </c:pt>
                <c:pt idx="8">
                  <c:v>349.88</c:v>
                </c:pt>
                <c:pt idx="9">
                  <c:v>357.47</c:v>
                </c:pt>
                <c:pt idx="10">
                  <c:v>382.83</c:v>
                </c:pt>
                <c:pt idx="11">
                  <c:v>412.87</c:v>
                </c:pt>
              </c:numCache>
            </c:numRef>
          </c:val>
        </c:ser>
        <c:dLbls>
          <c:showLegendKey val="0"/>
          <c:showVal val="0"/>
          <c:showCatName val="0"/>
          <c:showSerName val="0"/>
          <c:showPercent val="0"/>
          <c:showBubbleSize val="0"/>
        </c:dLbls>
        <c:gapWidth val="25"/>
        <c:axId val="-1322419456"/>
        <c:axId val="-1322431424"/>
      </c:barChart>
      <c:lineChart>
        <c:grouping val="stacked"/>
        <c:varyColors val="0"/>
        <c:ser>
          <c:idx val="1"/>
          <c:order val="1"/>
          <c:tx>
            <c:strRef>
              <c:f>全球总体!$A$8</c:f>
              <c:strCache>
                <c:ptCount val="1"/>
                <c:pt idx="0">
                  <c:v>Y-oY Growth</c:v>
                </c:pt>
              </c:strCache>
            </c:strRef>
          </c:tx>
          <c:spPr>
            <a:ln w="25400" cap="rnd" cmpd="sng" algn="ctr">
              <a:solidFill>
                <a:srgbClr val="FFC000"/>
              </a:solidFill>
              <a:prstDash val="solid"/>
              <a:round/>
            </a:ln>
          </c:spPr>
          <c:marker>
            <c:symbol val="circle"/>
            <c:size val="32"/>
            <c:spPr>
              <a:solidFill>
                <a:schemeClr val="bg1">
                  <a:lumMod val="50000"/>
                </a:schemeClr>
              </a:solidFill>
              <a:ln w="6350" cap="flat" cmpd="sng" algn="ctr">
                <a:solidFill>
                  <a:schemeClr val="bg1"/>
                </a:solidFill>
                <a:prstDash val="solid"/>
                <a:round/>
              </a:ln>
            </c:spPr>
          </c:marker>
          <c:dLbls>
            <c:dLbl>
              <c:idx val="0"/>
              <c:delete val="1"/>
            </c:dLbl>
            <c:dLbl>
              <c:idx val="1"/>
              <c:delete val="1"/>
            </c:dLbl>
            <c:dLbl>
              <c:idx val="2"/>
              <c:delete val="1"/>
            </c:dLbl>
            <c:dLbl>
              <c:idx val="3"/>
              <c:delete val="1"/>
            </c:dLbl>
            <c:dLbl>
              <c:idx val="5"/>
              <c:delete val="1"/>
            </c:dLbl>
            <c:dLbl>
              <c:idx val="6"/>
              <c:delete val="1"/>
            </c:dLbl>
            <c:dLbl>
              <c:idx val="7"/>
              <c:delete val="1"/>
            </c:dLbl>
            <c:dLbl>
              <c:idx val="8"/>
              <c:delete val="1"/>
            </c:dLbl>
            <c:dLbl>
              <c:idx val="9"/>
              <c:delete val="1"/>
            </c:dLbl>
            <c:dLbl>
              <c:idx val="10"/>
              <c:delete val="1"/>
            </c:dLbl>
            <c:dLbl>
              <c:idx val="11"/>
              <c:delete val="1"/>
            </c:dLbl>
            <c:numFmt formatCode="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bg1">
                        <a:lumMod val="95000"/>
                      </a:schemeClr>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全球总体!$B$6:$M$6</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全球总体!$B$8:$M$8</c:f>
              <c:numCache>
                <c:formatCode>0.0%</c:formatCode>
                <c:ptCount val="12"/>
                <c:pt idx="0">
                  <c:v>-0.0462503378535812</c:v>
                </c:pt>
                <c:pt idx="1">
                  <c:v>-0.0426860524721562</c:v>
                </c:pt>
                <c:pt idx="2">
                  <c:v>0.102516672345811</c:v>
                </c:pt>
                <c:pt idx="3">
                  <c:v>0.0408848072762593</c:v>
                </c:pt>
                <c:pt idx="4">
                  <c:v>0.048950159066808</c:v>
                </c:pt>
                <c:pt idx="5">
                  <c:v>0.128634396861984</c:v>
                </c:pt>
                <c:pt idx="6">
                  <c:v>0.0802579720530274</c:v>
                </c:pt>
                <c:pt idx="7">
                  <c:v>0.083117744610282</c:v>
                </c:pt>
                <c:pt idx="8">
                  <c:v>0.0714110730034296</c:v>
                </c:pt>
                <c:pt idx="9">
                  <c:v>0.0216931519378074</c:v>
                </c:pt>
                <c:pt idx="10">
                  <c:v>0.0709430161971634</c:v>
                </c:pt>
                <c:pt idx="11">
                  <c:v>0.0784682496147115</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0_ " sourceLinked="1"/>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96804a6-56fe-4248-8436-ab4114963e3d}"/>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82020833333333"/>
          <c:y val="0.0346321963991789"/>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Lbls>
            <c:dLbl>
              <c:idx val="0"/>
              <c:delete val="1"/>
            </c:dLbl>
            <c:dLbl>
              <c:idx val="1"/>
              <c:delete val="1"/>
            </c:dLbl>
            <c:dLbl>
              <c:idx val="2"/>
              <c:delete val="1"/>
            </c:dLbl>
            <c:dLbl>
              <c:idx val="3"/>
              <c:delete val="1"/>
            </c:dLbl>
            <c:dLbl>
              <c:idx val="4"/>
              <c:layout/>
              <c:dLblPos val="outEnd"/>
              <c:showLegendKey val="0"/>
              <c:showVal val="1"/>
              <c:showCatName val="0"/>
              <c:showSerName val="0"/>
              <c:showPercent val="0"/>
              <c:showBubbleSize val="0"/>
              <c:extLst>
                <c:ext xmlns:c15="http://schemas.microsoft.com/office/drawing/2012/chart" uri="{CE6537A1-D6FC-4f65-9D91-7224C49458BB}"/>
              </c:extLst>
            </c:dLbl>
            <c:dLbl>
              <c:idx val="5"/>
              <c:delete val="1"/>
            </c:dLbl>
            <c:dLbl>
              <c:idx val="6"/>
              <c:delete val="1"/>
            </c:dLbl>
            <c:dLbl>
              <c:idx val="7"/>
              <c:delete val="1"/>
            </c:dLbl>
            <c:dLbl>
              <c:idx val="8"/>
              <c:delete val="1"/>
            </c:dLbl>
            <c:dLbl>
              <c:idx val="9"/>
              <c:delete val="1"/>
            </c:dLbl>
            <c:dLbl>
              <c:idx val="10"/>
              <c:delete val="1"/>
            </c:dLbl>
            <c:dLbl>
              <c:idx val="11"/>
              <c:delete val="1"/>
            </c:dLbl>
            <c:dLbl>
              <c:idx val="12"/>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Times New Roman" panose="02020603050405020304" charset="0"/>
                    <a:ea typeface="宋体" panose="02010600030101010101" charset="-122"/>
                    <a:cs typeface="+mn-cs"/>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企业收入!$H$2:$H$14</c:f>
              <c:strCache>
                <c:ptCount val="13"/>
                <c:pt idx="0">
                  <c:v>布鲁克</c:v>
                </c:pt>
                <c:pt idx="1">
                  <c:v>Smiths Detection</c:v>
                </c:pt>
                <c:pt idx="2">
                  <c:v>赛默飞</c:v>
                </c:pt>
                <c:pt idx="3">
                  <c:v>Teledyne FLIR</c:v>
                </c:pt>
                <c:pt idx="4">
                  <c:v>Proengin</c:v>
                </c:pt>
                <c:pt idx="5">
                  <c:v>Bertin Technologies</c:v>
                </c:pt>
                <c:pt idx="6">
                  <c:v>AIRSENSE Analytics</c:v>
                </c:pt>
                <c:pt idx="7">
                  <c:v>SEC Technologies</c:v>
                </c:pt>
                <c:pt idx="8">
                  <c:v>ENMET</c:v>
                </c:pt>
                <c:pt idx="9">
                  <c:v>Owlstone</c:v>
                </c:pt>
                <c:pt idx="10">
                  <c:v>Tofwerk</c:v>
                </c:pt>
                <c:pt idx="11">
                  <c:v>908 Devices</c:v>
                </c:pt>
                <c:pt idx="12">
                  <c:v>深圳鑫源通电子</c:v>
                </c:pt>
              </c:strCache>
            </c:strRef>
          </c:cat>
          <c:val>
            <c:numRef>
              <c:f>企业收入!$I$2:$I$14</c:f>
              <c:numCache>
                <c:formatCode>0.0%</c:formatCode>
                <c:ptCount val="13"/>
                <c:pt idx="0">
                  <c:v>0.132152533462736</c:v>
                </c:pt>
                <c:pt idx="1">
                  <c:v>0.115127987383234</c:v>
                </c:pt>
                <c:pt idx="2">
                  <c:v>0.0899348942537102</c:v>
                </c:pt>
                <c:pt idx="3">
                  <c:v>0.0763880464232278</c:v>
                </c:pt>
                <c:pt idx="4">
                  <c:v>0.0750940191677787</c:v>
                </c:pt>
                <c:pt idx="5">
                  <c:v>0.0628411985927454</c:v>
                </c:pt>
                <c:pt idx="6">
                  <c:v>0.0706053621254398</c:v>
                </c:pt>
                <c:pt idx="7">
                  <c:v>0.0547535282461887</c:v>
                </c:pt>
                <c:pt idx="8">
                  <c:v>0.0502648712038497</c:v>
                </c:pt>
                <c:pt idx="9">
                  <c:v>0.03603057139391</c:v>
                </c:pt>
                <c:pt idx="10">
                  <c:v>0.0266488737919042</c:v>
                </c:pt>
                <c:pt idx="11">
                  <c:v>0.022968983784221</c:v>
                </c:pt>
                <c:pt idx="12">
                  <c:v>0.0212301346597113</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adca38a5-f51e-4ffd-b89b-dc62674db6b3}"/>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便携式</c:v>
                </c:pt>
              </c:strCache>
            </c:strRef>
          </c:tx>
          <c:spPr>
            <a:solidFill>
              <a:srgbClr val="00206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分类!$S$2:$AD$2</c:f>
              <c:numCache>
                <c:formatCode>0.0%</c:formatCode>
                <c:ptCount val="12"/>
                <c:pt idx="0">
                  <c:v>0.724497879677525</c:v>
                </c:pt>
                <c:pt idx="1">
                  <c:v>0.72355546901621</c:v>
                </c:pt>
                <c:pt idx="2">
                  <c:v>0.723519802198773</c:v>
                </c:pt>
                <c:pt idx="3">
                  <c:v>0.725174973488865</c:v>
                </c:pt>
                <c:pt idx="4">
                  <c:v>0.726070605362125</c:v>
                </c:pt>
                <c:pt idx="5">
                  <c:v>0.728305266929416</c:v>
                </c:pt>
                <c:pt idx="6">
                  <c:v>0.731011608623549</c:v>
                </c:pt>
                <c:pt idx="7">
                  <c:v>0.731657275845174</c:v>
                </c:pt>
                <c:pt idx="8">
                  <c:v>0.738081627986738</c:v>
                </c:pt>
                <c:pt idx="9">
                  <c:v>0.743167258790947</c:v>
                </c:pt>
                <c:pt idx="10">
                  <c:v>0.74714625290599</c:v>
                </c:pt>
                <c:pt idx="11">
                  <c:v>0.750986993484632</c:v>
                </c:pt>
              </c:numCache>
            </c:numRef>
          </c:val>
        </c:ser>
        <c:ser>
          <c:idx val="1"/>
          <c:order val="1"/>
          <c:tx>
            <c:strRef>
              <c:f>分类!$R$3</c:f>
              <c:strCache>
                <c:ptCount val="1"/>
                <c:pt idx="0">
                  <c:v>固定式</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分类!$S$3:$AD$3</c:f>
              <c:numCache>
                <c:formatCode>0.0%</c:formatCode>
                <c:ptCount val="12"/>
                <c:pt idx="0">
                  <c:v>0.275502120322475</c:v>
                </c:pt>
                <c:pt idx="1">
                  <c:v>0.27644453098379</c:v>
                </c:pt>
                <c:pt idx="2">
                  <c:v>0.276480197801227</c:v>
                </c:pt>
                <c:pt idx="3">
                  <c:v>0.274825026511135</c:v>
                </c:pt>
                <c:pt idx="4">
                  <c:v>0.273929394637875</c:v>
                </c:pt>
                <c:pt idx="5">
                  <c:v>0.271694733070584</c:v>
                </c:pt>
                <c:pt idx="6">
                  <c:v>0.268988391376451</c:v>
                </c:pt>
                <c:pt idx="7">
                  <c:v>0.268342724154826</c:v>
                </c:pt>
                <c:pt idx="8">
                  <c:v>0.261918372013262</c:v>
                </c:pt>
                <c:pt idx="9">
                  <c:v>0.256832741209052</c:v>
                </c:pt>
                <c:pt idx="10">
                  <c:v>0.25285374709401</c:v>
                </c:pt>
                <c:pt idx="11">
                  <c:v>0.249013006515368</c:v>
                </c:pt>
              </c:numCache>
            </c:numRef>
          </c:val>
        </c:ser>
        <c:ser>
          <c:idx val="2"/>
          <c:order val="2"/>
          <c:tx>
            <c:strRef>
              <c:f>分类!$R$4</c:f>
              <c:strCache>
                <c:ptCount val="1"/>
                <c:pt idx="0">
                  <c:v>0</c:v>
                </c:pt>
              </c:strCache>
            </c:strRef>
          </c:tx>
          <c:spPr>
            <a:solidFill>
              <a:srgbClr val="0070C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分类!$S$4:$AD$4</c:f>
            </c:numRef>
          </c:val>
        </c:ser>
        <c:ser>
          <c:idx val="3"/>
          <c:order val="3"/>
          <c:tx>
            <c:strRef>
              <c:f>分类!$R$5</c:f>
              <c:strCache>
                <c:ptCount val="1"/>
                <c:pt idx="0">
                  <c:v>0</c:v>
                </c:pt>
              </c:strCache>
            </c:strRef>
          </c:tx>
          <c:spPr>
            <a:solidFill>
              <a:srgbClr val="FFC00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分类!$S$5:$AD$5</c:f>
            </c:numRef>
          </c:val>
        </c:ser>
        <c:ser>
          <c:idx val="4"/>
          <c:order val="4"/>
          <c:tx>
            <c:strRef>
              <c:f>分类!$R$6</c:f>
              <c:strCache>
                <c:ptCount val="1"/>
                <c:pt idx="0">
                  <c:v>0</c:v>
                </c:pt>
              </c:strCache>
            </c:strRef>
          </c:tx>
          <c:spPr>
            <a:solidFill>
              <a:schemeClr val="tx1">
                <a:lumMod val="65000"/>
                <a:lumOff val="35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分类!$S$6:$AD$6</c:f>
            </c:numRef>
          </c:val>
        </c:ser>
        <c:ser>
          <c:idx val="5"/>
          <c:order val="5"/>
          <c:tx>
            <c:strRef>
              <c:f>分类!$R$7</c:f>
              <c:strCache>
                <c:ptCount val="1"/>
                <c:pt idx="0">
                  <c:v>0</c:v>
                </c:pt>
              </c:strCache>
            </c:strRef>
          </c:tx>
          <c:spPr>
            <a:solidFill>
              <a:srgbClr val="C0000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分类!$S$7:$AD$7</c:f>
            </c:numRef>
          </c:val>
        </c:ser>
        <c:ser>
          <c:idx val="6"/>
          <c:order val="6"/>
          <c:tx>
            <c:strRef>
              <c:f>分类!$R$8</c:f>
              <c:strCache>
                <c:ptCount val="1"/>
                <c:pt idx="0">
                  <c:v>0</c:v>
                </c:pt>
              </c:strCache>
            </c:strRef>
          </c:tx>
          <c:spPr>
            <a:solidFill>
              <a:srgbClr val="7030A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分类!$S$8:$AD$8</c:f>
            </c:numRef>
          </c:val>
        </c:ser>
        <c:ser>
          <c:idx val="7"/>
          <c:order val="7"/>
          <c:tx>
            <c:strRef>
              <c:f>分类!$R$9</c:f>
              <c:strCache>
                <c:ptCount val="1"/>
                <c:pt idx="0">
                  <c:v>0</c:v>
                </c:pt>
              </c:strCache>
            </c:strRef>
          </c:tx>
          <c:spPr>
            <a:solidFill>
              <a:schemeClr val="tx2">
                <a:lumMod val="60000"/>
                <a:lumOff val="40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分类!$S$9:$AD$9</c:f>
            </c:numRef>
          </c:val>
        </c:ser>
        <c:ser>
          <c:idx val="8"/>
          <c:order val="8"/>
          <c:tx>
            <c:strRef>
              <c:f>分类!$R$10</c:f>
              <c:strCache>
                <c:ptCount val="1"/>
                <c:pt idx="0">
                  <c:v>0</c:v>
                </c:pt>
              </c:strCache>
            </c:strRef>
          </c:tx>
          <c:spPr>
            <a:solidFill>
              <a:schemeClr val="accent6">
                <a:lumMod val="75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分类!$S$10:$AD$10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8d574cd-6861-4070-b9cd-e4c54fadf33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6872595419724"/>
          <c:y val="0.0491337213878252"/>
          <c:w val="0.897009594053696"/>
          <c:h val="0.755441666666667"/>
        </c:manualLayout>
      </c:layout>
      <c:barChart>
        <c:barDir val="col"/>
        <c:grouping val="stacked"/>
        <c:varyColors val="0"/>
        <c:ser>
          <c:idx val="0"/>
          <c:order val="0"/>
          <c:tx>
            <c:strRef>
              <c:f>应用!$A$2</c:f>
              <c:strCache>
                <c:ptCount val="1"/>
                <c:pt idx="0">
                  <c:v>军事</c:v>
                </c:pt>
              </c:strCache>
            </c:strRef>
          </c:tx>
          <c:spPr>
            <a:solidFill>
              <a:srgbClr val="002060"/>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应用!$B$2:$M$2</c:f>
              <c:numCache>
                <c:formatCode>#,##0_);[Red]\(#,##0\)</c:formatCode>
                <c:ptCount val="12"/>
                <c:pt idx="0">
                  <c:v>109.1</c:v>
                </c:pt>
                <c:pt idx="1">
                  <c:v>103.74</c:v>
                </c:pt>
                <c:pt idx="2">
                  <c:v>112.79</c:v>
                </c:pt>
                <c:pt idx="3">
                  <c:v>117.04</c:v>
                </c:pt>
                <c:pt idx="4">
                  <c:v>121.87</c:v>
                </c:pt>
                <c:pt idx="5">
                  <c:v>135.95</c:v>
                </c:pt>
                <c:pt idx="6">
                  <c:v>146.41</c:v>
                </c:pt>
                <c:pt idx="7">
                  <c:v>157.13</c:v>
                </c:pt>
                <c:pt idx="8">
                  <c:v>167.9</c:v>
                </c:pt>
                <c:pt idx="9">
                  <c:v>171.24</c:v>
                </c:pt>
                <c:pt idx="10">
                  <c:v>180.23</c:v>
                </c:pt>
                <c:pt idx="11">
                  <c:v>194.16</c:v>
                </c:pt>
              </c:numCache>
            </c:numRef>
          </c:val>
        </c:ser>
        <c:ser>
          <c:idx val="1"/>
          <c:order val="1"/>
          <c:tx>
            <c:strRef>
              <c:f>应用!$A$3</c:f>
              <c:strCache>
                <c:ptCount val="1"/>
                <c:pt idx="0">
                  <c:v>执法</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应用!$B$3:$M$3</c:f>
              <c:numCache>
                <c:formatCode>#,##0_);[Red]\(#,##0\)</c:formatCode>
                <c:ptCount val="12"/>
                <c:pt idx="0">
                  <c:v>63.41</c:v>
                </c:pt>
                <c:pt idx="1">
                  <c:v>61.5</c:v>
                </c:pt>
                <c:pt idx="2">
                  <c:v>69.14</c:v>
                </c:pt>
                <c:pt idx="3">
                  <c:v>72.49</c:v>
                </c:pt>
                <c:pt idx="4">
                  <c:v>76.88</c:v>
                </c:pt>
                <c:pt idx="5">
                  <c:v>88.62</c:v>
                </c:pt>
                <c:pt idx="6">
                  <c:v>96.09</c:v>
                </c:pt>
                <c:pt idx="7">
                  <c:v>105.15</c:v>
                </c:pt>
                <c:pt idx="8">
                  <c:v>113.24</c:v>
                </c:pt>
                <c:pt idx="9">
                  <c:v>115.99</c:v>
                </c:pt>
                <c:pt idx="10">
                  <c:v>126.86</c:v>
                </c:pt>
                <c:pt idx="11">
                  <c:v>136.8</c:v>
                </c:pt>
              </c:numCache>
            </c:numRef>
          </c:val>
        </c:ser>
        <c:ser>
          <c:idx val="2"/>
          <c:order val="2"/>
          <c:tx>
            <c:strRef>
              <c:f>应用!$A$4</c:f>
              <c:strCache>
                <c:ptCount val="1"/>
                <c:pt idx="0">
                  <c:v>工业</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应用!$B$4:$M$4</c:f>
              <c:numCache>
                <c:formatCode>#,##0_);[Red]\(#,##0\)</c:formatCode>
                <c:ptCount val="12"/>
                <c:pt idx="0">
                  <c:v>23.24</c:v>
                </c:pt>
                <c:pt idx="1">
                  <c:v>21.92</c:v>
                </c:pt>
                <c:pt idx="2">
                  <c:v>24.16</c:v>
                </c:pt>
                <c:pt idx="3">
                  <c:v>24.9</c:v>
                </c:pt>
                <c:pt idx="4">
                  <c:v>26.05</c:v>
                </c:pt>
                <c:pt idx="5">
                  <c:v>29.2</c:v>
                </c:pt>
                <c:pt idx="6">
                  <c:v>31.35</c:v>
                </c:pt>
                <c:pt idx="7">
                  <c:v>34.09</c:v>
                </c:pt>
                <c:pt idx="8">
                  <c:v>36.15</c:v>
                </c:pt>
                <c:pt idx="9">
                  <c:v>36.67</c:v>
                </c:pt>
                <c:pt idx="10">
                  <c:v>39.33</c:v>
                </c:pt>
                <c:pt idx="11">
                  <c:v>42.55</c:v>
                </c:pt>
              </c:numCache>
            </c:numRef>
          </c:val>
        </c:ser>
        <c:ser>
          <c:idx val="3"/>
          <c:order val="3"/>
          <c:tx>
            <c:strRef>
              <c:f>应用!$A$5</c:f>
              <c:strCache>
                <c:ptCount val="1"/>
                <c:pt idx="0">
                  <c:v>商业</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应用!$B$5:$M$5</c:f>
              <c:numCache>
                <c:formatCode>#,##0_);[Red]\(#,##0\)</c:formatCode>
                <c:ptCount val="12"/>
                <c:pt idx="0">
                  <c:v>10.8</c:v>
                </c:pt>
                <c:pt idx="1">
                  <c:v>10.41</c:v>
                </c:pt>
                <c:pt idx="2">
                  <c:v>11.55</c:v>
                </c:pt>
                <c:pt idx="3">
                  <c:v>12.07</c:v>
                </c:pt>
                <c:pt idx="4">
                  <c:v>12.59</c:v>
                </c:pt>
                <c:pt idx="5">
                  <c:v>14.04</c:v>
                </c:pt>
                <c:pt idx="6">
                  <c:v>15.23</c:v>
                </c:pt>
                <c:pt idx="7">
                  <c:v>16.32</c:v>
                </c:pt>
                <c:pt idx="8">
                  <c:v>17.46</c:v>
                </c:pt>
                <c:pt idx="9">
                  <c:v>17.9</c:v>
                </c:pt>
                <c:pt idx="10">
                  <c:v>19.31</c:v>
                </c:pt>
                <c:pt idx="11">
                  <c:v>20.78</c:v>
                </c:pt>
              </c:numCache>
            </c:numRef>
          </c:val>
        </c:ser>
        <c:ser>
          <c:idx val="4"/>
          <c:order val="4"/>
          <c:tx>
            <c:strRef>
              <c:f>应用!$A$6</c:f>
              <c:strCache>
                <c:ptCount val="1"/>
                <c:pt idx="0">
                  <c:v>其他</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应用!$B$6:$M$6</c:f>
              <c:numCache>
                <c:formatCode>#,##0_);[Red]\(#,##0\)</c:formatCode>
                <c:ptCount val="12"/>
                <c:pt idx="0">
                  <c:v>8.04</c:v>
                </c:pt>
                <c:pt idx="1">
                  <c:v>7.86</c:v>
                </c:pt>
                <c:pt idx="2">
                  <c:v>8.85</c:v>
                </c:pt>
                <c:pt idx="3">
                  <c:v>9.25</c:v>
                </c:pt>
                <c:pt idx="4">
                  <c:v>9.9</c:v>
                </c:pt>
                <c:pt idx="5">
                  <c:v>11.29</c:v>
                </c:pt>
                <c:pt idx="6">
                  <c:v>12.42</c:v>
                </c:pt>
                <c:pt idx="7">
                  <c:v>13.87</c:v>
                </c:pt>
                <c:pt idx="8">
                  <c:v>15.13</c:v>
                </c:pt>
                <c:pt idx="9">
                  <c:v>15.67</c:v>
                </c:pt>
                <c:pt idx="10">
                  <c:v>17.1</c:v>
                </c:pt>
                <c:pt idx="11">
                  <c:v>18.58</c:v>
                </c:pt>
              </c:numCache>
            </c:numRef>
          </c:val>
        </c:ser>
        <c:ser>
          <c:idx val="5"/>
          <c:order val="5"/>
          <c:tx>
            <c:strRef>
              <c:f>应用!$A$7</c:f>
              <c:strCache>
                <c:ptCount val="1"/>
                <c:pt idx="0">
                  <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应用!$B$7:$M$7</c:f>
            </c:numRef>
          </c:val>
        </c:ser>
        <c:ser>
          <c:idx val="6"/>
          <c:order val="6"/>
          <c:tx>
            <c:strRef>
              <c:f>应用!$A$8</c:f>
              <c:strCache>
                <c:ptCount val="1"/>
                <c:pt idx="0">
                  <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应用!$B$8:$M$8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应用!$B$9:$M$9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Total</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应用!$B$11:$M$11</c:f>
              <c:numCache>
                <c:formatCode>#,##0_);[Red]\(#,##0\)</c:formatCode>
                <c:ptCount val="12"/>
                <c:pt idx="0">
                  <c:v>214.59</c:v>
                </c:pt>
                <c:pt idx="1">
                  <c:v>205.43</c:v>
                </c:pt>
                <c:pt idx="2">
                  <c:v>226.49</c:v>
                </c:pt>
                <c:pt idx="3">
                  <c:v>235.75</c:v>
                </c:pt>
                <c:pt idx="4">
                  <c:v>247.29</c:v>
                </c:pt>
                <c:pt idx="5">
                  <c:v>279.1</c:v>
                </c:pt>
                <c:pt idx="6">
                  <c:v>301.5</c:v>
                </c:pt>
                <c:pt idx="7">
                  <c:v>326.56</c:v>
                </c:pt>
                <c:pt idx="8">
                  <c:v>349.88</c:v>
                </c:pt>
                <c:pt idx="9">
                  <c:v>357.47</c:v>
                </c:pt>
                <c:pt idx="10">
                  <c:v>382.83</c:v>
                </c:pt>
                <c:pt idx="11">
                  <c:v>412.87</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9584aa48-fdec-47bd-a2be-c7361137744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Market Size By Region, 2019 Vs 2023 VS 2030</a:t>
            </a:r>
            <a:endParaRPr lang="zh-CN"/>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2019</c:v>
                </c:pt>
              </c:strCache>
            </c:strRef>
          </c:tx>
          <c:spPr>
            <a:solidFill>
              <a:srgbClr val="FFC000"/>
            </a:solidFill>
            <a:ln>
              <a:noFill/>
            </a:ln>
            <a:effectLst/>
          </c:spPr>
          <c:invertIfNegative val="0"/>
          <c:dLbls>
            <c:delete val="1"/>
          </c:dLbls>
          <c:cat>
            <c:strRef>
              <c:f>'地区-消费'!$AD$2:$AD$10</c:f>
              <c:strCache>
                <c:ptCount val="5"/>
                <c:pt idx="0">
                  <c:v>北美洲</c:v>
                </c:pt>
                <c:pt idx="1">
                  <c:v>欧洲</c:v>
                </c:pt>
                <c:pt idx="2">
                  <c:v>亚太</c:v>
                </c:pt>
                <c:pt idx="3">
                  <c:v>拉丁美洲</c:v>
                </c:pt>
                <c:pt idx="4">
                  <c:v>中东和非洲</c:v>
                </c:pt>
              </c:strCache>
            </c:strRef>
          </c:cat>
          <c:val>
            <c:numRef>
              <c:f>'地区-消费'!$AE$2:$AE$10</c:f>
              <c:numCache>
                <c:formatCode>#,##0_);[Red]\(#,##0\)</c:formatCode>
                <c:ptCount val="5"/>
                <c:pt idx="0">
                  <c:v>81.35</c:v>
                </c:pt>
                <c:pt idx="1">
                  <c:v>52.48</c:v>
                </c:pt>
                <c:pt idx="2">
                  <c:v>56.67</c:v>
                </c:pt>
                <c:pt idx="3">
                  <c:v>6.08</c:v>
                </c:pt>
                <c:pt idx="4">
                  <c:v>18.01</c:v>
                </c:pt>
              </c:numCache>
            </c:numRef>
          </c:val>
        </c:ser>
        <c:ser>
          <c:idx val="1"/>
          <c:order val="1"/>
          <c:tx>
            <c:strRef>
              <c:f>'地区-消费'!$AF$1</c:f>
              <c:strCache>
                <c:ptCount val="1"/>
                <c:pt idx="0">
                  <c:v>2023</c:v>
                </c:pt>
              </c:strCache>
            </c:strRef>
          </c:tx>
          <c:spPr>
            <a:solidFill>
              <a:schemeClr val="bg1">
                <a:lumMod val="50000"/>
              </a:schemeClr>
            </a:solidFill>
            <a:ln>
              <a:noFill/>
            </a:ln>
            <a:effectLst/>
          </c:spPr>
          <c:invertIfNegative val="0"/>
          <c:dLbls>
            <c:delete val="1"/>
          </c:dLbls>
          <c:cat>
            <c:strRef>
              <c:f>'地区-消费'!$AD$2:$AD$10</c:f>
              <c:strCache>
                <c:ptCount val="5"/>
                <c:pt idx="0">
                  <c:v>北美洲</c:v>
                </c:pt>
                <c:pt idx="1">
                  <c:v>欧洲</c:v>
                </c:pt>
                <c:pt idx="2">
                  <c:v>亚太</c:v>
                </c:pt>
                <c:pt idx="3">
                  <c:v>拉丁美洲</c:v>
                </c:pt>
                <c:pt idx="4">
                  <c:v>中东和非洲</c:v>
                </c:pt>
              </c:strCache>
            </c:strRef>
          </c:cat>
          <c:val>
            <c:numRef>
              <c:f>'地区-消费'!$AF$2:$AF$10</c:f>
              <c:numCache>
                <c:formatCode>#,##0_);[Red]\(#,##0\)</c:formatCode>
                <c:ptCount val="5"/>
                <c:pt idx="0">
                  <c:v>83.68</c:v>
                </c:pt>
                <c:pt idx="1">
                  <c:v>71.16</c:v>
                </c:pt>
                <c:pt idx="2">
                  <c:v>61.9</c:v>
                </c:pt>
                <c:pt idx="3">
                  <c:v>6.77</c:v>
                </c:pt>
                <c:pt idx="4">
                  <c:v>23.78</c:v>
                </c:pt>
              </c:numCache>
            </c:numRef>
          </c:val>
        </c:ser>
        <c:ser>
          <c:idx val="2"/>
          <c:order val="2"/>
          <c:tx>
            <c:strRef>
              <c:f>'地区-消费'!$AG$1</c:f>
              <c:strCache>
                <c:ptCount val="1"/>
                <c:pt idx="0">
                  <c:v>2030</c:v>
                </c:pt>
              </c:strCache>
            </c:strRef>
          </c:tx>
          <c:spPr>
            <a:solidFill>
              <a:srgbClr val="002060"/>
            </a:solidFill>
            <a:ln>
              <a:noFill/>
            </a:ln>
            <a:effectLst/>
          </c:spPr>
          <c:invertIfNegative val="0"/>
          <c:dLbls>
            <c:delete val="1"/>
          </c:dLbls>
          <c:cat>
            <c:strRef>
              <c:f>'地区-消费'!$AD$2:$AD$10</c:f>
              <c:strCache>
                <c:ptCount val="5"/>
                <c:pt idx="0">
                  <c:v>北美洲</c:v>
                </c:pt>
                <c:pt idx="1">
                  <c:v>欧洲</c:v>
                </c:pt>
                <c:pt idx="2">
                  <c:v>亚太</c:v>
                </c:pt>
                <c:pt idx="3">
                  <c:v>拉丁美洲</c:v>
                </c:pt>
                <c:pt idx="4">
                  <c:v>中东和非洲</c:v>
                </c:pt>
              </c:strCache>
            </c:strRef>
          </c:cat>
          <c:val>
            <c:numRef>
              <c:f>'地区-消费'!$AG$2:$AG$10</c:f>
              <c:numCache>
                <c:formatCode>#,##0_);[Red]\(#,##0\)</c:formatCode>
                <c:ptCount val="5"/>
                <c:pt idx="0">
                  <c:v>124.77</c:v>
                </c:pt>
                <c:pt idx="1">
                  <c:v>119.68</c:v>
                </c:pt>
                <c:pt idx="2">
                  <c:v>103.33</c:v>
                </c:pt>
                <c:pt idx="3">
                  <c:v>12.1</c:v>
                </c:pt>
                <c:pt idx="4">
                  <c:v>52.99</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b9ba6710-6678-4059-82e1-3d1e4333ab6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北美洲</c:v>
                </c:pt>
              </c:strCache>
            </c:strRef>
          </c:tx>
          <c:spPr>
            <a:solidFill>
              <a:srgbClr val="00206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'地区-消费'!$Q$2:$AB$2</c:f>
              <c:numCache>
                <c:formatCode>0.0%</c:formatCode>
                <c:ptCount val="12"/>
                <c:pt idx="0">
                  <c:v>0.379095018407195</c:v>
                </c:pt>
                <c:pt idx="1">
                  <c:v>0.373168475879862</c:v>
                </c:pt>
                <c:pt idx="2">
                  <c:v>0.380105081902071</c:v>
                </c:pt>
                <c:pt idx="3">
                  <c:v>0.354273594909862</c:v>
                </c:pt>
                <c:pt idx="4">
                  <c:v>0.338388127299931</c:v>
                </c:pt>
                <c:pt idx="5">
                  <c:v>0.320530275886779</c:v>
                </c:pt>
                <c:pt idx="6">
                  <c:v>0.332703150912106</c:v>
                </c:pt>
                <c:pt idx="7">
                  <c:v>0.338957618814307</c:v>
                </c:pt>
                <c:pt idx="8">
                  <c:v>0.325625928889905</c:v>
                </c:pt>
                <c:pt idx="9">
                  <c:v>0.309200772092763</c:v>
                </c:pt>
                <c:pt idx="10">
                  <c:v>0.310712326620171</c:v>
                </c:pt>
                <c:pt idx="11">
                  <c:v>0.302201661539952</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'地区-消费'!$Q$3:$AB$3</c:f>
              <c:numCache>
                <c:formatCode>0.0%</c:formatCode>
                <c:ptCount val="12"/>
                <c:pt idx="0">
                  <c:v>0.244559392329559</c:v>
                </c:pt>
                <c:pt idx="1">
                  <c:v>0.252835515747457</c:v>
                </c:pt>
                <c:pt idx="2">
                  <c:v>0.247339838403461</c:v>
                </c:pt>
                <c:pt idx="3">
                  <c:v>0.274994697773065</c:v>
                </c:pt>
                <c:pt idx="4">
                  <c:v>0.287759310930486</c:v>
                </c:pt>
                <c:pt idx="5">
                  <c:v>0.295879613041921</c:v>
                </c:pt>
                <c:pt idx="6">
                  <c:v>0.281094527363184</c:v>
                </c:pt>
                <c:pt idx="7">
                  <c:v>0.268618324350808</c:v>
                </c:pt>
                <c:pt idx="8">
                  <c:v>0.26900651651995</c:v>
                </c:pt>
                <c:pt idx="9">
                  <c:v>0.286121912328307</c:v>
                </c:pt>
                <c:pt idx="10">
                  <c:v>0.285662043204556</c:v>
                </c:pt>
                <c:pt idx="11">
                  <c:v>0.289873325744181</c:v>
                </c:pt>
              </c:numCache>
            </c:numRef>
          </c:val>
        </c:ser>
        <c:ser>
          <c:idx val="2"/>
          <c:order val="2"/>
          <c:tx>
            <c:strRef>
              <c:f>'地区-消费'!$A$4</c:f>
              <c:strCache>
                <c:ptCount val="1"/>
                <c:pt idx="0">
                  <c:v>亚太</c:v>
                </c:pt>
              </c:strCache>
            </c:strRef>
          </c:tx>
          <c:spPr>
            <a:solidFill>
              <a:srgbClr val="0070C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'地区-消费'!$Q$4:$AB$4</c:f>
              <c:numCache>
                <c:formatCode>0.0%</c:formatCode>
                <c:ptCount val="12"/>
                <c:pt idx="0">
                  <c:v>0.264084999300993</c:v>
                </c:pt>
                <c:pt idx="1">
                  <c:v>0.261646302876892</c:v>
                </c:pt>
                <c:pt idx="2">
                  <c:v>0.258819373923794</c:v>
                </c:pt>
                <c:pt idx="3">
                  <c:v>0.253107104984093</c:v>
                </c:pt>
                <c:pt idx="4">
                  <c:v>0.250313397225929</c:v>
                </c:pt>
                <c:pt idx="5">
                  <c:v>0.24854890720172</c:v>
                </c:pt>
                <c:pt idx="6">
                  <c:v>0.253333333333333</c:v>
                </c:pt>
                <c:pt idx="7">
                  <c:v>0.255573248407643</c:v>
                </c:pt>
                <c:pt idx="8">
                  <c:v>0.264833657253916</c:v>
                </c:pt>
                <c:pt idx="9">
                  <c:v>0.258567152488321</c:v>
                </c:pt>
                <c:pt idx="10">
                  <c:v>0.254838962463757</c:v>
                </c:pt>
                <c:pt idx="11">
                  <c:v>0.250272482863855</c:v>
                </c:pt>
              </c:numCache>
            </c:numRef>
          </c:val>
        </c:ser>
        <c:ser>
          <c:idx val="3"/>
          <c:order val="3"/>
          <c:tx>
            <c:strRef>
              <c:f>'地区-消费'!$A$5</c:f>
              <c:strCache>
                <c:ptCount val="1"/>
                <c:pt idx="0">
                  <c:v>拉丁美洲</c:v>
                </c:pt>
              </c:strCache>
            </c:strRef>
          </c:tx>
          <c:spPr>
            <a:solidFill>
              <a:srgbClr val="FFC00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'地区-消费'!$Q$5:$AB$5</c:f>
              <c:numCache>
                <c:formatCode>0.0%</c:formatCode>
                <c:ptCount val="12"/>
                <c:pt idx="0">
                  <c:v>0.0283331003308635</c:v>
                </c:pt>
                <c:pt idx="1">
                  <c:v>0.0280874263739473</c:v>
                </c:pt>
                <c:pt idx="2">
                  <c:v>0.0275508852487969</c:v>
                </c:pt>
                <c:pt idx="3">
                  <c:v>0.0267656415694592</c:v>
                </c:pt>
                <c:pt idx="4">
                  <c:v>0.0273767641230943</c:v>
                </c:pt>
                <c:pt idx="5">
                  <c:v>0.0279111429595127</c:v>
                </c:pt>
                <c:pt idx="6">
                  <c:v>0.0262686567164179</c:v>
                </c:pt>
                <c:pt idx="7">
                  <c:v>0.0260595296423322</c:v>
                </c:pt>
                <c:pt idx="8">
                  <c:v>0.0285240653938493</c:v>
                </c:pt>
                <c:pt idx="9">
                  <c:v>0.0292332223683106</c:v>
                </c:pt>
                <c:pt idx="10">
                  <c:v>0.0299088368205209</c:v>
                </c:pt>
                <c:pt idx="11">
                  <c:v>0.0293070458013418</c:v>
                </c:pt>
              </c:numCache>
            </c:numRef>
          </c:val>
        </c:ser>
        <c:ser>
          <c:idx val="4"/>
          <c:order val="4"/>
          <c:tx>
            <c:strRef>
              <c:f>'地区-消费'!$A$6</c:f>
              <c:strCache>
                <c:ptCount val="1"/>
                <c:pt idx="0">
                  <c:v>中东和非洲</c:v>
                </c:pt>
              </c:strCache>
            </c:strRef>
          </c:tx>
          <c:spPr>
            <a:solidFill>
              <a:schemeClr val="tx1">
                <a:lumMod val="65000"/>
                <a:lumOff val="35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'地区-消费'!$Q$6:$AB$6</c:f>
              <c:numCache>
                <c:formatCode>0.0%</c:formatCode>
                <c:ptCount val="12"/>
                <c:pt idx="0">
                  <c:v>0.0839274896313901</c:v>
                </c:pt>
                <c:pt idx="1">
                  <c:v>0.084262279121842</c:v>
                </c:pt>
                <c:pt idx="2">
                  <c:v>0.0861848205218773</c:v>
                </c:pt>
                <c:pt idx="3">
                  <c:v>0.0908589607635207</c:v>
                </c:pt>
                <c:pt idx="4">
                  <c:v>0.0961624004205589</c:v>
                </c:pt>
                <c:pt idx="5">
                  <c:v>0.107130060910068</c:v>
                </c:pt>
                <c:pt idx="6">
                  <c:v>0.106600331674959</c:v>
                </c:pt>
                <c:pt idx="7">
                  <c:v>0.110791278784909</c:v>
                </c:pt>
                <c:pt idx="8">
                  <c:v>0.11200983194238</c:v>
                </c:pt>
                <c:pt idx="9">
                  <c:v>0.116876940722298</c:v>
                </c:pt>
                <c:pt idx="10">
                  <c:v>0.118877830890996</c:v>
                </c:pt>
                <c:pt idx="11">
                  <c:v>0.12834548405067</c:v>
                </c:pt>
              </c:numCache>
            </c:numRef>
          </c:val>
        </c:ser>
        <c:ser>
          <c:idx val="5"/>
          <c:order val="5"/>
          <c:tx>
            <c:strRef>
              <c:f>'地区-消费'!$A$7</c:f>
              <c:strCache>
                <c:ptCount val="1"/>
                <c:pt idx="0">
                  <c:v/>
                </c:pt>
              </c:strCache>
            </c:strRef>
          </c:tx>
          <c:spPr>
            <a:solidFill>
              <a:srgbClr val="C0000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'地区-消费'!$Q$7:$AB$7</c:f>
            </c:numRef>
          </c:val>
        </c:ser>
        <c:ser>
          <c:idx val="6"/>
          <c:order val="6"/>
          <c:tx>
            <c:strRef>
              <c:f>'地区-消费'!$A$8</c:f>
              <c:strCache>
                <c:ptCount val="1"/>
                <c:pt idx="0">
                  <c:v/>
                </c:pt>
              </c:strCache>
            </c:strRef>
          </c:tx>
          <c:spPr>
            <a:solidFill>
              <a:srgbClr val="7030A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'地区-消费'!$Q$8:$AB$8</c:f>
            </c:numRef>
          </c:val>
        </c:ser>
        <c:ser>
          <c:idx val="7"/>
          <c:order val="7"/>
          <c:tx>
            <c:strRef>
              <c:f>'地区-消费'!$A$9</c:f>
              <c:strCache>
                <c:ptCount val="1"/>
                <c:pt idx="0">
                  <c:v/>
                </c:pt>
              </c:strCache>
            </c:strRef>
          </c:tx>
          <c:spPr>
            <a:solidFill>
              <a:schemeClr val="tx2">
                <a:lumMod val="60000"/>
                <a:lumOff val="40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'地区-消费'!$Q$9:$AB$9</c:f>
            </c:numRef>
          </c:val>
        </c:ser>
        <c:ser>
          <c:idx val="8"/>
          <c:order val="8"/>
          <c:tx>
            <c:strRef>
              <c:f>'地区-消费'!$A$10</c:f>
              <c:strCache>
                <c:ptCount val="1"/>
                <c:pt idx="0">
                  <c:v/>
                </c:pt>
              </c:strCache>
            </c:strRef>
          </c:tx>
          <c:spPr>
            <a:solidFill>
              <a:schemeClr val="accent6">
                <a:lumMod val="75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'地区-消费'!$Q$10:$AB$10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486b7c0e-a5fc-4030-9c6a-c52391c5fa7d}"/>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091E08-70ED-44EC-9D58-C5D91FD393A0}">
  <ds:schemaRefs/>
</ds:datastoreItem>
</file>

<file path=docProps/app.xml><?xml version="1.0" encoding="utf-8"?>
<Properties xmlns="http://schemas.openxmlformats.org/officeDocument/2006/extended-properties" xmlns:vt="http://schemas.openxmlformats.org/officeDocument/2006/docPropsVTypes">
  <Template>Normal</Template>
  <Pages>6</Pages>
  <Words>1963</Words>
  <Characters>2294</Characters>
  <Lines>16</Lines>
  <Paragraphs>4</Paragraphs>
  <TotalTime>0</TotalTime>
  <ScaleCrop>false</ScaleCrop>
  <LinksUpToDate>false</LinksUpToDate>
  <CharactersWithSpaces>2306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2025-01-24T09:23:00Z</dcterms:created>
  <dc:creator>yangj</dc:creator>
  <cp:lastModifiedBy>鼕鼕</cp:lastModifiedBy>
  <dcterms:modified xsi:type="dcterms:W3CDTF">2025-05-28T04:02:43Z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2052-12.1.0.20784</vt:lpwstr>
  </property>
  <property fmtid="{D5CDD505-2E9C-101B-9397-08002B2CF9AE}" pid="4" name="ICV">
    <vt:lpwstr>27325B80B7934E3EA33B25F5F89CFD5A_12</vt:lpwstr>
  </property>
</Properties>
</file>