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A52029">
      <w:pPr>
        <w:pStyle w:val="167"/>
        <w:rPr>
          <w:i w:val="0"/>
          <w:iCs w:val="0"/>
          <w:lang w:eastAsia="zh-CN"/>
        </w:rPr>
      </w:pPr>
      <w:bookmarkStart w:id="0" w:name="_Hlk176269009"/>
      <w:bookmarkStart w:id="1" w:name="_Toc453597319"/>
      <w:bookmarkStart w:id="2" w:name="_Toc438987549"/>
      <w:bookmarkStart w:id="3" w:name="_Toc481801204"/>
      <w:bookmarkStart w:id="4" w:name="_Toc517262917"/>
      <w:bookmarkStart w:id="5" w:name="OLE_LINK13"/>
      <w:bookmarkStart w:id="6" w:name="_Toc415142861"/>
      <w:bookmarkStart w:id="7" w:name="OLE_LINK40"/>
      <w:bookmarkStart w:id="8" w:name="OLE_LINK39"/>
      <w:bookmarkStart w:id="9" w:name="_Toc415818939"/>
      <w:bookmarkStart w:id="10" w:name="OLE_LINK24"/>
      <w:bookmarkStart w:id="11" w:name="OLE_LINK15"/>
      <w:bookmarkStart w:id="12" w:name="_Toc415143481"/>
      <w:bookmarkStart w:id="13" w:name="_Toc418070112"/>
      <w:r>
        <w:rPr>
          <w:i w:val="0"/>
          <w:iCs w:val="0"/>
          <w:lang w:eastAsia="zh-CN"/>
        </w:rPr>
        <w:t>海岸工程与水文建模</w:t>
      </w:r>
      <w:r>
        <w:rPr>
          <w:rFonts w:hint="eastAsia"/>
          <w:i w:val="0"/>
          <w:iCs w:val="0"/>
          <w:lang w:eastAsia="zh-CN"/>
        </w:rPr>
        <w:t>产品定义</w:t>
      </w:r>
    </w:p>
    <w:bookmarkEnd w:id="0"/>
    <w:p w14:paraId="5C73E509">
      <w:pPr>
        <w:pStyle w:val="145"/>
        <w:rPr>
          <w:rFonts w:hint="eastAsia"/>
          <w:i w:val="0"/>
          <w:iCs w:val="0"/>
          <w:lang w:eastAsia="zh-CN"/>
        </w:rPr>
      </w:pPr>
      <w:r>
        <w:rPr>
          <w:i w:val="0"/>
          <w:iCs w:val="0"/>
          <w:lang w:val="en-US" w:eastAsia="zh-CN"/>
        </w:rPr>
        <w:t>海岸工程与水文建模是围绕海岸带资源开发与灾害防治的综合性技术领域，专注于通过工程手段与数学模型模拟分析海洋水文动态及其与海岸结构的相互作用。海岸工程涵盖防波堤、海堤、人工沙滩等防护设施的规划建设，旨在抵御波浪、潮汐侵蚀并维护岸线稳定；水文建模则通过数值模拟技术重现水流、泥沙输运及污染物扩散等过程，为工程设计、生态评估及灾害预警提供科学依据。两者协同应用于港口建设、海岸修复、洪水风险管理等场景，融合流体力学、地质学及环境科学等多学科知识，是实现海岸带可持续开发的核心技术支撑。</w:t>
      </w:r>
    </w:p>
    <w:p w14:paraId="37F1E6C7">
      <w:pPr>
        <w:pStyle w:val="167"/>
        <w:rPr>
          <w:i w:val="0"/>
          <w:iCs w:val="0"/>
          <w:lang w:eastAsia="zh-CN"/>
        </w:rPr>
      </w:pPr>
      <w:r>
        <w:rPr>
          <w:i w:val="0"/>
          <w:iCs w:val="0"/>
          <w:lang w:eastAsia="zh-CN"/>
        </w:rPr>
        <w:t>海岸工程与水文建模</w:t>
      </w:r>
      <w:r>
        <w:rPr>
          <w:rFonts w:hint="eastAsia"/>
          <w:i w:val="0"/>
          <w:iCs w:val="0"/>
          <w:lang w:eastAsia="zh-CN"/>
        </w:rPr>
        <w:t>市场概述</w:t>
      </w:r>
    </w:p>
    <w:p w14:paraId="562F2CF2">
      <w:pPr>
        <w:pStyle w:val="145"/>
        <w:rPr>
          <w:b/>
          <w:bCs/>
          <w:i w:val="0"/>
          <w:iCs w:val="0"/>
          <w:lang w:eastAsia="zh-CN"/>
        </w:rPr>
      </w:pPr>
      <w:r>
        <w:rPr>
          <w:rFonts w:hint="eastAsia"/>
          <w:b/>
          <w:bCs/>
          <w:i w:val="0"/>
          <w:iCs w:val="0"/>
          <w:lang w:eastAsia="zh-CN"/>
        </w:rPr>
        <w:t>研究背景：</w:t>
      </w:r>
    </w:p>
    <w:p w14:paraId="5E568324">
      <w:pPr>
        <w:pStyle w:val="145"/>
        <w:rPr>
          <w:i w:val="0"/>
          <w:iCs w:val="0"/>
          <w:lang w:eastAsia="zh-CN"/>
        </w:rPr>
      </w:pPr>
      <w:r>
        <w:rPr>
          <w:rFonts w:hint="eastAsia"/>
          <w:i w:val="0"/>
          <w:iCs w:val="0"/>
          <w:lang w:eastAsia="zh-CN"/>
        </w:rPr>
        <w:t>受气候变化、沿海城镇化以及对韧性水利基础设施需求日益增长的压力推动，海岸工程与水文建模市场已成为更广泛的土木工程和环境工程行业中一个至关重要的细分领域。海岸侵蚀、洪水和极端天气事件的日益增多，加剧了对能够准确预测和管理复杂水动力和泥沙输运过程的先进建模和工程解决方案的需求。数值模拟、物理建模和数据分析的集成使利益相关者能够设计可持续的海岸防护结构、优化防洪措施并高精度评估环境影响。政府、基础设施开发商和环境机构对智能水管理和海岸韧性计划的投资进一步推动了市场增长，使海岸工程与水文建模成为全球可持续海岸和水资源管理的重要工具。</w:t>
      </w:r>
    </w:p>
    <w:p w14:paraId="49245B5B">
      <w:pPr>
        <w:pStyle w:val="145"/>
        <w:rPr>
          <w:b/>
          <w:bCs/>
          <w:i w:val="0"/>
          <w:iCs w:val="0"/>
          <w:lang w:eastAsia="zh-CN"/>
        </w:rPr>
      </w:pPr>
      <w:r>
        <w:rPr>
          <w:rFonts w:hint="eastAsia"/>
          <w:b/>
          <w:bCs/>
          <w:i w:val="0"/>
          <w:iCs w:val="0"/>
          <w:lang w:eastAsia="zh-CN"/>
        </w:rPr>
        <w:t>发展现状：</w:t>
      </w:r>
    </w:p>
    <w:p w14:paraId="0695622D">
      <w:pPr>
        <w:pStyle w:val="145"/>
        <w:rPr>
          <w:i w:val="0"/>
          <w:iCs w:val="0"/>
          <w:lang w:eastAsia="zh-CN"/>
        </w:rPr>
      </w:pPr>
      <w:r>
        <w:rPr>
          <w:rFonts w:hint="eastAsia"/>
          <w:i w:val="0"/>
          <w:iCs w:val="0"/>
          <w:lang w:eastAsia="zh-CN"/>
        </w:rPr>
        <w:t>受全球对海岸防护、防洪和可持续水资源管理投资不断增加的推动，海岸工程与水文建模市场目前正处于稳步增长和技术进步的阶段。近年来，数值模拟软件、物理建模技术和集成数据分析工具取得了显著进展，使得对沿海和水动力过程的预测更加准确。政府和私人基础设施开发商越来越多地采用这些解决方案来设计海堤、防波堤、港口和防洪系统，以及进行环境影响评估。此外，极端天气事件的频繁发生以及对气候适应战略的迫切需求，加速了先进建模服务的应用。因此，市场正朝着更全面、数据驱动和多学科的方法发展，将工程专业知识与尖端建模技术相结合。</w:t>
      </w:r>
    </w:p>
    <w:p w14:paraId="6CAEDDE4">
      <w:pPr>
        <w:pStyle w:val="145"/>
        <w:rPr>
          <w:b/>
          <w:bCs/>
          <w:i w:val="0"/>
          <w:iCs w:val="0"/>
          <w:lang w:eastAsia="zh-CN"/>
        </w:rPr>
      </w:pPr>
      <w:r>
        <w:rPr>
          <w:rFonts w:hint="eastAsia"/>
          <w:b/>
          <w:bCs/>
          <w:i w:val="0"/>
          <w:iCs w:val="0"/>
          <w:lang w:eastAsia="zh-CN"/>
        </w:rPr>
        <w:t>未来趋势：</w:t>
      </w:r>
    </w:p>
    <w:p w14:paraId="26457C74">
      <w:pPr>
        <w:pStyle w:val="145"/>
        <w:rPr>
          <w:i w:val="0"/>
          <w:iCs w:val="0"/>
          <w:lang w:eastAsia="zh-CN"/>
        </w:rPr>
      </w:pPr>
      <w:r>
        <w:rPr>
          <w:rFonts w:hint="eastAsia"/>
          <w:i w:val="0"/>
          <w:iCs w:val="0"/>
          <w:lang w:eastAsia="zh-CN"/>
        </w:rPr>
        <w:t>数字孪生技术的集成：数字孪生，即沿海系统的虚拟复制品，在实时监控和模拟领域越来越受欢迎。这些模型使工程师能够分析场景、优化设计并改进沿海韧性和基础设施项目的决策。</w:t>
      </w:r>
    </w:p>
    <w:p w14:paraId="52C42B95">
      <w:pPr>
        <w:pStyle w:val="145"/>
        <w:rPr>
          <w:i w:val="0"/>
          <w:iCs w:val="0"/>
          <w:lang w:eastAsia="zh-CN"/>
        </w:rPr>
      </w:pPr>
      <w:r>
        <w:rPr>
          <w:rFonts w:hint="eastAsia"/>
          <w:i w:val="0"/>
          <w:iCs w:val="0"/>
          <w:lang w:eastAsia="zh-CN"/>
        </w:rPr>
        <w:t>人工智能和机器学习的应用：人工智能和机器学习正在通过增强预测能力、自动化数据分析以及提高波浪动力学、泥沙输运和洪水风险模拟的准确性来改变水文建模。</w:t>
      </w:r>
    </w:p>
    <w:p w14:paraId="4AC8CADF">
      <w:pPr>
        <w:pStyle w:val="145"/>
        <w:rPr>
          <w:i w:val="0"/>
          <w:iCs w:val="0"/>
          <w:lang w:eastAsia="zh-CN"/>
        </w:rPr>
      </w:pPr>
      <w:r>
        <w:rPr>
          <w:rFonts w:hint="eastAsia"/>
          <w:i w:val="0"/>
          <w:iCs w:val="0"/>
          <w:lang w:eastAsia="zh-CN"/>
        </w:rPr>
        <w:t>关注基于自然的解决方案 (NBS)：可持续发展日益受到重视，推动了基于自然的解决方案 (NBS) 的应用，例如红树林修复、人工鱼礁和湿地建设。水文建模在设计和评估这些生态友好的海岸保护战略中发挥着至关重要的作用。</w:t>
      </w:r>
    </w:p>
    <w:p w14:paraId="141B9B64">
      <w:pPr>
        <w:pStyle w:val="145"/>
        <w:rPr>
          <w:i w:val="0"/>
          <w:iCs w:val="0"/>
          <w:lang w:eastAsia="zh-CN"/>
        </w:rPr>
      </w:pPr>
      <w:r>
        <w:rPr>
          <w:rFonts w:hint="eastAsia"/>
          <w:i w:val="0"/>
          <w:iCs w:val="0"/>
          <w:lang w:eastAsia="zh-CN"/>
        </w:rPr>
        <w:t>海上可再生能源项目的扩张：海上风能、波浪能和潮汐能项目的快速增长，为海岸工程在选址、基础设施设计和环境影响评估方面的专业知识创造了机遇，并得到了先进水文建模工具的支持。</w:t>
      </w:r>
    </w:p>
    <w:p w14:paraId="05315762">
      <w:pPr>
        <w:pStyle w:val="145"/>
        <w:rPr>
          <w:i w:val="0"/>
          <w:iCs w:val="0"/>
          <w:lang w:eastAsia="zh-CN"/>
        </w:rPr>
      </w:pPr>
      <w:r>
        <w:rPr>
          <w:rFonts w:hint="eastAsia"/>
          <w:i w:val="0"/>
          <w:iCs w:val="0"/>
          <w:lang w:eastAsia="zh-CN"/>
        </w:rPr>
        <w:t>GIS 和遥感技术的广泛应用：地理信息系统 (GIS) 和遥感技术正成为海岸工程不可或缺的一部分，用于高精度高效地绘制海岸带地图、分析沉积物模式和监测环境变化。</w:t>
      </w:r>
    </w:p>
    <w:p w14:paraId="36124F7B">
      <w:pPr>
        <w:pStyle w:val="145"/>
        <w:rPr>
          <w:b/>
          <w:bCs/>
          <w:i w:val="0"/>
          <w:iCs w:val="0"/>
          <w:lang w:eastAsia="zh-CN"/>
        </w:rPr>
      </w:pPr>
      <w:r>
        <w:rPr>
          <w:rFonts w:hint="eastAsia"/>
          <w:b/>
          <w:bCs/>
          <w:i w:val="0"/>
          <w:iCs w:val="0"/>
          <w:lang w:eastAsia="zh-CN"/>
        </w:rPr>
        <w:t>SWOT分析：</w:t>
      </w:r>
    </w:p>
    <w:p w14:paraId="33DE3431">
      <w:pPr>
        <w:pStyle w:val="145"/>
        <w:numPr>
          <w:ilvl w:val="0"/>
          <w:numId w:val="4"/>
        </w:numPr>
        <w:rPr>
          <w:i w:val="0"/>
          <w:iCs w:val="0"/>
          <w:lang w:eastAsia="zh-CN"/>
        </w:rPr>
      </w:pPr>
      <w:r>
        <w:rPr>
          <w:rFonts w:hint="eastAsia"/>
          <w:i w:val="0"/>
          <w:iCs w:val="0"/>
          <w:lang w:eastAsia="zh-CN"/>
        </w:rPr>
        <w:t>优势</w:t>
      </w:r>
    </w:p>
    <w:p w14:paraId="161B86F6">
      <w:pPr>
        <w:pStyle w:val="145"/>
        <w:rPr>
          <w:i w:val="0"/>
          <w:iCs w:val="0"/>
          <w:lang w:eastAsia="zh-CN"/>
        </w:rPr>
      </w:pPr>
      <w:r>
        <w:rPr>
          <w:rFonts w:hint="eastAsia"/>
          <w:i w:val="0"/>
          <w:iCs w:val="0"/>
          <w:lang w:eastAsia="zh-CN"/>
        </w:rPr>
        <w:t>该市场受益于先进的建模技术，包括数值模拟和物理模拟，这些技术能够准确预测海岸带和水力过程。该市场将工程专业知识与环境和生态因素相结合，有助于设计具有韧性的基础设施、有效的防洪系统和可持续的海岸带管理战略。其支持多学科项目并为决策提供信息的能力进一步巩固了市场地位。</w:t>
      </w:r>
    </w:p>
    <w:p w14:paraId="177C3ECD">
      <w:pPr>
        <w:pStyle w:val="145"/>
        <w:numPr>
          <w:ilvl w:val="0"/>
          <w:numId w:val="5"/>
        </w:numPr>
        <w:rPr>
          <w:i w:val="0"/>
          <w:iCs w:val="0"/>
          <w:lang w:eastAsia="zh-CN"/>
        </w:rPr>
      </w:pPr>
      <w:r>
        <w:rPr>
          <w:rFonts w:hint="eastAsia"/>
          <w:i w:val="0"/>
          <w:iCs w:val="0"/>
          <w:lang w:eastAsia="zh-CN"/>
        </w:rPr>
        <w:t>劣势</w:t>
      </w:r>
    </w:p>
    <w:p w14:paraId="7D5A97BE">
      <w:pPr>
        <w:pStyle w:val="145"/>
        <w:rPr>
          <w:i w:val="0"/>
          <w:iCs w:val="0"/>
          <w:lang w:eastAsia="zh-CN"/>
        </w:rPr>
      </w:pPr>
      <w:r>
        <w:rPr>
          <w:rFonts w:hint="eastAsia"/>
          <w:i w:val="0"/>
          <w:iCs w:val="0"/>
          <w:lang w:eastAsia="zh-CN"/>
        </w:rPr>
        <w:t>高昂的实施和运营成本，加上对专业技术知识的需求，可能会限制其应用，尤其是在发展中地区。海岸工程与水文建模的复杂性，包括整合不同的数据集和考虑多变的环境条件，给其广泛应用带来了挑战。</w:t>
      </w:r>
      <w:r>
        <w:rPr>
          <w:i w:val="0"/>
          <w:iCs w:val="0"/>
          <w:lang w:eastAsia="zh-CN"/>
        </w:rPr>
        <w:tab/>
      </w:r>
    </w:p>
    <w:p w14:paraId="6B60A2D6">
      <w:pPr>
        <w:pStyle w:val="145"/>
        <w:numPr>
          <w:ilvl w:val="0"/>
          <w:numId w:val="5"/>
        </w:numPr>
        <w:rPr>
          <w:i w:val="0"/>
          <w:iCs w:val="0"/>
          <w:lang w:eastAsia="zh-CN"/>
        </w:rPr>
      </w:pPr>
      <w:r>
        <w:rPr>
          <w:rFonts w:hint="eastAsia"/>
          <w:i w:val="0"/>
          <w:iCs w:val="0"/>
          <w:lang w:eastAsia="zh-CN"/>
        </w:rPr>
        <w:t>机会</w:t>
      </w:r>
    </w:p>
    <w:p w14:paraId="7151D4E1">
      <w:pPr>
        <w:pStyle w:val="145"/>
        <w:rPr>
          <w:i w:val="0"/>
          <w:iCs w:val="0"/>
          <w:lang w:eastAsia="zh-CN"/>
        </w:rPr>
      </w:pPr>
      <w:r>
        <w:rPr>
          <w:rFonts w:hint="eastAsia"/>
          <w:i w:val="0"/>
          <w:iCs w:val="0"/>
          <w:lang w:eastAsia="zh-CN"/>
        </w:rPr>
        <w:t>全球在气候适应、海岸保护和可持续城市发展方面的投资不断增长，带来了巨大的增长潜力。海上基础设施、可再生能源项目和水资源管理计划的扩张进一步推动了需求。人工智能、遥感和大数据分析的进步为提高建模精度和运营效率提供了机遇。</w:t>
      </w:r>
    </w:p>
    <w:p w14:paraId="7BFD7929">
      <w:pPr>
        <w:pStyle w:val="145"/>
        <w:numPr>
          <w:ilvl w:val="0"/>
          <w:numId w:val="5"/>
        </w:numPr>
        <w:rPr>
          <w:i w:val="0"/>
          <w:iCs w:val="0"/>
          <w:lang w:eastAsia="zh-CN"/>
        </w:rPr>
      </w:pPr>
      <w:r>
        <w:rPr>
          <w:rFonts w:hint="eastAsia"/>
          <w:i w:val="0"/>
          <w:iCs w:val="0"/>
          <w:lang w:eastAsia="zh-CN"/>
        </w:rPr>
        <w:t>威胁</w:t>
      </w:r>
    </w:p>
    <w:p w14:paraId="65795D4E">
      <w:pPr>
        <w:pStyle w:val="145"/>
        <w:rPr>
          <w:i w:val="0"/>
          <w:iCs w:val="0"/>
          <w:lang w:eastAsia="zh-CN"/>
        </w:rPr>
      </w:pPr>
      <w:r>
        <w:rPr>
          <w:rFonts w:hint="eastAsia"/>
          <w:i w:val="0"/>
          <w:iCs w:val="0"/>
          <w:lang w:eastAsia="zh-CN"/>
        </w:rPr>
        <w:t>该市场面临潜在的监管变化、资金限制以及来自简化或替代建模方法的竞争。自然灾害和快速变化的环境条件可能会超出计划的干预范围，而对数据质量和计算资源的依赖可能会对有效实施带来额外的风险。</w:t>
      </w:r>
    </w:p>
    <w:p w14:paraId="19FF7920">
      <w:pPr>
        <w:widowControl/>
        <w:topLinePunct w:val="0"/>
        <w:spacing w:after="0"/>
        <w:jc w:val="left"/>
        <w:rPr>
          <w:i w:val="0"/>
          <w:iCs w:val="0"/>
          <w:color w:val="0D0D0D" w:themeColor="text1" w:themeTint="F2"/>
          <w:kern w:val="0"/>
          <w:szCs w:val="22"/>
          <w:lang w:val="en-IN"/>
          <w14:textFill>
            <w14:solidFill>
              <w14:schemeClr w14:val="tx1">
                <w14:lumMod w14:val="95000"/>
                <w14:lumOff w14:val="5000"/>
              </w14:schemeClr>
            </w14:solidFill>
          </w14:textFill>
        </w:rPr>
      </w:pPr>
      <w:r>
        <w:rPr>
          <w:i w:val="0"/>
          <w:iCs w:val="0"/>
        </w:rPr>
        <w:br w:type="page"/>
      </w:r>
    </w:p>
    <w:p w14:paraId="3BA57076">
      <w:pPr>
        <w:pStyle w:val="145"/>
        <w:rPr>
          <w:i w:val="0"/>
          <w:iCs w:val="0"/>
          <w:lang w:eastAsia="zh-CN"/>
        </w:rPr>
      </w:pPr>
      <w:r>
        <w:rPr>
          <w:rFonts w:hint="eastAsia"/>
          <w:i w:val="0"/>
          <w:iCs w:val="0"/>
          <w:lang w:eastAsia="zh-CN"/>
        </w:rPr>
        <w:t>根据QYResearch最新调研报告显示，2</w:t>
      </w:r>
      <w:r>
        <w:rPr>
          <w:i w:val="0"/>
          <w:iCs w:val="0"/>
          <w:lang w:eastAsia="zh-CN"/>
        </w:rPr>
        <w:t>0</w:t>
      </w:r>
      <w:r>
        <w:rPr>
          <w:rFonts w:hint="eastAsia"/>
          <w:i w:val="0"/>
          <w:iCs w:val="0"/>
          <w:lang w:eastAsia="zh-CN"/>
        </w:rPr>
        <w:t>24年全球</w:t>
      </w:r>
      <w:r>
        <w:rPr>
          <w:i w:val="0"/>
          <w:iCs w:val="0"/>
          <w:lang w:eastAsia="zh-CN"/>
        </w:rPr>
        <w:t>海岸工程与水文建模</w:t>
      </w:r>
      <w:r>
        <w:rPr>
          <w:rFonts w:hint="eastAsia"/>
          <w:i w:val="0"/>
          <w:iCs w:val="0"/>
          <w:lang w:eastAsia="zh-CN"/>
        </w:rPr>
        <w:t>市场规模达到</w:t>
      </w:r>
      <w:r>
        <w:rPr>
          <w:i w:val="0"/>
          <w:iCs w:val="0"/>
          <w:lang w:eastAsia="zh-CN"/>
        </w:rPr>
        <w:t>607.70</w:t>
      </w:r>
      <w:r>
        <w:rPr>
          <w:rFonts w:hint="eastAsia"/>
          <w:i w:val="0"/>
          <w:iCs w:val="0"/>
          <w:lang w:eastAsia="zh-CN"/>
        </w:rPr>
        <w:t>百万美元，未来几年年复合增长率CAGR为</w:t>
      </w:r>
      <w:r>
        <w:rPr>
          <w:i w:val="0"/>
          <w:iCs w:val="0"/>
          <w:lang w:eastAsia="zh-CN"/>
        </w:rPr>
        <w:t>5.39%</w:t>
      </w:r>
      <w:r>
        <w:rPr>
          <w:rFonts w:hint="eastAsia"/>
          <w:i w:val="0"/>
          <w:iCs w:val="0"/>
          <w:lang w:eastAsia="zh-CN"/>
        </w:rPr>
        <w:t>。</w:t>
      </w:r>
    </w:p>
    <w:p w14:paraId="3F6C2722">
      <w:pPr>
        <w:pStyle w:val="148"/>
        <w:numPr>
          <w:ilvl w:val="0"/>
          <w:numId w:val="0"/>
        </w:numPr>
        <w:ind w:leftChars="0"/>
        <w:rPr>
          <w:i w:val="0"/>
          <w:iCs w:val="0"/>
          <w:lang w:eastAsia="zh-CN"/>
        </w:rPr>
      </w:pPr>
      <w:r>
        <w:rPr>
          <w:i w:val="0"/>
          <w:iCs w:val="0"/>
          <w:lang w:eastAsia="zh-CN"/>
        </w:rPr>
        <w:t>海岸工程与水文建模</w:t>
      </w:r>
      <w:r>
        <w:rPr>
          <w:rFonts w:hint="eastAsia"/>
          <w:i w:val="0"/>
          <w:iCs w:val="0"/>
          <w:lang w:eastAsia="zh-CN"/>
        </w:rPr>
        <w:t>，全球市场总体规模</w:t>
      </w:r>
    </w:p>
    <w:p w14:paraId="33261207">
      <w:pPr>
        <w:pStyle w:val="145"/>
        <w:rPr>
          <w:i w:val="0"/>
          <w:iCs w:val="0"/>
        </w:rPr>
      </w:pPr>
      <w:r>
        <w:rPr>
          <w:i w:val="0"/>
          <w:iCs w:val="0"/>
        </w:rPr>
        <w:drawing>
          <wp:inline distT="0" distB="0" distL="114300" distR="114300">
            <wp:extent cx="6185535" cy="3274060"/>
            <wp:effectExtent l="0" t="0" r="571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5535" cy="3274060"/>
                    </a:xfrm>
                    <a:prstGeom prst="rect">
                      <a:avLst/>
                    </a:prstGeom>
                    <a:noFill/>
                    <a:ln>
                      <a:noFill/>
                    </a:ln>
                  </pic:spPr>
                </pic:pic>
              </a:graphicData>
            </a:graphic>
          </wp:inline>
        </w:drawing>
      </w:r>
    </w:p>
    <w:p w14:paraId="4C2322E6">
      <w:pPr>
        <w:pStyle w:val="143"/>
        <w:rPr>
          <w:i w:val="0"/>
          <w:iCs w:val="0"/>
          <w:lang w:eastAsia="zh-CN"/>
        </w:rPr>
      </w:pPr>
      <w:r>
        <w:rPr>
          <w:rFonts w:hint="eastAsia"/>
          <w:i w:val="0"/>
          <w:iCs w:val="0"/>
          <w:lang w:eastAsia="zh-CN"/>
        </w:rPr>
        <w:t>来源：QYResearch 软件及商业服务研究中心</w:t>
      </w:r>
    </w:p>
    <w:p w14:paraId="12FD9BEF">
      <w:pPr>
        <w:pStyle w:val="145"/>
        <w:rPr>
          <w:i w:val="0"/>
          <w:iCs w:val="0"/>
        </w:rPr>
      </w:pPr>
    </w:p>
    <w:p w14:paraId="720E31E2">
      <w:pPr>
        <w:pStyle w:val="148"/>
        <w:numPr>
          <w:ilvl w:val="0"/>
          <w:numId w:val="0"/>
        </w:numPr>
        <w:ind w:leftChars="0"/>
        <w:rPr>
          <w:i w:val="0"/>
          <w:iCs w:val="0"/>
          <w:lang w:eastAsia="zh-CN"/>
        </w:rPr>
      </w:pPr>
      <w:r>
        <w:rPr>
          <w:rFonts w:hint="eastAsia"/>
          <w:i w:val="0"/>
          <w:iCs w:val="0"/>
          <w:lang w:eastAsia="zh-CN"/>
        </w:rPr>
        <w:t>全球</w:t>
      </w:r>
      <w:r>
        <w:rPr>
          <w:i w:val="0"/>
          <w:iCs w:val="0"/>
          <w:lang w:eastAsia="zh-CN"/>
        </w:rPr>
        <w:t>海岸工程与水文建模</w:t>
      </w:r>
      <w:r>
        <w:rPr>
          <w:rFonts w:hint="eastAsia"/>
          <w:i w:val="0"/>
          <w:iCs w:val="0"/>
          <w:lang w:eastAsia="zh-CN"/>
        </w:rPr>
        <w:t>市场前26强生产商排名及市场占有率（基于2</w:t>
      </w:r>
      <w:r>
        <w:rPr>
          <w:i w:val="0"/>
          <w:iCs w:val="0"/>
          <w:lang w:eastAsia="zh-CN"/>
        </w:rPr>
        <w:t>02</w:t>
      </w:r>
      <w:r>
        <w:rPr>
          <w:rFonts w:hint="eastAsia"/>
          <w:i w:val="0"/>
          <w:iCs w:val="0"/>
          <w:lang w:eastAsia="zh-CN"/>
        </w:rPr>
        <w:t>4年调研数据；目前最新数据以本公司最新调研数据为准）</w:t>
      </w:r>
    </w:p>
    <w:p w14:paraId="773AFA33">
      <w:pPr>
        <w:widowControl/>
        <w:topLinePunct w:val="0"/>
        <w:spacing w:after="0"/>
        <w:jc w:val="center"/>
        <w:rPr>
          <w:rFonts w:hint="eastAsia" w:ascii="宋体" w:hAnsi="宋体" w:cs="宋体"/>
          <w:i w:val="0"/>
          <w:iCs w:val="0"/>
          <w:kern w:val="0"/>
          <w:sz w:val="24"/>
          <w:szCs w:val="24"/>
        </w:rPr>
      </w:pPr>
      <w:r>
        <w:rPr>
          <w:i w:val="0"/>
          <w:iCs w:val="0"/>
        </w:rPr>
        <w:drawing>
          <wp:inline distT="0" distB="0" distL="0" distR="0">
            <wp:extent cx="5473065" cy="4839335"/>
            <wp:effectExtent l="0" t="0" r="13335" b="18415"/>
            <wp:docPr id="137262278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5A600155">
      <w:pPr>
        <w:pStyle w:val="143"/>
        <w:rPr>
          <w:i w:val="0"/>
          <w:iCs w:val="0"/>
          <w:lang w:eastAsia="zh-CN"/>
        </w:rPr>
      </w:pPr>
      <w:r>
        <w:rPr>
          <w:rFonts w:hint="eastAsia"/>
          <w:i w:val="0"/>
          <w:iCs w:val="0"/>
          <w:lang w:eastAsia="zh-CN"/>
        </w:rPr>
        <w:t>来源：QYResearch 软件及商业服务研究中心。行业处于不断变动之中，最新数据请联系QYResearch咨询。</w:t>
      </w:r>
    </w:p>
    <w:p w14:paraId="78CE58B6">
      <w:pPr>
        <w:pStyle w:val="145"/>
        <w:rPr>
          <w:i w:val="0"/>
          <w:iCs w:val="0"/>
          <w:lang w:eastAsia="zh-CN"/>
        </w:rPr>
      </w:pPr>
      <w:r>
        <w:rPr>
          <w:rFonts w:hint="eastAsia"/>
          <w:i w:val="0"/>
          <w:iCs w:val="0"/>
          <w:lang w:eastAsia="zh-CN"/>
        </w:rPr>
        <w:t>全球范围内，</w:t>
      </w:r>
      <w:r>
        <w:rPr>
          <w:i w:val="0"/>
          <w:iCs w:val="0"/>
          <w:lang w:eastAsia="zh-CN"/>
        </w:rPr>
        <w:t>海岸工程与水文建模</w:t>
      </w:r>
      <w:r>
        <w:rPr>
          <w:rFonts w:hint="eastAsia"/>
          <w:i w:val="0"/>
          <w:iCs w:val="0"/>
          <w:lang w:eastAsia="zh-CN"/>
        </w:rPr>
        <w:t>主要参与企业包括</w:t>
      </w:r>
      <w:r>
        <w:rPr>
          <w:i w:val="0"/>
          <w:iCs w:val="0"/>
          <w:lang w:eastAsia="zh-CN"/>
        </w:rPr>
        <w:t>Stantec</w:t>
      </w:r>
      <w:r>
        <w:rPr>
          <w:rFonts w:hint="eastAsia"/>
          <w:i w:val="0"/>
          <w:iCs w:val="0"/>
          <w:lang w:eastAsia="zh-CN"/>
        </w:rPr>
        <w:t>、</w:t>
      </w:r>
      <w:r>
        <w:rPr>
          <w:i w:val="0"/>
          <w:iCs w:val="0"/>
          <w:lang w:eastAsia="zh-CN"/>
        </w:rPr>
        <w:t>WSP</w:t>
      </w:r>
      <w:r>
        <w:rPr>
          <w:rFonts w:hint="eastAsia"/>
          <w:i w:val="0"/>
          <w:iCs w:val="0"/>
          <w:lang w:eastAsia="zh-CN"/>
        </w:rPr>
        <w:t>、</w:t>
      </w:r>
      <w:r>
        <w:rPr>
          <w:i w:val="0"/>
          <w:iCs w:val="0"/>
          <w:lang w:eastAsia="zh-CN"/>
        </w:rPr>
        <w:t>HDR, Inc.</w:t>
      </w:r>
      <w:r>
        <w:rPr>
          <w:rFonts w:hint="eastAsia"/>
          <w:i w:val="0"/>
          <w:iCs w:val="0"/>
          <w:lang w:eastAsia="zh-CN"/>
        </w:rPr>
        <w:t>、</w:t>
      </w:r>
      <w:r>
        <w:rPr>
          <w:i w:val="0"/>
          <w:iCs w:val="0"/>
          <w:lang w:eastAsia="zh-CN"/>
        </w:rPr>
        <w:t>APTIM</w:t>
      </w:r>
      <w:r>
        <w:rPr>
          <w:rFonts w:hint="eastAsia"/>
          <w:i w:val="0"/>
          <w:iCs w:val="0"/>
          <w:lang w:eastAsia="zh-CN"/>
        </w:rPr>
        <w:t>、</w:t>
      </w:r>
      <w:r>
        <w:rPr>
          <w:i w:val="0"/>
          <w:iCs w:val="0"/>
          <w:lang w:eastAsia="zh-CN"/>
        </w:rPr>
        <w:t>Moffatt &amp; Nichol</w:t>
      </w:r>
      <w:r>
        <w:rPr>
          <w:rFonts w:hint="eastAsia"/>
          <w:i w:val="0"/>
          <w:iCs w:val="0"/>
          <w:lang w:eastAsia="zh-CN"/>
        </w:rPr>
        <w:t>等，其中前五大企业占有大约</w:t>
      </w:r>
      <w:r>
        <w:rPr>
          <w:i w:val="0"/>
          <w:iCs w:val="0"/>
          <w:lang w:eastAsia="zh-CN"/>
        </w:rPr>
        <w:t>37.65%</w:t>
      </w:r>
      <w:r>
        <w:rPr>
          <w:rFonts w:hint="eastAsia"/>
          <w:i w:val="0"/>
          <w:iCs w:val="0"/>
          <w:lang w:eastAsia="zh-CN"/>
        </w:rPr>
        <w:t>的市场份额。</w:t>
      </w:r>
    </w:p>
    <w:p w14:paraId="3E6DE9A8">
      <w:pPr>
        <w:pStyle w:val="148"/>
        <w:numPr>
          <w:ilvl w:val="0"/>
          <w:numId w:val="0"/>
        </w:numPr>
        <w:ind w:leftChars="0"/>
        <w:rPr>
          <w:i w:val="0"/>
          <w:iCs w:val="0"/>
          <w:lang w:eastAsia="zh-CN"/>
        </w:rPr>
      </w:pPr>
      <w:r>
        <w:rPr>
          <w:i w:val="0"/>
          <w:iCs w:val="0"/>
          <w:lang w:eastAsia="zh-CN"/>
        </w:rPr>
        <w:t>海岸工程与水文建模</w:t>
      </w:r>
      <w:r>
        <w:rPr>
          <w:rFonts w:hint="eastAsia"/>
          <w:i w:val="0"/>
          <w:iCs w:val="0"/>
          <w:lang w:eastAsia="zh-CN"/>
        </w:rPr>
        <w:t>，全球市场规模，按产品类型细分，海岸工程设计处于主导地位</w:t>
      </w:r>
    </w:p>
    <w:p w14:paraId="1DAC1641">
      <w:pPr>
        <w:pStyle w:val="145"/>
        <w:rPr>
          <w:i w:val="0"/>
          <w:iCs w:val="0"/>
          <w:lang w:eastAsia="zh-CN"/>
        </w:rPr>
      </w:pPr>
      <w:r>
        <w:rPr>
          <w:i w:val="0"/>
          <w:iCs w:val="0"/>
        </w:rPr>
        <w:drawing>
          <wp:inline distT="0" distB="0" distL="0" distR="0">
            <wp:extent cx="6188710" cy="2878455"/>
            <wp:effectExtent l="0" t="0" r="2540" b="0"/>
            <wp:docPr id="137162630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5FE8DBF">
      <w:pPr>
        <w:pStyle w:val="143"/>
        <w:rPr>
          <w:i w:val="0"/>
          <w:iCs w:val="0"/>
          <w:lang w:eastAsia="zh-CN"/>
        </w:rPr>
      </w:pPr>
      <w:r>
        <w:rPr>
          <w:rFonts w:hint="eastAsia"/>
          <w:i w:val="0"/>
          <w:iCs w:val="0"/>
          <w:lang w:eastAsia="zh-CN"/>
        </w:rPr>
        <w:t>来源：QYResearch 软件及商业服务研究中心</w:t>
      </w:r>
    </w:p>
    <w:p w14:paraId="3C00C29D">
      <w:pPr>
        <w:pStyle w:val="145"/>
        <w:rPr>
          <w:i w:val="0"/>
          <w:iCs w:val="0"/>
          <w:lang w:eastAsia="zh-CN"/>
        </w:rPr>
      </w:pPr>
      <w:r>
        <w:rPr>
          <w:rFonts w:hint="eastAsia"/>
          <w:i w:val="0"/>
          <w:iCs w:val="0"/>
          <w:lang w:eastAsia="zh-CN"/>
        </w:rPr>
        <w:t>海岸工程与水文建模领域涵盖多个关键类别，旨在应对海岸和海洋环境中的各种挑战。海岸工程设计侧重于防波堤、海堤和港口等设施的规划和建设，以保护海岸线并支持航运和开发。海岸环境保护强调海岸生态系统的可持续管理、侵蚀控制和栖息地恢复，以平衡人类活动与环境保护。海洋能源开发利用建模和工程技术来优化波浪能、潮汐能和海上风电等可再生能源系统的设计和布局。灾害风险评估应用预测模型和水动力分析来评估风暴潮、海啸和沿海洪灾等极端事件的影响，从而制定缓解策略和恢复力规划。这些类别共同构成了一个有效管理、保护和利用海岸和海洋资源的综合框架。就产品类型而言，目前海岸工程设计是最主要的细分产品，占据大约40.12%的份额。</w:t>
      </w:r>
    </w:p>
    <w:p w14:paraId="0A4DB270">
      <w:pPr>
        <w:pStyle w:val="148"/>
        <w:numPr>
          <w:ilvl w:val="0"/>
          <w:numId w:val="0"/>
        </w:numPr>
        <w:ind w:leftChars="0"/>
        <w:rPr>
          <w:i w:val="0"/>
          <w:iCs w:val="0"/>
          <w:lang w:eastAsia="zh-CN"/>
        </w:rPr>
      </w:pPr>
      <w:r>
        <w:rPr>
          <w:i w:val="0"/>
          <w:iCs w:val="0"/>
          <w:lang w:eastAsia="zh-CN"/>
        </w:rPr>
        <w:t>海岸工程与水文建模</w:t>
      </w:r>
      <w:r>
        <w:rPr>
          <w:rFonts w:hint="eastAsia"/>
          <w:i w:val="0"/>
          <w:iCs w:val="0"/>
          <w:lang w:eastAsia="zh-CN"/>
        </w:rPr>
        <w:t>，全球市场规模，按应用细分，政府是最大的下游市场，占有</w:t>
      </w:r>
      <w:r>
        <w:rPr>
          <w:i w:val="0"/>
          <w:iCs w:val="0"/>
          <w:lang w:eastAsia="zh-CN"/>
        </w:rPr>
        <w:t>58.82%</w:t>
      </w:r>
      <w:r>
        <w:rPr>
          <w:rFonts w:hint="eastAsia"/>
          <w:i w:val="0"/>
          <w:iCs w:val="0"/>
          <w:lang w:eastAsia="zh-CN"/>
        </w:rPr>
        <w:t>份额。</w:t>
      </w:r>
    </w:p>
    <w:p w14:paraId="1F9213C6">
      <w:pPr>
        <w:widowControl/>
        <w:topLinePunct w:val="0"/>
        <w:spacing w:after="0"/>
        <w:jc w:val="left"/>
        <w:rPr>
          <w:rFonts w:hint="eastAsia" w:ascii="宋体" w:hAnsi="宋体" w:cs="宋体"/>
          <w:i w:val="0"/>
          <w:iCs w:val="0"/>
          <w:kern w:val="0"/>
          <w:sz w:val="24"/>
          <w:szCs w:val="24"/>
        </w:rPr>
      </w:pPr>
      <w:r>
        <w:rPr>
          <w:i w:val="0"/>
          <w:iCs w:val="0"/>
        </w:rPr>
        <w:drawing>
          <wp:inline distT="0" distB="0" distL="0" distR="0">
            <wp:extent cx="6188710" cy="3597910"/>
            <wp:effectExtent l="0" t="0" r="2540" b="2540"/>
            <wp:docPr id="208580327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CF26C22">
      <w:pPr>
        <w:pStyle w:val="143"/>
        <w:rPr>
          <w:i w:val="0"/>
          <w:iCs w:val="0"/>
          <w:lang w:eastAsia="zh-CN"/>
        </w:rPr>
      </w:pPr>
      <w:r>
        <w:rPr>
          <w:rFonts w:hint="eastAsia"/>
          <w:i w:val="0"/>
          <w:iCs w:val="0"/>
          <w:lang w:eastAsia="zh-CN"/>
        </w:rPr>
        <w:t>来源：QYResearch 软件及商业服务研究中心</w:t>
      </w:r>
    </w:p>
    <w:p w14:paraId="21E23D3B">
      <w:pPr>
        <w:pStyle w:val="145"/>
        <w:rPr>
          <w:i w:val="0"/>
          <w:iCs w:val="0"/>
          <w:lang w:eastAsia="zh-CN"/>
        </w:rPr>
      </w:pPr>
      <w:r>
        <w:rPr>
          <w:rFonts w:hint="eastAsia"/>
          <w:i w:val="0"/>
          <w:iCs w:val="0"/>
          <w:lang w:eastAsia="zh-CN"/>
        </w:rPr>
        <w:t>海岸工程与水文建模的应用涵盖广泛的领域，体现了其在应对环境、基础设施和社会挑战方面的重要性。政府机构利用这些工具进行沿海区域管理、基础设施规划、灾害防备和监管制定，以确保可持续的沿海发展和公共安全。企业在能源、建筑和海运等领域应用建模和工程解决方案，以优化项目设计、降低运营风险并提高环境合规性。非营利组织利用这些模型来支持保护计划、社区复原力项目以及专注于沿海可持续性和气候适应的研究。其他应用包括学术和研究机构，他们使用建模系统来增进对沿海动力学的科学理解，并为循证决策提供信息。总的来说，这些应用凸显了海岸工程与水文建模在支持具有复原力和可持续的沿海管理方面所发挥的跨学科和协作作用。就产品应用而言，目前政府是最主要的需求来源，占据大约</w:t>
      </w:r>
      <w:r>
        <w:rPr>
          <w:i w:val="0"/>
          <w:iCs w:val="0"/>
          <w:lang w:eastAsia="zh-CN"/>
        </w:rPr>
        <w:t>58.82%</w:t>
      </w:r>
      <w:r>
        <w:rPr>
          <w:rFonts w:hint="eastAsia"/>
          <w:i w:val="0"/>
          <w:iCs w:val="0"/>
          <w:lang w:eastAsia="zh-CN"/>
        </w:rPr>
        <w:t>的份额。</w:t>
      </w:r>
    </w:p>
    <w:p w14:paraId="0CD10F4E">
      <w:pPr>
        <w:pStyle w:val="148"/>
        <w:numPr>
          <w:ilvl w:val="0"/>
          <w:numId w:val="0"/>
        </w:numPr>
        <w:ind w:leftChars="0"/>
        <w:rPr>
          <w:i w:val="0"/>
          <w:iCs w:val="0"/>
          <w:lang w:eastAsia="zh-CN"/>
        </w:rPr>
      </w:pPr>
      <w:r>
        <w:rPr>
          <w:rFonts w:hint="eastAsia"/>
          <w:i w:val="0"/>
          <w:iCs w:val="0"/>
          <w:lang w:eastAsia="zh-CN"/>
        </w:rPr>
        <w:t>全球主要市场</w:t>
      </w:r>
      <w:r>
        <w:rPr>
          <w:i w:val="0"/>
          <w:iCs w:val="0"/>
          <w:lang w:eastAsia="zh-CN"/>
        </w:rPr>
        <w:t>海岸工程与水文建模</w:t>
      </w:r>
      <w:r>
        <w:rPr>
          <w:rFonts w:hint="eastAsia"/>
          <w:i w:val="0"/>
          <w:iCs w:val="0"/>
          <w:lang w:eastAsia="zh-CN"/>
        </w:rPr>
        <w:t>规模</w:t>
      </w:r>
    </w:p>
    <w:p w14:paraId="4B44D8E9">
      <w:pPr>
        <w:pStyle w:val="145"/>
        <w:rPr>
          <w:i w:val="0"/>
          <w:iCs w:val="0"/>
          <w:lang w:val="en-US" w:eastAsia="zh-CN"/>
        </w:rPr>
      </w:pPr>
      <w:r>
        <w:rPr>
          <w:i w:val="0"/>
          <w:iCs w:val="0"/>
        </w:rPr>
        <w:drawing>
          <wp:inline distT="0" distB="0" distL="0" distR="0">
            <wp:extent cx="6188710" cy="2878455"/>
            <wp:effectExtent l="0" t="0" r="2540" b="0"/>
            <wp:docPr id="143495816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35550B6D">
      <w:pPr>
        <w:pStyle w:val="143"/>
        <w:rPr>
          <w:i w:val="0"/>
          <w:iCs w:val="0"/>
          <w:lang w:eastAsia="zh-CN"/>
        </w:rPr>
      </w:pPr>
      <w:r>
        <w:rPr>
          <w:rFonts w:hint="eastAsia"/>
          <w:i w:val="0"/>
          <w:iCs w:val="0"/>
          <w:lang w:eastAsia="zh-CN"/>
        </w:rPr>
        <w:t>来源：QYResearch 软件及商业服务研究中心</w:t>
      </w:r>
    </w:p>
    <w:p w14:paraId="07A95001">
      <w:pPr>
        <w:pStyle w:val="145"/>
        <w:rPr>
          <w:rFonts w:hint="eastAsia"/>
          <w:i w:val="0"/>
          <w:iCs w:val="0"/>
          <w:lang w:eastAsia="zh-CN"/>
        </w:rPr>
      </w:pPr>
      <w:r>
        <w:rPr>
          <w:rFonts w:hint="eastAsia"/>
          <w:i w:val="0"/>
          <w:iCs w:val="0"/>
          <w:lang w:eastAsia="zh-CN"/>
        </w:rPr>
        <w:t>全球不同地区的海岸工程与水文建模发展各不相同，反映了环境优先事项、海岸挑战和技术能力的差异。在美洲，尤其是北美，市场受到政府和学术界对海岸恢复力、洪水管理和气候适应的大力投资驱动；而拉丁美洲国家则越来越多地采用建模工具进行海岸保护和港口开发。欧洲在先进数值建模、可持续海岸管理和海上可再生能源项目的整合方面处于领先地位，并得到了强有力的监管框架和研究合作的支持。亚太地区 (APAC) 正在经历快速增长，这得益于广泛的海岸基础设施建设、城市化以及对台风和海平面上升的脆弱性，促使对模拟技术和工程解决方案进行大量投资。在中东和非洲，由于港口建设、海洋基础设施项目的不断扩大以及干旱和快速发展的沿海地区应对海岸侵蚀和洪水的需求，海岸建模正日益受到关注。总体而言，各地区的进展反映了全球将工程创新与环境管理融入海岸管理的趋势。</w:t>
      </w:r>
      <w:bookmarkEnd w:id="1"/>
      <w:bookmarkEnd w:id="2"/>
      <w:bookmarkEnd w:id="3"/>
      <w:bookmarkEnd w:id="4"/>
      <w:bookmarkEnd w:id="5"/>
      <w:bookmarkEnd w:id="6"/>
      <w:bookmarkEnd w:id="7"/>
      <w:bookmarkEnd w:id="8"/>
      <w:bookmarkEnd w:id="9"/>
      <w:bookmarkEnd w:id="10"/>
      <w:bookmarkEnd w:id="11"/>
      <w:bookmarkEnd w:id="12"/>
      <w:bookmarkEnd w:id="13"/>
    </w:p>
    <w:p w14:paraId="43841F75">
      <w:pPr>
        <w:pStyle w:val="145"/>
        <w:rPr>
          <w:rFonts w:hint="eastAsia"/>
          <w:i w:val="0"/>
          <w:iCs w:val="0"/>
          <w:lang w:eastAsia="zh-CN"/>
        </w:rPr>
      </w:pPr>
    </w:p>
    <w:p w14:paraId="700543A5">
      <w:pPr>
        <w:pStyle w:val="145"/>
        <w:rPr>
          <w:rFonts w:hint="eastAsia"/>
          <w:i w:val="0"/>
          <w:iCs w:val="0"/>
          <w:lang w:eastAsia="zh-CN"/>
        </w:rPr>
      </w:pPr>
      <w:r>
        <w:rPr>
          <w:rFonts w:hint="eastAsia"/>
          <w:i w:val="0"/>
          <w:iCs w:val="0"/>
          <w:lang w:eastAsia="zh-CN"/>
        </w:rPr>
        <w:t>希望以上信息能为您提供有价值的参考。如果您想获取行业市场更详细分析，建议直接查阅相关的完整版行业报告。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Start w:id="14" w:name="_GoBack"/>
      <w:bookmarkEnd w:id="14"/>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2F4F2D79"/>
    <w:multiLevelType w:val="multilevel"/>
    <w:tmpl w:val="2F4F2D79"/>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3">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4">
    <w:nsid w:val="64BF42E9"/>
    <w:multiLevelType w:val="multilevel"/>
    <w:tmpl w:val="64BF42E9"/>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75F"/>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61F"/>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D84"/>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CD5"/>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2D3"/>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85"/>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8D"/>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1E"/>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8A9"/>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5F6E"/>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9E2"/>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CE5"/>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5E70"/>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0D8"/>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3E9"/>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E8A"/>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9C6"/>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A2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04"/>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B6"/>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DE2"/>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AF"/>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FEF"/>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7AC"/>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45"/>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6CD"/>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3CD1"/>
    <w:rsid w:val="00684076"/>
    <w:rsid w:val="00684462"/>
    <w:rsid w:val="00684B5E"/>
    <w:rsid w:val="00684B70"/>
    <w:rsid w:val="00684C1D"/>
    <w:rsid w:val="00684D98"/>
    <w:rsid w:val="0068549F"/>
    <w:rsid w:val="006855C8"/>
    <w:rsid w:val="00685936"/>
    <w:rsid w:val="00685D0A"/>
    <w:rsid w:val="00685D9C"/>
    <w:rsid w:val="0068617D"/>
    <w:rsid w:val="006861C0"/>
    <w:rsid w:val="00686219"/>
    <w:rsid w:val="0068636B"/>
    <w:rsid w:val="006863EF"/>
    <w:rsid w:val="0068656F"/>
    <w:rsid w:val="006865D7"/>
    <w:rsid w:val="00686723"/>
    <w:rsid w:val="006867AF"/>
    <w:rsid w:val="00686D71"/>
    <w:rsid w:val="00686FF5"/>
    <w:rsid w:val="00687017"/>
    <w:rsid w:val="006872E6"/>
    <w:rsid w:val="00687487"/>
    <w:rsid w:val="00687535"/>
    <w:rsid w:val="0068798A"/>
    <w:rsid w:val="006879D7"/>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56"/>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9E4"/>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8A5"/>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311"/>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B5"/>
    <w:rsid w:val="00711ACB"/>
    <w:rsid w:val="00711B21"/>
    <w:rsid w:val="00711EC1"/>
    <w:rsid w:val="00711F66"/>
    <w:rsid w:val="0071211E"/>
    <w:rsid w:val="00712241"/>
    <w:rsid w:val="007123BF"/>
    <w:rsid w:val="007124C7"/>
    <w:rsid w:val="0071268C"/>
    <w:rsid w:val="0071271A"/>
    <w:rsid w:val="0071278E"/>
    <w:rsid w:val="007129B6"/>
    <w:rsid w:val="00712C1E"/>
    <w:rsid w:val="00712C96"/>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4A1"/>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2AA4"/>
    <w:rsid w:val="00723024"/>
    <w:rsid w:val="00723182"/>
    <w:rsid w:val="00723193"/>
    <w:rsid w:val="00723274"/>
    <w:rsid w:val="007237AB"/>
    <w:rsid w:val="007238ED"/>
    <w:rsid w:val="00723A04"/>
    <w:rsid w:val="00723DCB"/>
    <w:rsid w:val="00724290"/>
    <w:rsid w:val="0072438D"/>
    <w:rsid w:val="007244CA"/>
    <w:rsid w:val="007246A4"/>
    <w:rsid w:val="00724783"/>
    <w:rsid w:val="0072494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06"/>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672"/>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575"/>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56E"/>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7A2"/>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BC6"/>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24F"/>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E4"/>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56B"/>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CD"/>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36A"/>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69E2"/>
    <w:rsid w:val="008672DF"/>
    <w:rsid w:val="008674FC"/>
    <w:rsid w:val="0086777E"/>
    <w:rsid w:val="00867791"/>
    <w:rsid w:val="00867A84"/>
    <w:rsid w:val="00867C36"/>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774"/>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27"/>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2CC"/>
    <w:rsid w:val="009943D4"/>
    <w:rsid w:val="009946F1"/>
    <w:rsid w:val="009946FC"/>
    <w:rsid w:val="00994929"/>
    <w:rsid w:val="00994B97"/>
    <w:rsid w:val="00994BF7"/>
    <w:rsid w:val="00994CED"/>
    <w:rsid w:val="00994D00"/>
    <w:rsid w:val="00994F55"/>
    <w:rsid w:val="00995010"/>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793"/>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020"/>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886"/>
    <w:rsid w:val="00A46D2D"/>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A33"/>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02"/>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DF2"/>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0B"/>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A5"/>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0"/>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AA2"/>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791"/>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910"/>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9FB"/>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5D4E"/>
    <w:rsid w:val="00C56393"/>
    <w:rsid w:val="00C56D96"/>
    <w:rsid w:val="00C56ED2"/>
    <w:rsid w:val="00C56F5D"/>
    <w:rsid w:val="00C576F1"/>
    <w:rsid w:val="00C577AF"/>
    <w:rsid w:val="00C578BE"/>
    <w:rsid w:val="00C57B0A"/>
    <w:rsid w:val="00C57BB6"/>
    <w:rsid w:val="00C57E2B"/>
    <w:rsid w:val="00C60294"/>
    <w:rsid w:val="00C60B60"/>
    <w:rsid w:val="00C60DC4"/>
    <w:rsid w:val="00C60E09"/>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17"/>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966"/>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37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84C"/>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348"/>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11"/>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06C"/>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2C7"/>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11F"/>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A77"/>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29A"/>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3CC"/>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65E"/>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7FF"/>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596"/>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1BE"/>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0AF"/>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4013E9D"/>
    <w:rsid w:val="31F06B2B"/>
    <w:rsid w:val="466C009A"/>
    <w:rsid w:val="49C751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unhideWhenUsed="0" w:uiPriority="0" w:semiHidden="0" w:name="Table Columns 2"/>
    <w:lsdException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uiPriority w:val="0"/>
    <w:rPr>
      <w:i/>
      <w:iCs/>
    </w:rPr>
  </w:style>
  <w:style w:type="character" w:styleId="71">
    <w:name w:val="Hyperlink"/>
    <w:unhideWhenUsed/>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18010\Desktop\&#25253;&#21578;&#23459;&#20256;&#25991;&#20214;\&#24050;&#20570;\&#35266;&#28857;&#25968;&#25454;&#22270;&#34920;&#27169;&#26495;-&#27169;&#26495;%2020240612%20&#20026;&#20934;.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18010\Desktop\&#25253;&#21578;&#23459;&#20256;&#25991;&#20214;\&#24050;&#20570;\&#35266;&#28857;&#25968;&#25454;&#22270;&#34920;&#27169;&#26495;-&#27169;&#26495;%2020240612%20&#20026;&#20934;.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18010\Desktop\&#25253;&#21578;&#23459;&#20256;&#25991;&#20214;\&#24050;&#20570;\&#35266;&#28857;&#25968;&#25454;&#22270;&#34920;&#27169;&#26495;-&#27169;&#26495;%2020240612%20&#20026;&#20934;.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18010\Desktop\&#25253;&#21578;&#23459;&#20256;&#25991;&#20214;\&#24050;&#20570;\&#35266;&#28857;&#25968;&#25454;&#22270;&#34920;&#27169;&#26495;-&#27169;&#26495;%2020240612%20&#20026;&#2093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ysClr val="windowText" lastClr="000000"/>
                </a:solidFill>
                <a:latin typeface="Times New Roman" panose="02020603050405020304" charset="0"/>
                <a:ea typeface="宋体" panose="02010600030101010101" charset="-122"/>
                <a:cs typeface="+mn-cs"/>
              </a:defRPr>
            </a:pPr>
            <a:r>
              <a:rPr lang="zh-CN" altLang="en-US"/>
              <a:t>全球</a:t>
            </a:r>
            <a:r>
              <a:rPr lang="zh-CN"/>
              <a:t>市场主要企业排名</a:t>
            </a:r>
            <a:endParaRPr lang="en-US"/>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企业收入!$I$1</c:f>
              <c:strCache>
                <c:ptCount val="1"/>
                <c:pt idx="0">
                  <c:v>2024</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Pt>
            <c:idx val="19"/>
            <c:invertIfNegative val="0"/>
            <c:bubble3D val="0"/>
            <c:spPr>
              <a:solidFill>
                <a:schemeClr val="accent2">
                  <a:lumMod val="80000"/>
                </a:schemeClr>
              </a:solidFill>
              <a:ln>
                <a:noFill/>
              </a:ln>
              <a:effectLst/>
            </c:spPr>
          </c:dPt>
          <c:dPt>
            <c:idx val="20"/>
            <c:invertIfNegative val="0"/>
            <c:bubble3D val="0"/>
            <c:spPr>
              <a:solidFill>
                <a:schemeClr val="accent3">
                  <a:lumMod val="80000"/>
                </a:schemeClr>
              </a:solidFill>
              <a:ln>
                <a:noFill/>
              </a:ln>
              <a:effectLst/>
            </c:spPr>
          </c:dPt>
          <c:dPt>
            <c:idx val="21"/>
            <c:invertIfNegative val="0"/>
            <c:bubble3D val="0"/>
            <c:spPr>
              <a:solidFill>
                <a:schemeClr val="accent4">
                  <a:lumMod val="80000"/>
                </a:schemeClr>
              </a:solidFill>
              <a:ln>
                <a:noFill/>
              </a:ln>
              <a:effectLst/>
            </c:spPr>
          </c:dPt>
          <c:dPt>
            <c:idx val="22"/>
            <c:invertIfNegative val="0"/>
            <c:bubble3D val="0"/>
            <c:spPr>
              <a:solidFill>
                <a:schemeClr val="accent5">
                  <a:lumMod val="80000"/>
                </a:schemeClr>
              </a:solidFill>
              <a:ln>
                <a:noFill/>
              </a:ln>
              <a:effectLst/>
            </c:spPr>
          </c:dPt>
          <c:dPt>
            <c:idx val="23"/>
            <c:invertIfNegative val="0"/>
            <c:bubble3D val="0"/>
            <c:spPr>
              <a:solidFill>
                <a:schemeClr val="accent6">
                  <a:lumMod val="80000"/>
                </a:schemeClr>
              </a:solidFill>
              <a:ln>
                <a:noFill/>
              </a:ln>
              <a:effectLst/>
            </c:spPr>
          </c:dPt>
          <c:dPt>
            <c:idx val="24"/>
            <c:invertIfNegative val="0"/>
            <c:bubble3D val="0"/>
            <c:spPr>
              <a:solidFill>
                <a:schemeClr val="accent1">
                  <a:lumMod val="60000"/>
                  <a:lumOff val="40000"/>
                </a:schemeClr>
              </a:solidFill>
              <a:ln>
                <a:noFill/>
              </a:ln>
              <a:effectLst/>
            </c:spPr>
          </c:dPt>
          <c:dPt>
            <c:idx val="25"/>
            <c:invertIfNegative val="0"/>
            <c:bubble3D val="0"/>
            <c:spPr>
              <a:solidFill>
                <a:schemeClr val="accent2">
                  <a:lumMod val="60000"/>
                  <a:lumOff val="40000"/>
                </a:schemeClr>
              </a:solidFill>
              <a:ln>
                <a:noFill/>
              </a:ln>
              <a:effectLst/>
            </c:spPr>
          </c:dPt>
          <c:dLbls>
            <c:delete val="1"/>
          </c:dLbls>
          <c:cat>
            <c:strRef>
              <c:f>企业收入!$H$2:$H$27</c:f>
              <c:strCache>
                <c:ptCount val="26"/>
                <c:pt idx="0">
                  <c:v>Stantec</c:v>
                </c:pt>
                <c:pt idx="1">
                  <c:v>WSP</c:v>
                </c:pt>
                <c:pt idx="2">
                  <c:v>HDR, Inc.</c:v>
                </c:pt>
                <c:pt idx="3">
                  <c:v>APTIM </c:v>
                </c:pt>
                <c:pt idx="4">
                  <c:v>Moffatt &amp; Nichol</c:v>
                </c:pt>
                <c:pt idx="5">
                  <c:v>LJA Engineering</c:v>
                </c:pt>
                <c:pt idx="6">
                  <c:v>PRDW</c:v>
                </c:pt>
                <c:pt idx="7">
                  <c:v>NIRAS </c:v>
                </c:pt>
                <c:pt idx="8">
                  <c:v>GZA GeoEnvironmental</c:v>
                </c:pt>
                <c:pt idx="9">
                  <c:v>Ayesa</c:v>
                </c:pt>
                <c:pt idx="10">
                  <c:v>RPS (Tetra Tech)</c:v>
                </c:pt>
                <c:pt idx="11">
                  <c:v>CH Fenstermaker &amp; Associates</c:v>
                </c:pt>
                <c:pt idx="12">
                  <c:v>Taylor Engineering</c:v>
                </c:pt>
                <c:pt idx="13">
                  <c:v>PND Engineers, Inc.</c:v>
                </c:pt>
                <c:pt idx="14">
                  <c:v>GEC Inc</c:v>
                </c:pt>
                <c:pt idx="15">
                  <c:v>McLaren (KCI)</c:v>
                </c:pt>
                <c:pt idx="16">
                  <c:v>NEEL-SCHAFFER</c:v>
                </c:pt>
                <c:pt idx="17">
                  <c:v>Northwest Hydraulic Consultants</c:v>
                </c:pt>
                <c:pt idx="18">
                  <c:v>Coastal Science &amp; Engineering</c:v>
                </c:pt>
                <c:pt idx="19">
                  <c:v>Ransom Consulting</c:v>
                </c:pt>
                <c:pt idx="20">
                  <c:v>Water Technology	</c:v>
                </c:pt>
                <c:pt idx="21">
                  <c:v>CWP Engineering</c:v>
                </c:pt>
                <c:pt idx="22">
                  <c:v>ACRI-IN</c:v>
                </c:pt>
                <c:pt idx="23">
                  <c:v>Hydro Technology Institute</c:v>
                </c:pt>
                <c:pt idx="24">
                  <c:v>Water Solutions</c:v>
                </c:pt>
                <c:pt idx="25">
                  <c:v>Zebec Marine Consultants and Services</c:v>
                </c:pt>
              </c:strCache>
            </c:strRef>
          </c:cat>
          <c:val>
            <c:numRef>
              <c:f>企业收入!$I$2:$I$27</c:f>
              <c:numCache>
                <c:formatCode>0.00%</c:formatCode>
                <c:ptCount val="26"/>
                <c:pt idx="0">
                  <c:v>0.1072</c:v>
                </c:pt>
                <c:pt idx="1">
                  <c:v>0.0857</c:v>
                </c:pt>
                <c:pt idx="2">
                  <c:v>0.0712</c:v>
                </c:pt>
                <c:pt idx="3">
                  <c:v>0.0603</c:v>
                </c:pt>
                <c:pt idx="4">
                  <c:v>0.0521</c:v>
                </c:pt>
                <c:pt idx="5">
                  <c:v>0.044</c:v>
                </c:pt>
                <c:pt idx="6">
                  <c:v>0.0407</c:v>
                </c:pt>
                <c:pt idx="7">
                  <c:v>0.0304</c:v>
                </c:pt>
                <c:pt idx="8">
                  <c:v>0.0252</c:v>
                </c:pt>
                <c:pt idx="9">
                  <c:v>0.0183</c:v>
                </c:pt>
                <c:pt idx="10">
                  <c:v>0.0186</c:v>
                </c:pt>
                <c:pt idx="11">
                  <c:v>0.0174</c:v>
                </c:pt>
                <c:pt idx="12">
                  <c:v>0.0156</c:v>
                </c:pt>
                <c:pt idx="13">
                  <c:v>0.0115</c:v>
                </c:pt>
                <c:pt idx="14">
                  <c:v>0.0112</c:v>
                </c:pt>
                <c:pt idx="15">
                  <c:v>0.0079</c:v>
                </c:pt>
                <c:pt idx="16">
                  <c:v>0.0064</c:v>
                </c:pt>
                <c:pt idx="17">
                  <c:v>0.0069</c:v>
                </c:pt>
                <c:pt idx="18">
                  <c:v>0.0062</c:v>
                </c:pt>
                <c:pt idx="19">
                  <c:v>0.0068</c:v>
                </c:pt>
                <c:pt idx="20">
                  <c:v>0.0048</c:v>
                </c:pt>
                <c:pt idx="21">
                  <c:v>0.0033</c:v>
                </c:pt>
                <c:pt idx="22">
                  <c:v>0.0015</c:v>
                </c:pt>
                <c:pt idx="23">
                  <c:v>0.0014</c:v>
                </c:pt>
                <c:pt idx="24">
                  <c:v>0.001</c:v>
                </c:pt>
                <c:pt idx="25">
                  <c:v>0.0009</c:v>
                </c:pt>
              </c:numCache>
            </c:numRef>
          </c:val>
        </c:ser>
        <c:dLbls>
          <c:showLegendKey val="0"/>
          <c:showVal val="0"/>
          <c:showCatName val="0"/>
          <c:showSerName val="0"/>
          <c:showPercent val="0"/>
          <c:showBubbleSize val="0"/>
        </c:dLbls>
        <c:gapWidth val="45"/>
        <c:axId val="1272139183"/>
        <c:axId val="1326546959"/>
      </c:barChart>
      <c:catAx>
        <c:axId val="1272139183"/>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mn-cs"/>
              </a:defRPr>
            </a:pPr>
          </a:p>
        </c:txPr>
        <c:crossAx val="1326546959"/>
        <c:crosses val="autoZero"/>
        <c:auto val="1"/>
        <c:lblAlgn val="ctr"/>
        <c:lblOffset val="100"/>
        <c:noMultiLvlLbl val="0"/>
      </c:catAx>
      <c:valAx>
        <c:axId val="1326546959"/>
        <c:scaling>
          <c:orientation val="minMax"/>
        </c:scaling>
        <c:delete val="0"/>
        <c:axPos val="t"/>
        <c:majorGridlines>
          <c:spPr>
            <a:ln w="9525" cap="flat" cmpd="sng" algn="ctr">
              <a:noFill/>
              <a:round/>
            </a:ln>
            <a:effectLst/>
          </c:spPr>
        </c:majorGridlines>
        <c:numFmt formatCode="0.0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Times New Roman" panose="02020603050405020304" charset="0"/>
                <a:ea typeface="宋体" panose="02010600030101010101" charset="-122"/>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10e14ac4-33cb-4f85-8576-c10bf3a03a16}"/>
      </c:ext>
    </c:extLst>
  </c:chart>
  <c:spPr>
    <a:solidFill>
      <a:schemeClr val="bg1"/>
    </a:solidFill>
    <a:ln w="9525" cap="flat" cmpd="sng" algn="ctr">
      <a:noFill/>
      <a:round/>
    </a:ln>
    <a:effectLst/>
  </c:spPr>
  <c:txPr>
    <a:bodyPr/>
    <a:lstStyle/>
    <a:p>
      <a:pPr>
        <a:defRPr lang="zh-CN" baseline="0">
          <a:solidFill>
            <a:sysClr val="windowText" lastClr="000000"/>
          </a:solidFill>
          <a:latin typeface="Times New Roman" panose="02020603050405020304" charset="0"/>
          <a:ea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分类!$R$2</c:f>
              <c:strCache>
                <c:ptCount val="1"/>
                <c:pt idx="0">
                  <c:v>海岸工程设计</c:v>
                </c:pt>
              </c:strCache>
            </c:strRef>
          </c:tx>
          <c:spPr>
            <a:solidFill>
              <a:srgbClr val="002060"/>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分类!$S$2:$AD$2</c:f>
              <c:numCache>
                <c:formatCode>0.00%</c:formatCode>
                <c:ptCount val="12"/>
                <c:pt idx="0">
                  <c:v>0.38889304506122</c:v>
                </c:pt>
                <c:pt idx="1">
                  <c:v>0.387195832186196</c:v>
                </c:pt>
                <c:pt idx="2">
                  <c:v>0.394839099105897</c:v>
                </c:pt>
                <c:pt idx="3">
                  <c:v>0.400322869325659</c:v>
                </c:pt>
                <c:pt idx="4">
                  <c:v>0.401217706104986</c:v>
                </c:pt>
                <c:pt idx="5">
                  <c:v>0.403755868544601</c:v>
                </c:pt>
                <c:pt idx="6">
                  <c:v>0.403163522946681</c:v>
                </c:pt>
                <c:pt idx="7">
                  <c:v>0.407948161744257</c:v>
                </c:pt>
                <c:pt idx="8">
                  <c:v>0.417303201804726</c:v>
                </c:pt>
                <c:pt idx="9">
                  <c:v>0.418772060777045</c:v>
                </c:pt>
                <c:pt idx="10">
                  <c:v>0.41645494936846</c:v>
                </c:pt>
                <c:pt idx="11">
                  <c:v>0.417973046197651</c:v>
                </c:pt>
              </c:numCache>
            </c:numRef>
          </c:val>
        </c:ser>
        <c:ser>
          <c:idx val="1"/>
          <c:order val="1"/>
          <c:tx>
            <c:strRef>
              <c:f>分类!$R$3</c:f>
              <c:strCache>
                <c:ptCount val="1"/>
                <c:pt idx="0">
                  <c:v>海岸环境保护</c:v>
                </c:pt>
              </c:strCache>
            </c:strRef>
          </c:tx>
          <c:spPr>
            <a:solidFill>
              <a:schemeClr val="bg1">
                <a:lumMod val="50000"/>
              </a:schemeClr>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分类!$S$3:$AD$3</c:f>
              <c:numCache>
                <c:formatCode>0.00%</c:formatCode>
                <c:ptCount val="12"/>
                <c:pt idx="0">
                  <c:v>0.266975885888132</c:v>
                </c:pt>
                <c:pt idx="1">
                  <c:v>0.271755013871535</c:v>
                </c:pt>
                <c:pt idx="2">
                  <c:v>0.270494586335685</c:v>
                </c:pt>
                <c:pt idx="3">
                  <c:v>0.266103984979557</c:v>
                </c:pt>
                <c:pt idx="4">
                  <c:v>0.265657396741813</c:v>
                </c:pt>
                <c:pt idx="5">
                  <c:v>0.262565358707429</c:v>
                </c:pt>
                <c:pt idx="6">
                  <c:v>0.262111985741868</c:v>
                </c:pt>
                <c:pt idx="7">
                  <c:v>0.259024417375827</c:v>
                </c:pt>
                <c:pt idx="8">
                  <c:v>0.253413543356948</c:v>
                </c:pt>
                <c:pt idx="9">
                  <c:v>0.252900320078944</c:v>
                </c:pt>
                <c:pt idx="10">
                  <c:v>0.257420139432397</c:v>
                </c:pt>
                <c:pt idx="11">
                  <c:v>0.253746188400592</c:v>
                </c:pt>
              </c:numCache>
            </c:numRef>
          </c:val>
        </c:ser>
        <c:ser>
          <c:idx val="2"/>
          <c:order val="2"/>
          <c:tx>
            <c:strRef>
              <c:f>分类!$R$4</c:f>
              <c:strCache>
                <c:ptCount val="1"/>
                <c:pt idx="0">
                  <c:v>海洋能源开发</c:v>
                </c:pt>
              </c:strCache>
            </c:strRef>
          </c:tx>
          <c:spPr>
            <a:solidFill>
              <a:schemeClr val="accent3"/>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分类!$S$4:$AD$4</c:f>
              <c:numCache>
                <c:formatCode>0.00%</c:formatCode>
                <c:ptCount val="12"/>
                <c:pt idx="0">
                  <c:v>0.161841350589761</c:v>
                </c:pt>
                <c:pt idx="1">
                  <c:v>0.16012622037739</c:v>
                </c:pt>
                <c:pt idx="2">
                  <c:v>0.15686422454446</c:v>
                </c:pt>
                <c:pt idx="3">
                  <c:v>0.15857446173823</c:v>
                </c:pt>
                <c:pt idx="4">
                  <c:v>0.15892710218858</c:v>
                </c:pt>
                <c:pt idx="5">
                  <c:v>0.160817749305196</c:v>
                </c:pt>
                <c:pt idx="6">
                  <c:v>0.162750631219367</c:v>
                </c:pt>
                <c:pt idx="7">
                  <c:v>0.163093053006285</c:v>
                </c:pt>
                <c:pt idx="8">
                  <c:v>0.161792060790755</c:v>
                </c:pt>
                <c:pt idx="9">
                  <c:v>0.162126943562365</c:v>
                </c:pt>
                <c:pt idx="10">
                  <c:v>0.162478477080348</c:v>
                </c:pt>
                <c:pt idx="11">
                  <c:v>0.163973378925145</c:v>
                </c:pt>
              </c:numCache>
            </c:numRef>
          </c:val>
        </c:ser>
        <c:ser>
          <c:idx val="3"/>
          <c:order val="3"/>
          <c:tx>
            <c:strRef>
              <c:f>分类!$R$5</c:f>
              <c:strCache>
                <c:ptCount val="1"/>
                <c:pt idx="0">
                  <c:v>灾害风险评估</c:v>
                </c:pt>
              </c:strCache>
            </c:strRef>
          </c:tx>
          <c:spPr>
            <a:solidFill>
              <a:schemeClr val="accent4"/>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分类!$S$5:$AD$5</c:f>
              <c:numCache>
                <c:formatCode>0.00%</c:formatCode>
                <c:ptCount val="12"/>
                <c:pt idx="0">
                  <c:v>0.117952170768809</c:v>
                </c:pt>
                <c:pt idx="1">
                  <c:v>0.117240941146572</c:v>
                </c:pt>
                <c:pt idx="2">
                  <c:v>0.115120534198514</c:v>
                </c:pt>
                <c:pt idx="3">
                  <c:v>0.113390303391883</c:v>
                </c:pt>
                <c:pt idx="4">
                  <c:v>0.112703636662827</c:v>
                </c:pt>
                <c:pt idx="5">
                  <c:v>0.110933157473268</c:v>
                </c:pt>
                <c:pt idx="6">
                  <c:v>0.110248032080796</c:v>
                </c:pt>
                <c:pt idx="7">
                  <c:v>0.108459869848156</c:v>
                </c:pt>
                <c:pt idx="8">
                  <c:v>0.10564504426063</c:v>
                </c:pt>
                <c:pt idx="9">
                  <c:v>0.104006679908404</c:v>
                </c:pt>
                <c:pt idx="10">
                  <c:v>0.102334709997471</c:v>
                </c:pt>
                <c:pt idx="11">
                  <c:v>0.100458779854627</c:v>
                </c:pt>
              </c:numCache>
            </c:numRef>
          </c:val>
        </c:ser>
        <c:ser>
          <c:idx val="4"/>
          <c:order val="4"/>
          <c:tx>
            <c:strRef>
              <c:f>分类!$R$6</c:f>
              <c:strCache>
                <c:ptCount val="1"/>
                <c:pt idx="0">
                  <c:v>其他</c:v>
                </c:pt>
              </c:strCache>
            </c:strRef>
          </c:tx>
          <c:spPr>
            <a:solidFill>
              <a:schemeClr val="accent5"/>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分类!$S$6:$AD$6</c:f>
              <c:numCache>
                <c:formatCode>0.00%</c:formatCode>
                <c:ptCount val="12"/>
                <c:pt idx="0">
                  <c:v>0.0643375476920775</c:v>
                </c:pt>
                <c:pt idx="1">
                  <c:v>0.0636819924183062</c:v>
                </c:pt>
                <c:pt idx="2">
                  <c:v>0.062681555815445</c:v>
                </c:pt>
                <c:pt idx="3">
                  <c:v>0.0616083805646704</c:v>
                </c:pt>
                <c:pt idx="4">
                  <c:v>0.0614941583017936</c:v>
                </c:pt>
                <c:pt idx="5">
                  <c:v>0.0619278659695071</c:v>
                </c:pt>
                <c:pt idx="6">
                  <c:v>0.0617258280112877</c:v>
                </c:pt>
                <c:pt idx="7">
                  <c:v>0.0614744980254742</c:v>
                </c:pt>
                <c:pt idx="8">
                  <c:v>0.0618461497869421</c:v>
                </c:pt>
                <c:pt idx="9">
                  <c:v>0.0621939956732411</c:v>
                </c:pt>
                <c:pt idx="10">
                  <c:v>0.0613117241213231</c:v>
                </c:pt>
                <c:pt idx="11">
                  <c:v>0.063848606621986</c:v>
                </c:pt>
              </c:numCache>
            </c:numRef>
          </c:val>
        </c:ser>
        <c:ser>
          <c:idx val="5"/>
          <c:order val="5"/>
          <c:tx>
            <c:strRef>
              <c:f>分类!$R$7</c:f>
              <c:strCache>
                <c:ptCount val="1"/>
                <c:pt idx="0">
                  <c:v>0</c:v>
                </c:pt>
              </c:strCache>
            </c:strRef>
          </c:tx>
          <c:spPr>
            <a:solidFill>
              <a:schemeClr val="accent6"/>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分类!$S$7:$AD$7</c:f>
            </c:numRef>
          </c:val>
        </c:ser>
        <c:ser>
          <c:idx val="6"/>
          <c:order val="6"/>
          <c:tx>
            <c:strRef>
              <c:f>分类!$R$8</c:f>
              <c:strCache>
                <c:ptCount val="1"/>
                <c:pt idx="0">
                  <c:v>0</c:v>
                </c:pt>
              </c:strCache>
            </c:strRef>
          </c:tx>
          <c:spPr>
            <a:solidFill>
              <a:schemeClr val="accent1">
                <a:lumMod val="60000"/>
              </a:schemeClr>
            </a:solidFill>
            <a:ln>
              <a:noFill/>
            </a:ln>
            <a:effectLst/>
          </c:spPr>
          <c:invertIfNegative val="0"/>
          <c:dLbls>
            <c:delete val="1"/>
          </c:dLbls>
          <c:cat>
            <c:strRef>
              <c:f>分类!$S$1:$AD$1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分类!$S$8:$AD$8</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d24e1f39-8ea0-4a46-aebc-9914e9be2ac3}"/>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33271016533186"/>
          <c:y val="0.03175"/>
          <c:w val="0.897009594053696"/>
          <c:h val="0.755441666666667"/>
        </c:manualLayout>
      </c:layout>
      <c:barChart>
        <c:barDir val="col"/>
        <c:grouping val="stacked"/>
        <c:varyColors val="0"/>
        <c:ser>
          <c:idx val="0"/>
          <c:order val="0"/>
          <c:tx>
            <c:strRef>
              <c:f>应用!$A$2</c:f>
              <c:strCache>
                <c:ptCount val="1"/>
                <c:pt idx="0">
                  <c:v>政府</c:v>
                </c:pt>
              </c:strCache>
            </c:strRef>
          </c:tx>
          <c:spPr>
            <a:solidFill>
              <a:srgbClr val="002060"/>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应用!$B$2:$M$2</c:f>
              <c:numCache>
                <c:formatCode>#,##0.00_);[Red]\(#,##0.00\)</c:formatCode>
                <c:ptCount val="12"/>
                <c:pt idx="0">
                  <c:v>229.53</c:v>
                </c:pt>
                <c:pt idx="1">
                  <c:v>275.23</c:v>
                </c:pt>
                <c:pt idx="2">
                  <c:v>313.98</c:v>
                </c:pt>
                <c:pt idx="3">
                  <c:v>334.76</c:v>
                </c:pt>
                <c:pt idx="4">
                  <c:v>357.47</c:v>
                </c:pt>
                <c:pt idx="5">
                  <c:v>373.68</c:v>
                </c:pt>
                <c:pt idx="6">
                  <c:v>398.21</c:v>
                </c:pt>
                <c:pt idx="7">
                  <c:v>427.94</c:v>
                </c:pt>
                <c:pt idx="8">
                  <c:v>455.13</c:v>
                </c:pt>
                <c:pt idx="9">
                  <c:v>475.03</c:v>
                </c:pt>
                <c:pt idx="10">
                  <c:v>505.79</c:v>
                </c:pt>
                <c:pt idx="11">
                  <c:v>528.725787338798</c:v>
                </c:pt>
              </c:numCache>
            </c:numRef>
          </c:val>
        </c:ser>
        <c:ser>
          <c:idx val="1"/>
          <c:order val="1"/>
          <c:tx>
            <c:strRef>
              <c:f>应用!$A$3</c:f>
              <c:strCache>
                <c:ptCount val="1"/>
                <c:pt idx="0">
                  <c:v>企业</c:v>
                </c:pt>
              </c:strCache>
            </c:strRef>
          </c:tx>
          <c:spPr>
            <a:solidFill>
              <a:schemeClr val="bg1">
                <a:lumMod val="5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应用!$B$3:$M$3</c:f>
              <c:numCache>
                <c:formatCode>#,##0.00_);[Red]\(#,##0.00\)</c:formatCode>
                <c:ptCount val="12"/>
                <c:pt idx="0">
                  <c:v>125.99</c:v>
                </c:pt>
                <c:pt idx="1">
                  <c:v>144.37</c:v>
                </c:pt>
                <c:pt idx="2">
                  <c:v>157.12</c:v>
                </c:pt>
                <c:pt idx="3">
                  <c:v>172.32</c:v>
                </c:pt>
                <c:pt idx="4">
                  <c:v>183.79</c:v>
                </c:pt>
                <c:pt idx="5">
                  <c:v>194.46</c:v>
                </c:pt>
                <c:pt idx="6">
                  <c:v>203.36</c:v>
                </c:pt>
                <c:pt idx="7">
                  <c:v>214.83</c:v>
                </c:pt>
                <c:pt idx="8">
                  <c:v>221.77</c:v>
                </c:pt>
                <c:pt idx="9">
                  <c:v>231.08</c:v>
                </c:pt>
                <c:pt idx="10">
                  <c:v>237.72</c:v>
                </c:pt>
                <c:pt idx="11">
                  <c:v>251.520927145111</c:v>
                </c:pt>
              </c:numCache>
            </c:numRef>
          </c:val>
        </c:ser>
        <c:ser>
          <c:idx val="2"/>
          <c:order val="2"/>
          <c:tx>
            <c:strRef>
              <c:f>应用!$A$4</c:f>
              <c:strCache>
                <c:ptCount val="1"/>
                <c:pt idx="0">
                  <c:v>非营利性组织</c:v>
                </c:pt>
              </c:strCache>
            </c:strRef>
          </c:tx>
          <c:spPr>
            <a:solidFill>
              <a:schemeClr val="accent6">
                <a:lumMod val="75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应用!$B$4:$M$4</c:f>
              <c:numCache>
                <c:formatCode>#,##0.00_);[Red]\(#,##0.00\)</c:formatCode>
                <c:ptCount val="12"/>
                <c:pt idx="0">
                  <c:v>22.6</c:v>
                </c:pt>
                <c:pt idx="1">
                  <c:v>26.24</c:v>
                </c:pt>
                <c:pt idx="2">
                  <c:v>29.36</c:v>
                </c:pt>
                <c:pt idx="3">
                  <c:v>31.45</c:v>
                </c:pt>
                <c:pt idx="4">
                  <c:v>33.24</c:v>
                </c:pt>
                <c:pt idx="5">
                  <c:v>33.83</c:v>
                </c:pt>
                <c:pt idx="6">
                  <c:v>35.09</c:v>
                </c:pt>
                <c:pt idx="7">
                  <c:v>37.14</c:v>
                </c:pt>
                <c:pt idx="8">
                  <c:v>39.19</c:v>
                </c:pt>
                <c:pt idx="9">
                  <c:v>40.47</c:v>
                </c:pt>
                <c:pt idx="10">
                  <c:v>41.71</c:v>
                </c:pt>
                <c:pt idx="11">
                  <c:v>42.4503399518652</c:v>
                </c:pt>
              </c:numCache>
            </c:numRef>
          </c:val>
        </c:ser>
        <c:ser>
          <c:idx val="3"/>
          <c:order val="3"/>
          <c:tx>
            <c:strRef>
              <c:f>应用!$A$5</c:f>
              <c:strCache>
                <c:ptCount val="1"/>
                <c:pt idx="0">
                  <c:v>其他</c:v>
                </c:pt>
              </c:strCache>
            </c:strRef>
          </c:tx>
          <c:spPr>
            <a:solidFill>
              <a:schemeClr val="tx2">
                <a:lumMod val="60000"/>
                <a:lumOff val="4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应用!$B$5:$M$5</c:f>
              <c:numCache>
                <c:formatCode>#,##0.00_);[Red]\(#,##0.00\)</c:formatCode>
                <c:ptCount val="12"/>
                <c:pt idx="0">
                  <c:v>22.89</c:v>
                </c:pt>
                <c:pt idx="1">
                  <c:v>26.35</c:v>
                </c:pt>
                <c:pt idx="2">
                  <c:v>29.68</c:v>
                </c:pt>
                <c:pt idx="3">
                  <c:v>31.36</c:v>
                </c:pt>
                <c:pt idx="4">
                  <c:v>33.2</c:v>
                </c:pt>
                <c:pt idx="5">
                  <c:v>34.9</c:v>
                </c:pt>
                <c:pt idx="6">
                  <c:v>36.64</c:v>
                </c:pt>
                <c:pt idx="7">
                  <c:v>39.25</c:v>
                </c:pt>
                <c:pt idx="8">
                  <c:v>41.92</c:v>
                </c:pt>
                <c:pt idx="9">
                  <c:v>43.85</c:v>
                </c:pt>
                <c:pt idx="10">
                  <c:v>45.29</c:v>
                </c:pt>
                <c:pt idx="11">
                  <c:v>50.002853564226</c:v>
                </c:pt>
              </c:numCache>
            </c:numRef>
          </c:val>
        </c:ser>
        <c:ser>
          <c:idx val="4"/>
          <c:order val="4"/>
          <c:tx>
            <c:strRef>
              <c:f>应用!$A$6</c:f>
              <c:strCache>
                <c:ptCount val="1"/>
                <c:pt idx="0">
                  <c:v/>
                </c:pt>
              </c:strCache>
            </c:strRef>
          </c:tx>
          <c:spPr>
            <a:solidFill>
              <a:schemeClr val="accent1">
                <a:lumMod val="75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应用!$B$6:$M$6</c:f>
            </c:numRef>
          </c:val>
        </c:ser>
        <c:ser>
          <c:idx val="5"/>
          <c:order val="5"/>
          <c:tx>
            <c:strRef>
              <c:f>应用!$A$7</c:f>
              <c:strCache>
                <c:ptCount val="1"/>
                <c:pt idx="0">
                  <c:v/>
                </c:pt>
              </c:strCache>
            </c:strRef>
          </c:tx>
          <c:spPr>
            <a:solidFill>
              <a:schemeClr val="accent4">
                <a:lumMod val="60000"/>
                <a:lumOff val="4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应用!$B$7:$M$7</c:f>
            </c:numRef>
          </c:val>
        </c:ser>
        <c:ser>
          <c:idx val="6"/>
          <c:order val="6"/>
          <c:tx>
            <c:strRef>
              <c:f>应用!$A$8</c:f>
              <c:strCache>
                <c:ptCount val="1"/>
                <c:pt idx="0">
                  <c:v/>
                </c:pt>
              </c:strCache>
            </c:strRef>
          </c:tx>
          <c:spPr>
            <a:solidFill>
              <a:schemeClr val="accent2">
                <a:lumMod val="60000"/>
                <a:lumOff val="4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合计</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strRef>
              <c:f>应用!$B$1:$M$1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应用!$B$11:$M$11</c:f>
              <c:numCache>
                <c:formatCode>#,##0.00_ </c:formatCode>
                <c:ptCount val="12"/>
                <c:pt idx="0">
                  <c:v>401.01</c:v>
                </c:pt>
                <c:pt idx="1">
                  <c:v>472.19</c:v>
                </c:pt>
                <c:pt idx="2">
                  <c:v>530.14</c:v>
                </c:pt>
                <c:pt idx="3">
                  <c:v>569.89</c:v>
                </c:pt>
                <c:pt idx="4">
                  <c:v>607.7</c:v>
                </c:pt>
                <c:pt idx="5">
                  <c:v>636.87</c:v>
                </c:pt>
                <c:pt idx="6">
                  <c:v>673.3</c:v>
                </c:pt>
                <c:pt idx="7">
                  <c:v>719.16</c:v>
                </c:pt>
                <c:pt idx="8">
                  <c:v>758.01</c:v>
                </c:pt>
                <c:pt idx="9">
                  <c:v>790.43</c:v>
                </c:pt>
                <c:pt idx="10">
                  <c:v>830.51</c:v>
                </c:pt>
                <c:pt idx="11">
                  <c:v>872.699908</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3efd470c-4bac-4492-acb0-00e75aa316bd}"/>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美洲</c:v>
                </c:pt>
              </c:strCache>
            </c:strRef>
          </c:tx>
          <c:spPr>
            <a:solidFill>
              <a:srgbClr val="002060"/>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'地区-消费'!$B$2:$M$2</c:f>
              <c:numCache>
                <c:formatCode>#,##0.00_);[Red]\(#,##0.00\)</c:formatCode>
                <c:ptCount val="12"/>
                <c:pt idx="0">
                  <c:v>148.18</c:v>
                </c:pt>
                <c:pt idx="1">
                  <c:v>178.7</c:v>
                </c:pt>
                <c:pt idx="2">
                  <c:v>203.09</c:v>
                </c:pt>
                <c:pt idx="3">
                  <c:v>215.61</c:v>
                </c:pt>
                <c:pt idx="4">
                  <c:v>230.54</c:v>
                </c:pt>
                <c:pt idx="5">
                  <c:v>240.04</c:v>
                </c:pt>
                <c:pt idx="6">
                  <c:v>251.8</c:v>
                </c:pt>
                <c:pt idx="7">
                  <c:v>266.45</c:v>
                </c:pt>
                <c:pt idx="8">
                  <c:v>278.71</c:v>
                </c:pt>
                <c:pt idx="9">
                  <c:v>288.84</c:v>
                </c:pt>
                <c:pt idx="10">
                  <c:v>301.26</c:v>
                </c:pt>
                <c:pt idx="11">
                  <c:v>313.674201440097</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'地区-消费'!$B$3:$M$3</c:f>
              <c:numCache>
                <c:formatCode>#,##0.00_);[Red]\(#,##0.00\)</c:formatCode>
                <c:ptCount val="12"/>
                <c:pt idx="0">
                  <c:v>115.93</c:v>
                </c:pt>
                <c:pt idx="1">
                  <c:v>128.61</c:v>
                </c:pt>
                <c:pt idx="2">
                  <c:v>145.82</c:v>
                </c:pt>
                <c:pt idx="3">
                  <c:v>160.17</c:v>
                </c:pt>
                <c:pt idx="4">
                  <c:v>168.26</c:v>
                </c:pt>
                <c:pt idx="5">
                  <c:v>175</c:v>
                </c:pt>
                <c:pt idx="6">
                  <c:v>183.34</c:v>
                </c:pt>
                <c:pt idx="7">
                  <c:v>193.72</c:v>
                </c:pt>
                <c:pt idx="8">
                  <c:v>202.39</c:v>
                </c:pt>
                <c:pt idx="9">
                  <c:v>209.54</c:v>
                </c:pt>
                <c:pt idx="10">
                  <c:v>218.3</c:v>
                </c:pt>
                <c:pt idx="11">
                  <c:v>227.044455010103</c:v>
                </c:pt>
              </c:numCache>
            </c:numRef>
          </c:val>
        </c:ser>
        <c:ser>
          <c:idx val="2"/>
          <c:order val="2"/>
          <c:tx>
            <c:strRef>
              <c:f>'地区-消费'!$A$4</c:f>
              <c:strCache>
                <c:ptCount val="1"/>
                <c:pt idx="0">
                  <c:v>亚太</c:v>
                </c:pt>
              </c:strCache>
            </c:strRef>
          </c:tx>
          <c:spPr>
            <a:solidFill>
              <a:schemeClr val="accent3"/>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'地区-消费'!$B$4:$M$4</c:f>
              <c:numCache>
                <c:formatCode>#,##0.00_);[Red]\(#,##0.00\)</c:formatCode>
                <c:ptCount val="12"/>
                <c:pt idx="0">
                  <c:v>123.28</c:v>
                </c:pt>
                <c:pt idx="1">
                  <c:v>147.83</c:v>
                </c:pt>
                <c:pt idx="2">
                  <c:v>161.66</c:v>
                </c:pt>
                <c:pt idx="3">
                  <c:v>173.13</c:v>
                </c:pt>
                <c:pt idx="4">
                  <c:v>187.05</c:v>
                </c:pt>
                <c:pt idx="5">
                  <c:v>198.99</c:v>
                </c:pt>
                <c:pt idx="6">
                  <c:v>214.09</c:v>
                </c:pt>
                <c:pt idx="7">
                  <c:v>233.38</c:v>
                </c:pt>
                <c:pt idx="8">
                  <c:v>250.01</c:v>
                </c:pt>
                <c:pt idx="9">
                  <c:v>264.08</c:v>
                </c:pt>
                <c:pt idx="10">
                  <c:v>281.66</c:v>
                </c:pt>
                <c:pt idx="11">
                  <c:v>299.639259021652</c:v>
                </c:pt>
              </c:numCache>
            </c:numRef>
          </c:val>
        </c:ser>
        <c:ser>
          <c:idx val="3"/>
          <c:order val="3"/>
          <c:tx>
            <c:strRef>
              <c:f>'地区-消费'!$A$5</c:f>
              <c:strCache>
                <c:ptCount val="1"/>
                <c:pt idx="0">
                  <c:v>中东和非洲</c:v>
                </c:pt>
              </c:strCache>
            </c:strRef>
          </c:tx>
          <c:spPr>
            <a:solidFill>
              <a:schemeClr val="accent4"/>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'地区-消费'!$B$5:$M$5</c:f>
              <c:numCache>
                <c:formatCode>#,##0.00_);[Red]\(#,##0.00\)</c:formatCode>
                <c:ptCount val="12"/>
                <c:pt idx="0">
                  <c:v>13.62</c:v>
                </c:pt>
                <c:pt idx="1">
                  <c:v>17.05</c:v>
                </c:pt>
                <c:pt idx="2">
                  <c:v>19.57</c:v>
                </c:pt>
                <c:pt idx="3">
                  <c:v>20.98</c:v>
                </c:pt>
                <c:pt idx="4">
                  <c:v>21.85</c:v>
                </c:pt>
                <c:pt idx="5">
                  <c:v>22.84</c:v>
                </c:pt>
                <c:pt idx="6">
                  <c:v>24.07</c:v>
                </c:pt>
                <c:pt idx="7">
                  <c:v>25.61</c:v>
                </c:pt>
                <c:pt idx="8">
                  <c:v>26.9</c:v>
                </c:pt>
                <c:pt idx="9">
                  <c:v>27.97</c:v>
                </c:pt>
                <c:pt idx="10">
                  <c:v>29.29</c:v>
                </c:pt>
                <c:pt idx="11">
                  <c:v>32.3419925281474</c:v>
                </c:pt>
              </c:numCache>
            </c:numRef>
          </c:val>
        </c:ser>
        <c:ser>
          <c:idx val="4"/>
          <c:order val="4"/>
          <c:tx>
            <c:strRef>
              <c:f>'地区-消费'!$A$6</c:f>
              <c:strCache>
                <c:ptCount val="1"/>
                <c:pt idx="0">
                  <c:v/>
                </c:pt>
              </c:strCache>
            </c:strRef>
          </c:tx>
          <c:spPr>
            <a:solidFill>
              <a:schemeClr val="accent5"/>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'地区-消费'!$B$6:$M$6</c:f>
            </c:numRef>
          </c:val>
        </c:ser>
        <c:ser>
          <c:idx val="5"/>
          <c:order val="5"/>
          <c:tx>
            <c:strRef>
              <c:f>'地区-消费'!$A$7</c:f>
              <c:strCache>
                <c:ptCount val="1"/>
                <c:pt idx="0">
                  <c:v/>
                </c:pt>
              </c:strCache>
            </c:strRef>
          </c:tx>
          <c:spPr>
            <a:solidFill>
              <a:schemeClr val="accent6"/>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'地区-消费'!$B$7:$M$7</c:f>
            </c:numRef>
          </c:val>
        </c:ser>
        <c:ser>
          <c:idx val="6"/>
          <c:order val="6"/>
          <c:tx>
            <c:strRef>
              <c:f>'地区-消费'!$A$8</c:f>
              <c:strCache>
                <c:ptCount val="1"/>
                <c:pt idx="0">
                  <c:v>0</c:v>
                </c:pt>
              </c:strCache>
            </c:strRef>
          </c:tx>
          <c:spPr>
            <a:solidFill>
              <a:schemeClr val="accent1">
                <a:lumMod val="60000"/>
              </a:schemeClr>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'地区-消费'!$B$8:$M$8</c:f>
            </c:numRef>
          </c:val>
        </c:ser>
        <c:ser>
          <c:idx val="7"/>
          <c:order val="7"/>
          <c:tx>
            <c:strRef>
              <c:f>'地区-消费'!$A$9</c:f>
              <c:strCache>
                <c:ptCount val="1"/>
                <c:pt idx="0">
                  <c:v>Middle East &amp; Africa</c:v>
                </c:pt>
              </c:strCache>
            </c:strRef>
          </c:tx>
          <c:spPr>
            <a:solidFill>
              <a:schemeClr val="accent2">
                <a:lumMod val="60000"/>
              </a:schemeClr>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'地区-消费'!$B$9:$M$9</c:f>
            </c:numRef>
          </c:val>
        </c:ser>
        <c:ser>
          <c:idx val="8"/>
          <c:order val="8"/>
          <c:tx>
            <c:strRef>
              <c:f>'地区-消费'!$A$10</c:f>
              <c:strCache>
                <c:ptCount val="1"/>
                <c:pt idx="0">
                  <c:v/>
                </c:pt>
              </c:strCache>
            </c:strRef>
          </c:tx>
          <c:spPr>
            <a:solidFill>
              <a:schemeClr val="accent3">
                <a:lumMod val="60000"/>
              </a:schemeClr>
            </a:solidFill>
            <a:ln>
              <a:noFill/>
            </a:ln>
            <a:effectLst/>
          </c:spPr>
          <c:invertIfNegative val="0"/>
          <c:dLbls>
            <c:delete val="1"/>
          </c:dLbls>
          <c:cat>
            <c:strRef>
              <c:f>'地区-消费'!$B$1:$M$1</c:f>
              <c:strCache>
                <c:ptCount val="12"/>
                <c:pt idx="0">
                  <c:v>2020</c:v>
                </c:pt>
                <c:pt idx="1">
                  <c:v>2021</c:v>
                </c:pt>
                <c:pt idx="2">
                  <c:v>2022</c:v>
                </c:pt>
                <c:pt idx="3">
                  <c:v>2023</c:v>
                </c:pt>
                <c:pt idx="4">
                  <c:v>2024</c:v>
                </c:pt>
                <c:pt idx="5">
                  <c:v>2025e</c:v>
                </c:pt>
                <c:pt idx="6">
                  <c:v>2026f</c:v>
                </c:pt>
                <c:pt idx="7">
                  <c:v>2027f</c:v>
                </c:pt>
                <c:pt idx="8">
                  <c:v>2028f</c:v>
                </c:pt>
                <c:pt idx="9">
                  <c:v>2029f</c:v>
                </c:pt>
                <c:pt idx="10">
                  <c:v>2030f</c:v>
                </c:pt>
                <c:pt idx="11">
                  <c:v>2031f</c:v>
                </c:pt>
              </c:strCache>
            </c:strRef>
          </c:cat>
          <c:val>
            <c:numRef>
              <c:f>'地区-消费'!$B$10:$M$10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310a06c9-4724-4564-a67a-2639d6e72ccc}"/>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7</Pages>
  <Words>2982</Words>
  <Characters>3135</Characters>
  <Lines>71</Lines>
  <Paragraphs>46</Paragraphs>
  <TotalTime>25</TotalTime>
  <ScaleCrop>false</ScaleCrop>
  <LinksUpToDate>false</LinksUpToDate>
  <CharactersWithSpaces>3152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2025-10-17T07:42:00Z</dcterms:created>
  <dc:creator>yangj</dc:creator>
  <cp:lastModifiedBy>鼕鼕</cp:lastModifiedBy>
  <dcterms:modified xsi:type="dcterms:W3CDTF">2025-11-18T08:26:18Z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2052-12.1.0.23542</vt:lpwstr>
  </property>
  <property fmtid="{D5CDD505-2E9C-101B-9397-08002B2CF9AE}" pid="4" name="ICV">
    <vt:lpwstr>65DBB324C5334C47A963E61A615C33F4_12</vt:lpwstr>
  </property>
</Properties>
</file>