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42E70">
      <w:pPr>
        <w:jc w:val="center"/>
        <w:rPr>
          <w:rFonts w:hint="eastAsia"/>
          <w:lang w:val="en-US" w:eastAsia="zh-CN"/>
        </w:rPr>
      </w:pPr>
      <w:bookmarkStart w:id="0" w:name="_GoBack"/>
      <w:r>
        <w:rPr>
          <w:rFonts w:hint="eastAsia"/>
          <w:b/>
          <w:bCs/>
          <w:lang w:val="en-US" w:eastAsia="zh-CN"/>
        </w:rPr>
        <w:t>NFPA 260：守护家居安全的“防火卫士”</w:t>
      </w:r>
      <w:bookmarkEnd w:id="0"/>
      <w:r>
        <w:rPr>
          <w:rFonts w:hint="eastAsia"/>
          <w:lang w:val="en-US" w:eastAsia="zh-CN"/>
        </w:rPr>
        <w:br w:type="textWrapping"/>
      </w:r>
    </w:p>
    <w:p w14:paraId="43A00096">
      <w:pPr>
        <w:jc w:val="left"/>
        <w:rPr>
          <w:rFonts w:hint="eastAsia"/>
          <w:lang w:val="en-US" w:eastAsia="zh-CN"/>
        </w:rPr>
      </w:pPr>
      <w:r>
        <w:rPr>
          <w:rFonts w:hint="eastAsia"/>
          <w:lang w:val="en-US" w:eastAsia="zh-CN"/>
        </w:rPr>
        <w:t>据统计，全球每年因家具材料易燃引发的火灾事故高达数万起，而香烟等热源是重要诱因之一。如何评估家具材料的防火性能？美国国家消防协会（NFPA）制定的NFPA 260标准，正是针对这一问题的科学解决方案。</w:t>
      </w:r>
    </w:p>
    <w:p w14:paraId="6B8589CB">
      <w:pPr>
        <w:rPr>
          <w:rFonts w:hint="default" w:eastAsiaTheme="minorEastAsia"/>
          <w:lang w:val="en-US" w:eastAsia="zh-CN"/>
        </w:rPr>
      </w:pPr>
    </w:p>
    <w:p w14:paraId="1A7B0221">
      <w:pPr>
        <w:rPr>
          <w:rFonts w:hint="default" w:eastAsiaTheme="minorEastAsia"/>
          <w:b/>
          <w:bCs/>
          <w:lang w:val="en-US" w:eastAsia="zh-CN"/>
        </w:rPr>
      </w:pPr>
      <w:r>
        <w:rPr>
          <w:rFonts w:hint="default" w:eastAsiaTheme="minorEastAsia"/>
          <w:b/>
          <w:bCs/>
          <w:lang w:val="en-US" w:eastAsia="zh-CN"/>
        </w:rPr>
        <w:t>一、什么是NFPA 260？</w:t>
      </w:r>
    </w:p>
    <w:p w14:paraId="6D55DC9A">
      <w:pPr>
        <w:rPr>
          <w:rFonts w:hint="default" w:eastAsiaTheme="minorEastAsia"/>
          <w:lang w:val="en-US" w:eastAsia="zh-CN"/>
        </w:rPr>
      </w:pPr>
      <w:r>
        <w:rPr>
          <w:rFonts w:hint="default" w:eastAsiaTheme="minorEastAsia"/>
          <w:lang w:val="en-US" w:eastAsia="zh-CN"/>
        </w:rPr>
        <w:t>NFPA 260全称为《软体家具组件抗香烟引燃性测试标准与分类系统》，旨在评估家具填充物、织物等材料在接触点燃香烟时的抗引燃能力。该标准通过模拟真实场景，量化材料的防火性能，帮助制造商优化设计，降低火灾风险。</w:t>
      </w:r>
    </w:p>
    <w:p w14:paraId="4B9C8455">
      <w:pPr>
        <w:rPr>
          <w:rFonts w:hint="default" w:eastAsiaTheme="minorEastAsia"/>
          <w:lang w:val="en-US" w:eastAsia="zh-CN"/>
        </w:rPr>
      </w:pPr>
    </w:p>
    <w:p w14:paraId="108F6DB6">
      <w:pPr>
        <w:rPr>
          <w:rFonts w:hint="default" w:eastAsiaTheme="minorEastAsia"/>
          <w:b/>
          <w:bCs/>
          <w:lang w:val="en-US" w:eastAsia="zh-CN"/>
        </w:rPr>
      </w:pPr>
      <w:r>
        <w:rPr>
          <w:rFonts w:hint="default" w:eastAsiaTheme="minorEastAsia"/>
          <w:b/>
          <w:bCs/>
          <w:lang w:val="en-US" w:eastAsia="zh-CN"/>
        </w:rPr>
        <w:t>二、测试方法揭秘</w:t>
      </w:r>
    </w:p>
    <w:p w14:paraId="733E33A1">
      <w:pPr>
        <w:rPr>
          <w:rFonts w:hint="default" w:eastAsiaTheme="minorEastAsia"/>
          <w:lang w:val="en-US" w:eastAsia="zh-CN"/>
        </w:rPr>
      </w:pPr>
      <w:r>
        <w:rPr>
          <w:rFonts w:hint="eastAsia"/>
          <w:lang w:val="en-US" w:eastAsia="zh-CN"/>
        </w:rPr>
        <w:t>1.</w:t>
      </w:r>
      <w:r>
        <w:rPr>
          <w:rFonts w:hint="default" w:eastAsiaTheme="minorEastAsia"/>
          <w:lang w:val="en-US" w:eastAsia="zh-CN"/>
        </w:rPr>
        <w:t>样品制备</w:t>
      </w:r>
      <w:r>
        <w:rPr>
          <w:rFonts w:hint="default" w:eastAsiaTheme="minorEastAsia"/>
          <w:lang w:val="en-US" w:eastAsia="zh-CN"/>
        </w:rPr>
        <w:br w:type="textWrapping"/>
      </w:r>
      <w:r>
        <w:rPr>
          <w:rFonts w:hint="default" w:eastAsiaTheme="minorEastAsia"/>
          <w:lang w:val="en-US" w:eastAsia="zh-CN"/>
        </w:rPr>
        <w:t>选取家具中的典型组件（如面料、填充泡沫等），按</w:t>
      </w:r>
      <w:r>
        <w:rPr>
          <w:rFonts w:hint="eastAsia"/>
          <w:lang w:val="en-US" w:eastAsia="zh-CN"/>
        </w:rPr>
        <w:t>标准要求制成</w:t>
      </w:r>
      <w:r>
        <w:rPr>
          <w:rFonts w:hint="default" w:eastAsiaTheme="minorEastAsia"/>
          <w:lang w:val="en-US" w:eastAsia="zh-CN"/>
        </w:rPr>
        <w:t>测试样本。</w:t>
      </w:r>
    </w:p>
    <w:p w14:paraId="55652B47">
      <w:pPr>
        <w:rPr>
          <w:rFonts w:hint="default" w:eastAsiaTheme="minorEastAsia"/>
          <w:lang w:val="en-US" w:eastAsia="zh-CN"/>
        </w:rPr>
      </w:pPr>
      <w:r>
        <w:rPr>
          <w:rFonts w:hint="eastAsia"/>
          <w:lang w:val="en-US" w:eastAsia="zh-CN"/>
        </w:rPr>
        <w:t>2.</w:t>
      </w:r>
      <w:r>
        <w:rPr>
          <w:rFonts w:hint="default" w:eastAsiaTheme="minorEastAsia"/>
          <w:lang w:val="en-US" w:eastAsia="zh-CN"/>
        </w:rPr>
        <w:t>模拟热源</w:t>
      </w:r>
      <w:r>
        <w:rPr>
          <w:rFonts w:hint="default" w:eastAsiaTheme="minorEastAsia"/>
          <w:lang w:val="en-US" w:eastAsia="zh-CN"/>
        </w:rPr>
        <w:br w:type="textWrapping"/>
      </w:r>
      <w:r>
        <w:rPr>
          <w:rFonts w:hint="default" w:eastAsiaTheme="minorEastAsia"/>
          <w:lang w:val="en-US" w:eastAsia="zh-CN"/>
        </w:rPr>
        <w:t>将标准香烟（特定燃烧速率）放置在样本表面或缝隙处，观察是否引燃材料。</w:t>
      </w:r>
    </w:p>
    <w:p w14:paraId="0F0B1A20">
      <w:pPr>
        <w:rPr>
          <w:rFonts w:hint="default" w:eastAsiaTheme="minorEastAsia"/>
          <w:lang w:val="en-US" w:eastAsia="zh-CN"/>
        </w:rPr>
      </w:pPr>
      <w:r>
        <w:rPr>
          <w:rFonts w:hint="eastAsia"/>
          <w:lang w:val="en-US" w:eastAsia="zh-CN"/>
        </w:rPr>
        <w:t>3.</w:t>
      </w:r>
      <w:r>
        <w:rPr>
          <w:rFonts w:hint="default" w:eastAsiaTheme="minorEastAsia"/>
          <w:lang w:val="en-US" w:eastAsia="zh-CN"/>
        </w:rPr>
        <w:t>观测与记录</w:t>
      </w:r>
      <w:r>
        <w:rPr>
          <w:rFonts w:hint="default" w:eastAsiaTheme="minorEastAsia"/>
          <w:lang w:val="en-US" w:eastAsia="zh-CN"/>
        </w:rPr>
        <w:br w:type="textWrapping"/>
      </w:r>
      <w:r>
        <w:rPr>
          <w:rFonts w:hint="default" w:eastAsiaTheme="minorEastAsia"/>
          <w:lang w:val="en-US" w:eastAsia="zh-CN"/>
        </w:rPr>
        <w:t>持续监测30分钟，记录是否出现明火、阴燃、炭化蔓延等现象，并测量燃烧距离。</w:t>
      </w:r>
    </w:p>
    <w:p w14:paraId="55427C92">
      <w:pPr>
        <w:rPr>
          <w:rFonts w:hint="default"/>
          <w:lang w:val="en-US" w:eastAsia="zh-CN"/>
        </w:rPr>
      </w:pPr>
    </w:p>
    <w:p w14:paraId="19BCD355">
      <w:pPr>
        <w:numPr>
          <w:ilvl w:val="0"/>
          <w:numId w:val="1"/>
        </w:numPr>
        <w:rPr>
          <w:rFonts w:hint="eastAsia"/>
          <w:b/>
          <w:bCs/>
          <w:lang w:val="en-US" w:eastAsia="zh-CN"/>
        </w:rPr>
      </w:pPr>
      <w:r>
        <w:rPr>
          <w:rFonts w:hint="eastAsia"/>
          <w:b/>
          <w:bCs/>
          <w:lang w:val="en-US" w:eastAsia="zh-CN"/>
        </w:rPr>
        <w:t>标准等级分类</w:t>
      </w:r>
    </w:p>
    <w:p w14:paraId="668A0307">
      <w:pPr>
        <w:numPr>
          <w:ilvl w:val="0"/>
          <w:numId w:val="0"/>
        </w:numPr>
        <w:rPr>
          <w:rFonts w:hint="default"/>
          <w:b w:val="0"/>
          <w:bCs w:val="0"/>
          <w:lang w:val="en-US" w:eastAsia="zh-CN"/>
        </w:rPr>
      </w:pPr>
      <w:r>
        <w:rPr>
          <w:rFonts w:hint="default"/>
          <w:b w:val="0"/>
          <w:bCs w:val="0"/>
          <w:lang w:val="en-US" w:eastAsia="zh-CN"/>
        </w:rPr>
        <w:t>1. Class I（高阻燃等级）</w:t>
      </w:r>
    </w:p>
    <w:p w14:paraId="326C7E5E">
      <w:pPr>
        <w:numPr>
          <w:ilvl w:val="0"/>
          <w:numId w:val="0"/>
        </w:numPr>
        <w:rPr>
          <w:rFonts w:hint="default"/>
          <w:b w:val="0"/>
          <w:bCs w:val="0"/>
          <w:lang w:val="en-US" w:eastAsia="zh-CN"/>
        </w:rPr>
      </w:pPr>
      <w:r>
        <w:rPr>
          <w:rFonts w:hint="default"/>
          <w:b/>
          <w:bCs/>
          <w:lang w:val="en-US" w:eastAsia="zh-CN"/>
        </w:rPr>
        <w:t>定义：</w:t>
      </w:r>
      <w:r>
        <w:rPr>
          <w:rFonts w:hint="default"/>
          <w:b w:val="0"/>
          <w:bCs w:val="0"/>
          <w:lang w:val="en-US" w:eastAsia="zh-CN"/>
        </w:rPr>
        <w:t>材料在测试中表现出极强的抗引燃性，能有效阻止点燃的香烟引发明火或阴燃蔓延。</w:t>
      </w:r>
    </w:p>
    <w:p w14:paraId="0FBF5ED6">
      <w:pPr>
        <w:numPr>
          <w:ilvl w:val="0"/>
          <w:numId w:val="0"/>
        </w:numPr>
        <w:rPr>
          <w:rFonts w:hint="default"/>
          <w:b/>
          <w:bCs/>
          <w:lang w:val="en-US" w:eastAsia="zh-CN"/>
        </w:rPr>
      </w:pPr>
      <w:r>
        <w:rPr>
          <w:rFonts w:hint="default"/>
          <w:b/>
          <w:bCs/>
          <w:lang w:val="en-US" w:eastAsia="zh-CN"/>
        </w:rPr>
        <w:t>测试条件：</w:t>
      </w:r>
    </w:p>
    <w:p w14:paraId="35B841D0">
      <w:pPr>
        <w:numPr>
          <w:ilvl w:val="0"/>
          <w:numId w:val="0"/>
        </w:numPr>
        <w:rPr>
          <w:rFonts w:hint="default"/>
          <w:b w:val="0"/>
          <w:bCs w:val="0"/>
          <w:lang w:val="en-US" w:eastAsia="zh-CN"/>
        </w:rPr>
      </w:pPr>
      <w:r>
        <w:rPr>
          <w:rFonts w:hint="default"/>
          <w:b w:val="0"/>
          <w:bCs w:val="0"/>
          <w:lang w:val="en-US" w:eastAsia="zh-CN"/>
        </w:rPr>
        <w:t>香烟燃烧后，材料表面或内部的阴燃或炭化蔓延距离不超过2英寸（5.08厘米）。</w:t>
      </w:r>
    </w:p>
    <w:p w14:paraId="1547082E">
      <w:pPr>
        <w:numPr>
          <w:ilvl w:val="0"/>
          <w:numId w:val="0"/>
        </w:numPr>
        <w:rPr>
          <w:rFonts w:hint="default"/>
          <w:b w:val="0"/>
          <w:bCs w:val="0"/>
          <w:lang w:val="en-US" w:eastAsia="zh-CN"/>
        </w:rPr>
      </w:pPr>
      <w:r>
        <w:rPr>
          <w:rFonts w:hint="default"/>
          <w:b w:val="0"/>
          <w:bCs w:val="0"/>
          <w:lang w:val="en-US" w:eastAsia="zh-CN"/>
        </w:rPr>
        <w:t>测试过程中未出现明火，且在香烟完全燃尽后，材料阴燃能在30分钟内自行熄灭。</w:t>
      </w:r>
    </w:p>
    <w:p w14:paraId="54F364D0">
      <w:pPr>
        <w:numPr>
          <w:ilvl w:val="0"/>
          <w:numId w:val="0"/>
        </w:numPr>
        <w:rPr>
          <w:rFonts w:hint="default"/>
          <w:b/>
          <w:bCs/>
          <w:lang w:val="en-US" w:eastAsia="zh-CN"/>
        </w:rPr>
      </w:pPr>
      <w:r>
        <w:rPr>
          <w:rFonts w:hint="default"/>
          <w:b/>
          <w:bCs/>
          <w:lang w:val="en-US" w:eastAsia="zh-CN"/>
        </w:rPr>
        <w:t>实际意义：</w:t>
      </w:r>
    </w:p>
    <w:p w14:paraId="4A6C198A">
      <w:pPr>
        <w:numPr>
          <w:ilvl w:val="0"/>
          <w:numId w:val="0"/>
        </w:numPr>
        <w:rPr>
          <w:rFonts w:hint="default"/>
          <w:b w:val="0"/>
          <w:bCs w:val="0"/>
          <w:lang w:val="en-US" w:eastAsia="zh-CN"/>
        </w:rPr>
      </w:pPr>
      <w:r>
        <w:rPr>
          <w:rFonts w:hint="default"/>
          <w:b w:val="0"/>
          <w:bCs w:val="0"/>
          <w:lang w:val="en-US" w:eastAsia="zh-CN"/>
        </w:rPr>
        <w:t>达到Class I的材料安全性能更高，常用于对防火要求严格的场景（如公共场所家具、高端家居产品）。</w:t>
      </w:r>
    </w:p>
    <w:p w14:paraId="0747B94C">
      <w:pPr>
        <w:numPr>
          <w:ilvl w:val="0"/>
          <w:numId w:val="0"/>
        </w:numPr>
        <w:rPr>
          <w:rFonts w:hint="default"/>
          <w:b w:val="0"/>
          <w:bCs w:val="0"/>
          <w:lang w:val="en-US" w:eastAsia="zh-CN"/>
        </w:rPr>
      </w:pPr>
      <w:r>
        <w:rPr>
          <w:rFonts w:hint="default"/>
          <w:b w:val="0"/>
          <w:bCs w:val="0"/>
          <w:lang w:val="en-US" w:eastAsia="zh-CN"/>
        </w:rPr>
        <w:t>部分国家或地区的法规可能强制要求家具必须达到Class I等级。</w:t>
      </w:r>
    </w:p>
    <w:p w14:paraId="220F1115">
      <w:pPr>
        <w:numPr>
          <w:ilvl w:val="0"/>
          <w:numId w:val="0"/>
        </w:numPr>
        <w:rPr>
          <w:rFonts w:hint="default"/>
          <w:b w:val="0"/>
          <w:bCs w:val="0"/>
          <w:lang w:val="en-US" w:eastAsia="zh-CN"/>
        </w:rPr>
      </w:pPr>
    </w:p>
    <w:p w14:paraId="198A9EDD">
      <w:pPr>
        <w:numPr>
          <w:ilvl w:val="0"/>
          <w:numId w:val="0"/>
        </w:numPr>
        <w:rPr>
          <w:rFonts w:hint="default"/>
          <w:b w:val="0"/>
          <w:bCs w:val="0"/>
          <w:lang w:val="en-US" w:eastAsia="zh-CN"/>
        </w:rPr>
      </w:pPr>
      <w:r>
        <w:rPr>
          <w:rFonts w:hint="default"/>
          <w:b w:val="0"/>
          <w:bCs w:val="0"/>
          <w:lang w:val="en-US" w:eastAsia="zh-CN"/>
        </w:rPr>
        <w:t>2. Class II（低阻燃等级）</w:t>
      </w:r>
    </w:p>
    <w:p w14:paraId="40C100EC">
      <w:pPr>
        <w:numPr>
          <w:ilvl w:val="0"/>
          <w:numId w:val="0"/>
        </w:numPr>
        <w:rPr>
          <w:rFonts w:hint="default"/>
          <w:b w:val="0"/>
          <w:bCs w:val="0"/>
          <w:lang w:val="en-US" w:eastAsia="zh-CN"/>
        </w:rPr>
      </w:pPr>
      <w:r>
        <w:rPr>
          <w:rFonts w:hint="default"/>
          <w:b/>
          <w:bCs/>
          <w:lang w:val="en-US" w:eastAsia="zh-CN"/>
        </w:rPr>
        <w:t>定义：</w:t>
      </w:r>
      <w:r>
        <w:rPr>
          <w:rFonts w:hint="default"/>
          <w:b w:val="0"/>
          <w:bCs w:val="0"/>
          <w:lang w:val="en-US" w:eastAsia="zh-CN"/>
        </w:rPr>
        <w:t>材料具备基本抗引燃能力，但安全性低于Class I，仍存在一定火灾风险。</w:t>
      </w:r>
    </w:p>
    <w:p w14:paraId="3F3915D2">
      <w:pPr>
        <w:numPr>
          <w:ilvl w:val="0"/>
          <w:numId w:val="0"/>
        </w:numPr>
        <w:rPr>
          <w:rFonts w:hint="default"/>
          <w:b/>
          <w:bCs/>
          <w:lang w:val="en-US" w:eastAsia="zh-CN"/>
        </w:rPr>
      </w:pPr>
      <w:r>
        <w:rPr>
          <w:rFonts w:hint="default"/>
          <w:b/>
          <w:bCs/>
          <w:lang w:val="en-US" w:eastAsia="zh-CN"/>
        </w:rPr>
        <w:t>测试条件：</w:t>
      </w:r>
    </w:p>
    <w:p w14:paraId="7393E34C">
      <w:pPr>
        <w:numPr>
          <w:ilvl w:val="0"/>
          <w:numId w:val="0"/>
        </w:numPr>
        <w:rPr>
          <w:rFonts w:hint="default"/>
          <w:b w:val="0"/>
          <w:bCs w:val="0"/>
          <w:lang w:val="en-US" w:eastAsia="zh-CN"/>
        </w:rPr>
      </w:pPr>
      <w:r>
        <w:rPr>
          <w:rFonts w:hint="default"/>
          <w:b w:val="0"/>
          <w:bCs w:val="0"/>
          <w:lang w:val="en-US" w:eastAsia="zh-CN"/>
        </w:rPr>
        <w:t>阴燃或炭化蔓延距离不超过3英寸（7.62厘米）。</w:t>
      </w:r>
    </w:p>
    <w:p w14:paraId="6D0D1796">
      <w:pPr>
        <w:numPr>
          <w:ilvl w:val="0"/>
          <w:numId w:val="0"/>
        </w:numPr>
        <w:rPr>
          <w:rFonts w:hint="default"/>
          <w:b w:val="0"/>
          <w:bCs w:val="0"/>
          <w:lang w:val="en-US" w:eastAsia="zh-CN"/>
        </w:rPr>
      </w:pPr>
      <w:r>
        <w:rPr>
          <w:rFonts w:hint="default"/>
          <w:b w:val="0"/>
          <w:bCs w:val="0"/>
          <w:lang w:val="en-US" w:eastAsia="zh-CN"/>
        </w:rPr>
        <w:t>允许出现短暂明火，但明火需在香烟燃尽后立即熄灭，且不会引燃其他部件。</w:t>
      </w:r>
    </w:p>
    <w:p w14:paraId="6AB8052C">
      <w:pPr>
        <w:numPr>
          <w:ilvl w:val="0"/>
          <w:numId w:val="0"/>
        </w:numPr>
        <w:rPr>
          <w:rFonts w:hint="default"/>
          <w:b/>
          <w:bCs/>
          <w:lang w:val="en-US" w:eastAsia="zh-CN"/>
        </w:rPr>
      </w:pPr>
      <w:r>
        <w:rPr>
          <w:rFonts w:hint="default"/>
          <w:b/>
          <w:bCs/>
          <w:lang w:val="en-US" w:eastAsia="zh-CN"/>
        </w:rPr>
        <w:t>实际意义：</w:t>
      </w:r>
    </w:p>
    <w:p w14:paraId="01CE179C">
      <w:pPr>
        <w:numPr>
          <w:ilvl w:val="0"/>
          <w:numId w:val="0"/>
        </w:numPr>
        <w:rPr>
          <w:rFonts w:hint="default"/>
          <w:b w:val="0"/>
          <w:bCs w:val="0"/>
          <w:lang w:val="en-US" w:eastAsia="zh-CN"/>
        </w:rPr>
      </w:pPr>
      <w:r>
        <w:rPr>
          <w:rFonts w:hint="default"/>
          <w:b w:val="0"/>
          <w:bCs w:val="0"/>
          <w:lang w:val="en-US" w:eastAsia="zh-CN"/>
        </w:rPr>
        <w:t>适用于防火要求较低的家居环境，通常需搭配其他防火措施（如阻燃涂层）使用。</w:t>
      </w:r>
    </w:p>
    <w:p w14:paraId="12159361">
      <w:pPr>
        <w:numPr>
          <w:ilvl w:val="0"/>
          <w:numId w:val="0"/>
        </w:numPr>
        <w:rPr>
          <w:rFonts w:hint="default"/>
          <w:b/>
          <w:bCs/>
          <w:lang w:val="en-US" w:eastAsia="zh-CN"/>
        </w:rPr>
      </w:pPr>
      <w:r>
        <w:rPr>
          <w:rFonts w:hint="default"/>
          <w:b w:val="0"/>
          <w:bCs w:val="0"/>
          <w:lang w:val="en-US" w:eastAsia="zh-CN"/>
        </w:rPr>
        <w:t>若仅达到Class II，可能无法通过某些严苛的防火法规（如美国加州CAL 117标准）。</w:t>
      </w:r>
    </w:p>
    <w:p w14:paraId="40D808BB">
      <w:pPr>
        <w:rPr>
          <w:rFonts w:hint="default"/>
          <w:lang w:val="en-US" w:eastAsia="zh-CN"/>
        </w:rPr>
      </w:pPr>
    </w:p>
    <w:p w14:paraId="0A3A926C">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12E74C7E">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66BEFD83">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5043CCAD">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3D5C7C0B">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p>
    <w:p w14:paraId="7AD86199">
      <w:pPr>
        <w:keepNext w:val="0"/>
        <w:keepLines w:val="0"/>
        <w:pageBreakBefore w:val="0"/>
        <w:widowControl w:val="0"/>
        <w:kinsoku/>
        <w:wordWrap/>
        <w:overflowPunct/>
        <w:topLinePunct w:val="0"/>
        <w:autoSpaceDE/>
        <w:autoSpaceDN/>
        <w:bidi w:val="0"/>
        <w:adjustRightInd/>
        <w:snapToGrid/>
        <w:jc w:val="center"/>
        <w:textAlignment w:val="auto"/>
        <w:rPr>
          <w:rFonts w:hint="default" w:ascii="Arial" w:hAnsi="Arial" w:cs="Arial"/>
        </w:rPr>
      </w:pPr>
      <w:r>
        <w:rPr>
          <w:rFonts w:hint="default" w:ascii="Arial" w:hAnsi="Arial" w:cs="Arial"/>
        </w:rPr>
        <w:t>NFPA 260: The “fire guard” that protects home safety</w:t>
      </w:r>
    </w:p>
    <w:p w14:paraId="3DD0240E">
      <w:pPr>
        <w:keepNext w:val="0"/>
        <w:keepLines w:val="0"/>
        <w:pageBreakBefore w:val="0"/>
        <w:widowControl w:val="0"/>
        <w:kinsoku/>
        <w:wordWrap/>
        <w:overflowPunct/>
        <w:topLinePunct w:val="0"/>
        <w:autoSpaceDE/>
        <w:autoSpaceDN/>
        <w:bidi w:val="0"/>
        <w:adjustRightInd/>
        <w:snapToGrid/>
        <w:jc w:val="both"/>
        <w:textAlignment w:val="auto"/>
        <w:rPr>
          <w:rFonts w:hint="default" w:ascii="Arial" w:hAnsi="Arial" w:cs="Arial"/>
        </w:rPr>
      </w:pPr>
    </w:p>
    <w:p w14:paraId="3C20A330">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According to statistics, there are tens of thousands of fire accidents caused by flammable furniture materials every year around the world, and heat sources such as cigarettes are one of the important causes. How to evaluate the fire resistance of furniture materials? The NFPA 260 standard formulated by the National Fire Protection Association (NFPA) of the United States is a scientific solution to this problem.</w:t>
      </w:r>
    </w:p>
    <w:p w14:paraId="21C24009">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2B2E1E38">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1. What is NFPA 260?</w:t>
      </w:r>
    </w:p>
    <w:p w14:paraId="182CC432">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NFPA 260 is the full name of "Standard and Classification System for Testing the Resistance of Soft Furniture Components to Cigarette Ignition", which aims to evaluate the ignition resistance of furniture fillings, fabrics and other materials when they come into contact with lit cigarettes. This standard simulates real scenarios, quantifies the fire resistance of materials, and helps manufacturers optimize designs and reduce fire risks.</w:t>
      </w:r>
    </w:p>
    <w:p w14:paraId="35BB583E">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60BBA321">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2. Test method secrets</w:t>
      </w:r>
    </w:p>
    <w:p w14:paraId="36D7B7E5">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1. Sample preparation</w:t>
      </w:r>
    </w:p>
    <w:p w14:paraId="7DE9E6F3">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Select typical components of furniture (such as fabrics, filling foam, etc.) and make test samples according to standard requirements.</w:t>
      </w:r>
    </w:p>
    <w:p w14:paraId="2C82F4B7">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2. Simulate heat source</w:t>
      </w:r>
    </w:p>
    <w:p w14:paraId="6F3B56B1">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Place a standard cigarette (specific burning rate) on the surface or gap of the sample to observe whether the material is ignited.</w:t>
      </w:r>
    </w:p>
    <w:p w14:paraId="7BFEFD03">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3. Observation and recording</w:t>
      </w:r>
    </w:p>
    <w:p w14:paraId="5B629777">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Monitor continuously for 30 minutes, record whether there is open flame, smoldering, carbonization spread, etc., and measure the burning distance.</w:t>
      </w:r>
    </w:p>
    <w:p w14:paraId="057CECA3">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0302F0E2">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3. Standard grade classification</w:t>
      </w:r>
    </w:p>
    <w:p w14:paraId="539AD748">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1. Class I (high flame retardant grade)</w:t>
      </w:r>
    </w:p>
    <w:p w14:paraId="60418E3D">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Definition: The material shows strong anti-ignition resistance in the test, which can effectively prevent the lit cigarette from causing open flame or smoldering spread.</w:t>
      </w:r>
    </w:p>
    <w:p w14:paraId="37CE75DC">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Test conditions:</w:t>
      </w:r>
    </w:p>
    <w:p w14:paraId="4A4BF221">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After the cigarette burns, the smoldering or carbonization spread distance on the surface or inside of the material does not exceed 2 inches (5.08 cm).</w:t>
      </w:r>
    </w:p>
    <w:p w14:paraId="0A6736C5">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No open flame occurs during the test, and after the cigarette is completely burned, the smoldering of the material can be extinguished within 30 minutes.</w:t>
      </w:r>
    </w:p>
    <w:p w14:paraId="20F639A9">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Practical significance:</w:t>
      </w:r>
    </w:p>
    <w:p w14:paraId="62DBECEC">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Materials that reach Class I have higher safety performance and are often used in scenes with strict fire protection requirements (such as furniture in public places and high-end home products).</w:t>
      </w:r>
    </w:p>
    <w:p w14:paraId="3D8772EB">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Regulations in some countries or regions may require that furniture must meet Class I ratings.</w:t>
      </w:r>
    </w:p>
    <w:p w14:paraId="38119C12">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4C047C8D">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4EE72180">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p>
    <w:p w14:paraId="2634C8C3">
      <w:pPr>
        <w:keepNext w:val="0"/>
        <w:keepLines w:val="0"/>
        <w:pageBreakBefore w:val="0"/>
        <w:widowControl w:val="0"/>
        <w:numPr>
          <w:ilvl w:val="0"/>
          <w:numId w:val="2"/>
        </w:numPr>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Class II (low flame retardant grade)</w:t>
      </w:r>
    </w:p>
    <w:p w14:paraId="4AB24C4A">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Definition: The material has basic anti-ignition ability, but the safety is lower than Class I, and there is still a certain fire risk.</w:t>
      </w:r>
    </w:p>
    <w:p w14:paraId="29FC2976">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Test conditions:</w:t>
      </w:r>
    </w:p>
    <w:p w14:paraId="296DC351">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The smoldering or charring spreads no more than 3 inches (7.62 cm).</w:t>
      </w:r>
    </w:p>
    <w:p w14:paraId="2454E5D5">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A short open flame is allowed, but the open flame must be extinguished immediately after the cigarette is burned out and will not ignite other parts.</w:t>
      </w:r>
    </w:p>
    <w:p w14:paraId="1D4CD1F4">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Practical significance:</w:t>
      </w:r>
    </w:p>
    <w:p w14:paraId="5D9088FD">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It is suitable for home environments with low fire protection requirements and usually needs to be used with other fire protection measures (such as flame retardant coatings).</w:t>
      </w:r>
    </w:p>
    <w:p w14:paraId="1E607E70">
      <w:pPr>
        <w:keepNext w:val="0"/>
        <w:keepLines w:val="0"/>
        <w:pageBreakBefore w:val="0"/>
        <w:widowControl w:val="0"/>
        <w:kinsoku/>
        <w:wordWrap/>
        <w:overflowPunct/>
        <w:topLinePunct w:val="0"/>
        <w:autoSpaceDE/>
        <w:autoSpaceDN/>
        <w:bidi w:val="0"/>
        <w:adjustRightInd/>
        <w:snapToGrid/>
        <w:textAlignment w:val="auto"/>
        <w:rPr>
          <w:rFonts w:hint="default" w:ascii="Arial" w:hAnsi="Arial" w:cs="Arial"/>
          <w:lang w:val="en-US" w:eastAsia="zh-CN"/>
        </w:rPr>
      </w:pPr>
      <w:r>
        <w:rPr>
          <w:rFonts w:hint="default" w:ascii="Arial" w:hAnsi="Arial" w:cs="Arial"/>
          <w:lang w:val="en-US" w:eastAsia="zh-CN"/>
        </w:rPr>
        <w:t>If only Class II is achieved, it may not pass some strict fire protection regulations (such as California CAL 117 standard in the United States)</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C88748"/>
    <w:multiLevelType w:val="singleLevel"/>
    <w:tmpl w:val="1CC88748"/>
    <w:lvl w:ilvl="0" w:tentative="0">
      <w:start w:val="3"/>
      <w:numFmt w:val="chineseCounting"/>
      <w:suff w:val="nothing"/>
      <w:lvlText w:val="%1、"/>
      <w:lvlJc w:val="left"/>
      <w:rPr>
        <w:rFonts w:hint="eastAsia"/>
      </w:rPr>
    </w:lvl>
  </w:abstractNum>
  <w:abstractNum w:abstractNumId="1">
    <w:nsid w:val="766BD046"/>
    <w:multiLevelType w:val="singleLevel"/>
    <w:tmpl w:val="766BD046"/>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D2125"/>
    <w:rsid w:val="07D36BEE"/>
    <w:rsid w:val="2FA72257"/>
    <w:rsid w:val="30696528"/>
    <w:rsid w:val="35397563"/>
    <w:rsid w:val="46F40FFB"/>
    <w:rsid w:val="49D7642A"/>
    <w:rsid w:val="52580946"/>
    <w:rsid w:val="57D46D9F"/>
    <w:rsid w:val="5D6D55C3"/>
    <w:rsid w:val="74123DAE"/>
    <w:rsid w:val="7B9D6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1204</Words>
  <Characters>3393</Characters>
  <Lines>0</Lines>
  <Paragraphs>0</Paragraphs>
  <TotalTime>57</TotalTime>
  <ScaleCrop>false</ScaleCrop>
  <LinksUpToDate>false</LinksUpToDate>
  <CharactersWithSpaces>3854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2025-02-18T05:22:00Z</dcterms:created>
  <dc:creator>Administrator</dc:creator>
  <cp:lastModifiedBy>Administrator</cp:lastModifiedBy>
  <dcterms:modified xsi:type="dcterms:W3CDTF">2025-05-14T01:52:15Z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eyJoZGlkIjoiMDMyMzU4ZDY1NmQ1NzA0Mzc2MWE5MzUwMzlmNGVjMjMifQ==</vt:lpwstr>
  </property>
  <property fmtid="{D5CDD505-2E9C-101B-9397-08002B2CF9AE}" pid="4" name="ICV">
    <vt:lpwstr>B046EC3C76BB454EA71C3A0E4AF7AEC4_13</vt:lpwstr>
  </property>
</Properties>
</file>