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99B810">
      <w:pPr>
        <w:pStyle w:val="145"/>
        <w:rPr>
          <w:lang w:eastAsia="zh-CN"/>
        </w:rPr>
      </w:pPr>
      <w:bookmarkStart w:id="0" w:name="OLE_LINK39"/>
      <w:bookmarkStart w:id="1" w:name="_Toc418070112"/>
      <w:bookmarkStart w:id="2" w:name="OLE_LINK15"/>
      <w:bookmarkStart w:id="3" w:name="_Toc438987549"/>
      <w:bookmarkStart w:id="4" w:name="_Toc415143481"/>
      <w:bookmarkStart w:id="5" w:name="_Toc517262917"/>
      <w:bookmarkStart w:id="6" w:name="_Toc415818939"/>
      <w:bookmarkStart w:id="7" w:name="_Toc415142861"/>
      <w:bookmarkStart w:id="8" w:name="OLE_LINK13"/>
      <w:bookmarkStart w:id="9" w:name="OLE_LINK24"/>
      <w:bookmarkStart w:id="10" w:name="_Toc453597319"/>
      <w:bookmarkStart w:id="11" w:name="_Toc481801204"/>
      <w:bookmarkStart w:id="12" w:name="OLE_LINK40"/>
      <w:r>
        <w:drawing>
          <wp:inline distT="0" distB="0" distL="114300" distR="114300">
            <wp:extent cx="6187440" cy="4455160"/>
            <wp:effectExtent l="0" t="0" r="381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6187440" cy="4455160"/>
                    </a:xfrm>
                    <a:prstGeom prst="rect">
                      <a:avLst/>
                    </a:prstGeom>
                    <a:noFill/>
                    <a:ln>
                      <a:noFill/>
                    </a:ln>
                  </pic:spPr>
                </pic:pic>
              </a:graphicData>
            </a:graphic>
          </wp:inline>
        </w:drawing>
      </w:r>
      <w:r>
        <w:rPr>
          <w:rFonts w:hint="eastAsia"/>
          <w:lang w:eastAsia="zh-CN"/>
        </w:rPr>
        <w:t>氧化铟锡（ITO）溅射靶材是一种陶瓷透明导电材料，由高纯度氧化铟和氧化锡按一定比例混合制成粉末，并在高温下烧结而成。用作溅射靶材时，它们在真空磁控溅射过程中沉积透明导电薄膜，广泛应用于触摸显示器透明电极、光伏电池和其他光电器件等领域。</w:t>
      </w:r>
    </w:p>
    <w:p w14:paraId="3E1B399D">
      <w:pPr>
        <w:pStyle w:val="145"/>
        <w:rPr>
          <w:lang w:eastAsia="zh-CN"/>
        </w:rPr>
      </w:pPr>
      <w:r>
        <w:drawing>
          <wp:inline distT="0" distB="0" distL="0" distR="0">
            <wp:extent cx="2143125" cy="2143125"/>
            <wp:effectExtent l="0" t="0" r="9525" b="9525"/>
            <wp:docPr id="830192234" name="图片 1" descr="关于ITO 溅射靶材你需要知道的一切- 知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192234" name="图片 1" descr="关于ITO 溅射靶材你需要知道的一切- 知乎"/>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143125" cy="2143125"/>
                    </a:xfrm>
                    <a:prstGeom prst="rect">
                      <a:avLst/>
                    </a:prstGeom>
                    <a:noFill/>
                    <a:ln>
                      <a:noFill/>
                    </a:ln>
                  </pic:spPr>
                </pic:pic>
              </a:graphicData>
            </a:graphic>
          </wp:inline>
        </w:drawing>
      </w:r>
    </w:p>
    <w:p w14:paraId="0279D9E8">
      <w:pPr>
        <w:pStyle w:val="145"/>
        <w:rPr>
          <w:lang w:eastAsia="zh-CN"/>
        </w:rPr>
      </w:pPr>
      <w:r>
        <w:rPr>
          <w:rFonts w:hint="eastAsia"/>
          <w:lang w:eastAsia="zh-CN"/>
        </w:rPr>
        <w:t>据QYResearch调研团队最新报告“全球氧化铟锡靶材市场报告2025-2031”显示，预计2031年全球氧化铟锡靶材市场规模将达到13亿美元，未来几年年复合增长率CAGR为11.3%。</w:t>
      </w:r>
    </w:p>
    <w:p w14:paraId="33261207">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lang w:eastAsia="zh-CN"/>
        </w:rPr>
        <w:t>氧化铟锡靶材</w:t>
      </w:r>
      <w:r>
        <w:rPr>
          <w:rFonts w:hint="eastAsia"/>
          <w:lang w:eastAsia="zh-CN"/>
        </w:rPr>
        <w:t>，全球市场总体规模</w:t>
      </w:r>
    </w:p>
    <w:p w14:paraId="26E74515">
      <w:pPr>
        <w:pStyle w:val="143"/>
        <w:rPr>
          <w:lang w:eastAsia="zh-CN"/>
        </w:rPr>
      </w:pPr>
      <w:r>
        <w:drawing>
          <wp:inline distT="0" distB="0" distL="0" distR="0">
            <wp:extent cx="6188710" cy="2954655"/>
            <wp:effectExtent l="0" t="0" r="2540" b="0"/>
            <wp:docPr id="173625278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2FD9BEF">
      <w:pPr>
        <w:pStyle w:val="143"/>
        <w:rPr>
          <w:lang w:eastAsia="zh-CN"/>
        </w:rPr>
      </w:pPr>
      <w:r>
        <w:rPr>
          <w:rFonts w:hint="eastAsia"/>
          <w:lang w:eastAsia="zh-CN"/>
        </w:rPr>
        <w:t>来源：QYResearch 化工研究中心</w:t>
      </w:r>
    </w:p>
    <w:p w14:paraId="720E31E2">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rFonts w:hint="eastAsia"/>
          <w:lang w:eastAsia="zh-CN"/>
        </w:rPr>
        <w:t>全球</w:t>
      </w:r>
      <w:r>
        <w:rPr>
          <w:lang w:eastAsia="zh-CN"/>
        </w:rPr>
        <w:t>氧化铟锡靶材</w:t>
      </w:r>
      <w:r>
        <w:rPr>
          <w:rFonts w:hint="eastAsia"/>
          <w:lang w:eastAsia="zh-CN"/>
        </w:rPr>
        <w:t>市场前</w:t>
      </w:r>
      <w:r>
        <w:rPr>
          <w:lang w:eastAsia="zh-CN"/>
        </w:rPr>
        <w:t>21</w:t>
      </w:r>
      <w:r>
        <w:rPr>
          <w:rFonts w:hint="eastAsia"/>
          <w:lang w:eastAsia="zh-CN"/>
        </w:rPr>
        <w:t>强生产商排名及市场占有率（基于2</w:t>
      </w:r>
      <w:r>
        <w:rPr>
          <w:lang w:eastAsia="zh-CN"/>
        </w:rPr>
        <w:t>025</w:t>
      </w:r>
      <w:r>
        <w:rPr>
          <w:rFonts w:hint="eastAsia"/>
          <w:lang w:eastAsia="zh-CN"/>
        </w:rPr>
        <w:t>年调研数据；目前最新数据以本公司最新调研数据为准）</w:t>
      </w:r>
    </w:p>
    <w:p w14:paraId="773AFA33">
      <w:pPr>
        <w:widowControl/>
        <w:topLinePunct w:val="0"/>
        <w:spacing w:after="0"/>
        <w:jc w:val="center"/>
        <w:rPr>
          <w:rFonts w:ascii="宋体" w:hAnsi="宋体" w:cs="宋体"/>
          <w:kern w:val="0"/>
          <w:sz w:val="24"/>
          <w:szCs w:val="24"/>
        </w:rPr>
      </w:pPr>
      <w:r>
        <w:drawing>
          <wp:inline distT="0" distB="0" distL="0" distR="0">
            <wp:extent cx="5486400" cy="4105910"/>
            <wp:effectExtent l="4445" t="4445" r="14605" b="23495"/>
            <wp:docPr id="153830648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4A43543">
      <w:pPr>
        <w:pStyle w:val="143"/>
        <w:rPr>
          <w:lang w:eastAsia="zh-CN"/>
        </w:rPr>
      </w:pPr>
      <w:r>
        <w:rPr>
          <w:rFonts w:hint="eastAsia"/>
          <w:lang w:eastAsia="zh-CN"/>
        </w:rPr>
        <w:t>来源：QYResearch 化工研究中心。行业处于不断变动之中，最新数据请联系QYResearch咨询。</w:t>
      </w:r>
    </w:p>
    <w:p w14:paraId="399C0753">
      <w:pPr>
        <w:pStyle w:val="145"/>
        <w:rPr>
          <w:lang w:eastAsia="zh-CN"/>
        </w:rPr>
      </w:pPr>
      <w:r>
        <w:rPr>
          <w:rFonts w:hint="eastAsia"/>
          <w:lang w:eastAsia="zh-CN"/>
        </w:rPr>
        <w:t>根据QYResearch头部企业研究中心调研，全球范围内氧化铟锡靶材生产商主要包括Mitsui Kinzoku、JX Nippon Mining &amp; Metals、Tosoh、Vital、Lesker等。</w:t>
      </w:r>
    </w:p>
    <w:p w14:paraId="0AE3F6A4">
      <w:pPr>
        <w:pStyle w:val="145"/>
        <w:rPr>
          <w:lang w:eastAsia="zh-CN"/>
        </w:rPr>
      </w:pPr>
      <w:r>
        <w:rPr>
          <w:rFonts w:hint="eastAsia"/>
          <w:lang w:eastAsia="zh-CN"/>
        </w:rPr>
        <w:t>2025年，全球前五大厂商占有大约37.0%的市场份额。</w:t>
      </w:r>
    </w:p>
    <w:p w14:paraId="3E6DE9A8">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lang w:eastAsia="zh-CN"/>
        </w:rPr>
        <w:t>氧化铟锡靶材</w:t>
      </w:r>
      <w:r>
        <w:rPr>
          <w:rFonts w:hint="eastAsia"/>
          <w:lang w:eastAsia="zh-CN"/>
        </w:rPr>
        <w:t>，全球市场规模，按产品分类细分，纯度：4N处于主导地位</w:t>
      </w:r>
    </w:p>
    <w:p w14:paraId="1DAC1641">
      <w:pPr>
        <w:pStyle w:val="145"/>
        <w:rPr>
          <w:lang w:eastAsia="zh-CN"/>
        </w:rPr>
      </w:pPr>
      <w:r>
        <w:drawing>
          <wp:inline distT="0" distB="0" distL="0" distR="0">
            <wp:extent cx="6188710" cy="2552065"/>
            <wp:effectExtent l="0" t="0" r="2540" b="635"/>
            <wp:docPr id="181341753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9AE0722">
      <w:pPr>
        <w:pStyle w:val="143"/>
        <w:rPr>
          <w:lang w:eastAsia="zh-CN"/>
        </w:rPr>
      </w:pPr>
      <w:r>
        <w:rPr>
          <w:rFonts w:hint="eastAsia"/>
          <w:lang w:eastAsia="zh-CN"/>
        </w:rPr>
        <w:t>来源：QYResearch 化工研究中心</w:t>
      </w:r>
    </w:p>
    <w:p w14:paraId="41C3AE68">
      <w:pPr>
        <w:pStyle w:val="145"/>
        <w:rPr>
          <w:lang w:eastAsia="zh-CN"/>
        </w:rPr>
      </w:pPr>
      <w:r>
        <w:rPr>
          <w:rFonts w:hint="eastAsia"/>
          <w:lang w:eastAsia="zh-CN"/>
        </w:rPr>
        <w:t>就产品类型而言，目前纯度：4N是最主要的细分产品，占据大约52.6%的市场份额（2025）</w:t>
      </w:r>
    </w:p>
    <w:p w14:paraId="0B069045">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lang w:eastAsia="zh-CN"/>
        </w:rPr>
        <w:t>氧化铟锡靶材</w:t>
      </w:r>
      <w:r>
        <w:rPr>
          <w:rFonts w:hint="eastAsia"/>
          <w:lang w:eastAsia="zh-CN"/>
        </w:rPr>
        <w:t>，全球市场规模，按应用细分，电子信息是最大的下游市场，占有54.8%份额。</w:t>
      </w:r>
    </w:p>
    <w:p w14:paraId="1F9213C6">
      <w:pPr>
        <w:widowControl/>
        <w:topLinePunct w:val="0"/>
        <w:spacing w:after="0"/>
        <w:jc w:val="left"/>
        <w:rPr>
          <w:rFonts w:ascii="宋体" w:hAnsi="宋体" w:cs="宋体"/>
          <w:kern w:val="0"/>
          <w:sz w:val="24"/>
          <w:szCs w:val="24"/>
        </w:rPr>
      </w:pPr>
      <w:r>
        <w:drawing>
          <wp:inline distT="0" distB="0" distL="0" distR="0">
            <wp:extent cx="6188710" cy="2619375"/>
            <wp:effectExtent l="0" t="0" r="2540" b="0"/>
            <wp:docPr id="6035790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315F7D2">
      <w:pPr>
        <w:pStyle w:val="143"/>
        <w:rPr>
          <w:lang w:eastAsia="zh-CN"/>
        </w:rPr>
      </w:pPr>
      <w:r>
        <w:rPr>
          <w:rFonts w:hint="eastAsia"/>
          <w:lang w:eastAsia="zh-CN"/>
        </w:rPr>
        <w:t>来源：QYResearch 化工研究中心</w:t>
      </w:r>
    </w:p>
    <w:p w14:paraId="49F17E81">
      <w:pPr>
        <w:pStyle w:val="145"/>
        <w:rPr>
          <w:lang w:eastAsia="zh-CN"/>
        </w:rPr>
      </w:pPr>
      <w:r>
        <w:rPr>
          <w:rFonts w:hint="eastAsia"/>
          <w:lang w:eastAsia="zh-CN"/>
        </w:rPr>
        <w:t>就产品应用而言，目前电子信息是最主要的细分产品，占据大约54.8%的市场份额（2025）</w:t>
      </w:r>
    </w:p>
    <w:p w14:paraId="1A25AE58">
      <w:pPr>
        <w:pStyle w:val="145"/>
        <w:rPr>
          <w:lang w:eastAsia="zh-CN"/>
        </w:rPr>
      </w:pPr>
    </w:p>
    <w:p w14:paraId="0CD10F4E">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rFonts w:hint="eastAsia"/>
          <w:lang w:eastAsia="zh-CN"/>
        </w:rPr>
        <w:t>全球主要市场</w:t>
      </w:r>
      <w:r>
        <w:rPr>
          <w:lang w:eastAsia="zh-CN"/>
        </w:rPr>
        <w:t>氧化铟锡靶材</w:t>
      </w:r>
      <w:r>
        <w:rPr>
          <w:rFonts w:hint="eastAsia"/>
          <w:lang w:eastAsia="zh-CN"/>
        </w:rPr>
        <w:t>规模</w:t>
      </w:r>
    </w:p>
    <w:p w14:paraId="4B44D8E9">
      <w:pPr>
        <w:pStyle w:val="145"/>
        <w:rPr>
          <w:lang w:val="en-US" w:eastAsia="zh-CN"/>
        </w:rPr>
      </w:pPr>
      <w:r>
        <w:drawing>
          <wp:inline distT="0" distB="0" distL="0" distR="0">
            <wp:extent cx="6188710" cy="2914650"/>
            <wp:effectExtent l="0" t="0" r="2540" b="0"/>
            <wp:docPr id="3429038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3FD29A5">
      <w:pPr>
        <w:pStyle w:val="143"/>
        <w:rPr>
          <w:lang w:eastAsia="zh-CN"/>
        </w:rPr>
      </w:pPr>
      <w:r>
        <w:rPr>
          <w:rFonts w:hint="eastAsia"/>
          <w:lang w:eastAsia="zh-CN"/>
        </w:rPr>
        <w:t>来源：QYResearch 化工研究中心</w:t>
      </w:r>
    </w:p>
    <w:p w14:paraId="7B1A4E69">
      <w:pPr>
        <w:pStyle w:val="145"/>
        <w:rPr>
          <w:lang w:eastAsia="zh-CN"/>
        </w:rPr>
      </w:pPr>
      <w:r>
        <w:rPr>
          <w:rFonts w:hint="eastAsia"/>
          <w:lang w:eastAsia="zh-CN"/>
        </w:rPr>
        <w:t>主要驱动因素：氧化铟锡靶材需求的核心驱动来自显示与光电产业的长期扩张，平板显示、触控面板、柔性显示及新型显示技术持续发展，对高透光、高导电透明导电膜的需求保持稳定增长，同时车载显示、智能终端和工业显示等应用场景不断拓展，推动ITO膜在可靠性、一致性和寿命方面要求提升，</w:t>
      </w:r>
      <w:bookmarkStart w:id="13" w:name="_GoBack"/>
      <w:bookmarkEnd w:id="13"/>
      <w:r>
        <w:rPr>
          <w:rFonts w:hint="eastAsia"/>
          <w:lang w:eastAsia="zh-CN"/>
        </w:rPr>
        <w:t>从而带动高致密度、高纯度靶材的持续放量，叠加制程升级对溅射稳定性和材料利用率的重视，使优质靶材的需求韧性较强。</w:t>
      </w:r>
    </w:p>
    <w:p w14:paraId="7E1A0D37">
      <w:pPr>
        <w:pStyle w:val="145"/>
        <w:rPr>
          <w:lang w:eastAsia="zh-CN"/>
        </w:rPr>
      </w:pPr>
      <w:r>
        <w:rPr>
          <w:rFonts w:hint="eastAsia"/>
          <w:lang w:eastAsia="zh-CN"/>
        </w:rPr>
        <w:t>主要阻碍因素：行业发展的主要制约因素在于原材料价格波动与资源约束，铟属于相对稀缺金属，其价格受供需关系和周期影响较大，直接传导至靶材成本并压缩利润空间，同时高端ITO靶材对纯度控制、显微组织均匀性及成分稳定性要求极高，生产工艺复杂、良率爬坡周期长，新进入者难以快速突破技术壁垒，此外下游显示行业具有明显周期性，面板厂投资节奏波动会造成靶材需求阶段性起伏。</w:t>
      </w:r>
    </w:p>
    <w:p w14:paraId="0859052B">
      <w:pPr>
        <w:pStyle w:val="145"/>
        <w:rPr>
          <w:lang w:eastAsia="zh-CN"/>
        </w:rPr>
      </w:pPr>
      <w:r>
        <w:rPr>
          <w:rFonts w:hint="eastAsia"/>
          <w:lang w:eastAsia="zh-CN"/>
        </w:rPr>
        <w:t>行业发展机遇：未来氧化铟锡靶材的主要机遇集中在高端化与应用结构变化，一方面政策层面推动新型显示、高端制造与关键材料自主可控，为高性能靶材国产化创造空间，另一方面技术层面高分辨率显示、柔性显示及车载和工业级显示对低缺陷、高一致性ITO膜需求提升，推动靶材向大尺寸、高密度和长寿命方向升级，同时在节能减排与成本压力下，下游对材料利用率和溅射效率更加关注，具备工艺优化与材料设计能力的靶材厂商有望通过技术升级实现附加值提升。</w:t>
      </w:r>
    </w:p>
    <w:p w14:paraId="0E693DC4">
      <w:pPr>
        <w:pStyle w:val="145"/>
        <w:rPr>
          <w:rFonts w:cs="Arial"/>
          <w:b/>
          <w:color w:val="FF8200"/>
          <w:lang w:val="en-US" w:eastAsia="zh-CN"/>
        </w:rPr>
      </w:pPr>
      <w:r>
        <w:rPr>
          <w:rFonts w:hint="eastAsia" w:cs="Arial"/>
          <w:b/>
          <w:color w:val="FF8200"/>
          <w:lang w:val="en-US" w:eastAsia="zh-CN"/>
        </w:rPr>
        <w:t>领先企业介绍：</w:t>
      </w:r>
      <w:r>
        <w:rPr>
          <w:rFonts w:cs="Arial"/>
          <w:b/>
          <w:color w:val="FF8200"/>
          <w:lang w:val="en-US" w:eastAsia="zh-CN"/>
        </w:rPr>
        <w:t>Mitsui Kinzoku</w:t>
      </w:r>
    </w:p>
    <w:p w14:paraId="04137AC1">
      <w:pPr>
        <w:pStyle w:val="145"/>
        <w:rPr>
          <w:rFonts w:cs="Arial"/>
          <w:b/>
          <w:color w:val="FF8200"/>
          <w:lang w:val="en-US" w:eastAsia="zh-CN"/>
        </w:rPr>
      </w:pPr>
      <w:r>
        <w:drawing>
          <wp:inline distT="0" distB="0" distL="0" distR="0">
            <wp:extent cx="3133725" cy="438150"/>
            <wp:effectExtent l="0" t="0" r="9525" b="0"/>
            <wp:docPr id="109061497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614974" name="图片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3133725" cy="438150"/>
                    </a:xfrm>
                    <a:prstGeom prst="rect">
                      <a:avLst/>
                    </a:prstGeom>
                    <a:noFill/>
                    <a:ln>
                      <a:noFill/>
                    </a:ln>
                  </pic:spPr>
                </pic:pic>
              </a:graphicData>
            </a:graphic>
          </wp:inline>
        </w:drawing>
      </w:r>
    </w:p>
    <w:p w14:paraId="0E27CAFA">
      <w:pPr>
        <w:pStyle w:val="145"/>
        <w:rPr>
          <w:lang w:val="en-US" w:eastAsia="zh-CN"/>
        </w:rPr>
      </w:pPr>
      <w:r>
        <w:rPr>
          <w:rFonts w:hint="eastAsia"/>
          <w:lang w:val="en-US" w:eastAsia="zh-CN"/>
        </w:rPr>
        <w:t>三井金属矿业株式会社；5706.JP)成立于1950年，总部位于日本东京，是日本最大的锌冶炼生产商，亦是全球领先的有色金属供应商，经营业务涵盖工程材料、金属、汽车零组件及其他。</w:t>
      </w:r>
    </w:p>
    <w:p w14:paraId="2123DA56">
      <w:pPr>
        <w:pStyle w:val="145"/>
        <w:rPr>
          <w:lang w:val="en-US" w:eastAsia="zh-CN"/>
        </w:rPr>
      </w:pPr>
      <w:r>
        <w:rPr>
          <w:rFonts w:hint="eastAsia"/>
          <w:lang w:val="en-US" w:eastAsia="zh-CN"/>
        </w:rPr>
        <w:t>工程材料：主要提供包括工程粉末、粉末冶金和焊料粉；钽和氧化铌，碳化物等稀有金属，以及氧化铈磨料；电池材料，包括储氢合金，锂锰氧化物等；催化剂；用于微电子的铜箔；PVD材料以及用于电子元件的陶瓷。</w:t>
      </w:r>
    </w:p>
    <w:p w14:paraId="65BB6AE4">
      <w:pPr>
        <w:pStyle w:val="145"/>
        <w:rPr>
          <w:lang w:val="en-US" w:eastAsia="zh-CN"/>
        </w:rPr>
      </w:pPr>
      <w:r>
        <w:rPr>
          <w:rFonts w:hint="eastAsia"/>
          <w:lang w:val="en-US" w:eastAsia="zh-CN"/>
        </w:rPr>
        <w:t>汽车零组件：提供用于汽车的侧门锁、后门锁、引擎盖锁等；用于加工和冷却的珍珠岩。</w:t>
      </w:r>
    </w:p>
    <w:p w14:paraId="44C61FC0">
      <w:pPr>
        <w:pStyle w:val="145"/>
        <w:rPr>
          <w:lang w:val="en-US" w:eastAsia="zh-CN"/>
        </w:rPr>
      </w:pPr>
      <w:r>
        <w:rPr>
          <w:rFonts w:hint="eastAsia"/>
          <w:lang w:val="en-US" w:eastAsia="zh-CN"/>
        </w:rPr>
        <w:t>金属：涉及冶炼和回收包含锌，锌基合金、铅、锡、铋、三氧化二锑、铜、金和银以及硫酸；此外，也提供氧化锌和氧化铅以及硫酸锌；砂轮、铝镁压铸产品等。</w:t>
      </w:r>
    </w:p>
    <w:bookmarkEnd w:id="0"/>
    <w:bookmarkEnd w:id="1"/>
    <w:bookmarkEnd w:id="2"/>
    <w:bookmarkEnd w:id="3"/>
    <w:bookmarkEnd w:id="4"/>
    <w:bookmarkEnd w:id="5"/>
    <w:bookmarkEnd w:id="6"/>
    <w:bookmarkEnd w:id="7"/>
    <w:bookmarkEnd w:id="8"/>
    <w:bookmarkEnd w:id="9"/>
    <w:bookmarkEnd w:id="10"/>
    <w:bookmarkEnd w:id="11"/>
    <w:bookmarkEnd w:id="12"/>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CE4"/>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8A3"/>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6BC9"/>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18B"/>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270"/>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0F2"/>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45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25"/>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5E60"/>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2BB"/>
    <w:rsid w:val="005825AC"/>
    <w:rsid w:val="005826A5"/>
    <w:rsid w:val="0058271A"/>
    <w:rsid w:val="00582C59"/>
    <w:rsid w:val="005832FF"/>
    <w:rsid w:val="005839E1"/>
    <w:rsid w:val="00583A8E"/>
    <w:rsid w:val="00583C2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6F7C49"/>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0B3"/>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C3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3DEA"/>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299"/>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4F9"/>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5D4"/>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2D6"/>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0AB2"/>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5E82"/>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97B"/>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D5D"/>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298"/>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3CAA"/>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965"/>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42C"/>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468"/>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39C"/>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75"/>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95A"/>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C8"/>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4CC46BAF"/>
    <w:rsid w:val="65CE23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qFormat/>
    <w:uiPriority w:val="0"/>
    <w:rPr>
      <w:i/>
      <w:iCs/>
    </w:rPr>
  </w:style>
  <w:style w:type="character" w:styleId="71">
    <w:name w:val="Hyperlink"/>
    <w:unhideWhenUsed/>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5.png"/><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4.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chartUserShapes" Target="../drawings/drawing1.xml"/><Relationship Id="rId1" Type="http://schemas.openxmlformats.org/officeDocument/2006/relationships/oleObject" Target="file:///C:\Users\lenovo\Desktop\26&#24180;1&#26376;&#35266;&#28857;\0120\&#27687;&#21270;&#38111;&#38177;&#38774;&#26448;\&#33521;&#25991;&#29256;%20&#35266;&#28857;&#25968;&#25454;&#22270;&#34920;&#27169;&#26495;-&#27169;&#26495;%2020240612%20&#20026;&#20934;%20-%20&#21103;&#26412;%20-%20&#21103;&#26412;X%20-%20&#21103;&#26412;.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lenovo\Desktop\26&#24180;1&#26376;&#35266;&#28857;\0120\&#27687;&#21270;&#38111;&#38177;&#38774;&#26448;\&#20013;&#25991;&#29256;%20&#35266;&#28857;&#25968;&#25454;&#22270;&#34920;&#27169;&#26495;-&#27169;&#26495;%2020240612%20&#20026;&#20934;%20-%20&#21103;&#26412;%20-%20&#21103;&#26412;X.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lenovo\Desktop\26&#24180;1&#26376;&#35266;&#28857;\0120\&#27687;&#21270;&#38111;&#38177;&#38774;&#26448;\&#20013;&#25991;&#29256;%20&#35266;&#28857;&#25968;&#25454;&#22270;&#34920;&#27169;&#26495;-&#27169;&#26495;%2020240612%20&#20026;&#20934;%20-%20&#21103;&#26412;%20-%20&#21103;&#26412;X.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lenovo\Desktop\26&#24180;1&#26376;&#35266;&#28857;\0120\&#27687;&#21270;&#38111;&#38177;&#38774;&#26448;\&#20013;&#25991;&#29256;%20&#35266;&#28857;&#25968;&#25454;&#22270;&#34920;&#27169;&#26495;-&#27169;&#26495;%2020240612%20&#20026;&#20934;%20-%20&#21103;&#26412;%20-%20&#21103;&#26412;X.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lenovo\Desktop\26&#24180;1&#26376;&#35266;&#28857;\0120\&#27687;&#21270;&#38111;&#38177;&#38774;&#26448;\&#20013;&#25991;&#29256;%20&#35266;&#28857;&#25968;&#25454;&#22270;&#34920;&#27169;&#26495;-&#27169;&#26495;%2020240612%20&#20026;&#20934;%20-%20&#21103;&#26412;%20-%20&#21103;&#26412;X.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zh-CN" altLang="en-US"/>
              <a:t>全球市场规模（百万美元）</a:t>
            </a:r>
            <a:endParaRPr lang="en-US"/>
          </a:p>
        </c:rich>
      </c:tx>
      <c:layout/>
      <c:overlay val="0"/>
      <c:spPr>
        <a:noFill/>
        <a:ln>
          <a:noFill/>
        </a:ln>
        <a:effectLst/>
      </c:spPr>
    </c:title>
    <c:autoTitleDeleted val="0"/>
    <c:plotArea>
      <c:layout>
        <c:manualLayout>
          <c:layoutTarget val="inner"/>
          <c:xMode val="edge"/>
          <c:yMode val="edge"/>
          <c:x val="0.0333680629718612"/>
          <c:y val="0.131440849673203"/>
          <c:w val="0.937283950617284"/>
          <c:h val="0.793030392156863"/>
        </c:manualLayout>
      </c:layout>
      <c:barChart>
        <c:barDir val="col"/>
        <c:grouping val="stacked"/>
        <c:varyColors val="0"/>
        <c:ser>
          <c:idx val="0"/>
          <c:order val="0"/>
          <c:tx>
            <c:strRef>
              <c:f>全球总体!$R$7</c:f>
              <c:strCache>
                <c:ptCount val="1"/>
                <c:pt idx="0">
                  <c:v>Global Market Size ($ Mn)</c:v>
                </c:pt>
              </c:strCache>
            </c:strRef>
          </c:tx>
          <c:spPr>
            <a:solidFill>
              <a:srgbClr val="002060"/>
            </a:solidFill>
            <a:ln>
              <a:noFill/>
            </a:ln>
            <a:effectLst/>
          </c:spPr>
          <c:invertIfNegative val="0"/>
          <c:dLbls>
            <c:delete val="1"/>
          </c:dLbls>
          <c:cat>
            <c:numRef>
              <c:f>全球总体!$S$6:$U$6</c:f>
              <c:numCache>
                <c:formatCode>General</c:formatCode>
                <c:ptCount val="3"/>
                <c:pt idx="0">
                  <c:v>2020</c:v>
                </c:pt>
                <c:pt idx="1">
                  <c:v>2025</c:v>
                </c:pt>
                <c:pt idx="2">
                  <c:v>2031</c:v>
                </c:pt>
              </c:numCache>
            </c:numRef>
          </c:cat>
          <c:val>
            <c:numRef>
              <c:f>全球总体!$S$7:$U$7</c:f>
              <c:numCache>
                <c:formatCode>#,##0_ </c:formatCode>
                <c:ptCount val="3"/>
                <c:pt idx="0">
                  <c:v>877</c:v>
                </c:pt>
                <c:pt idx="1">
                  <c:v>1225</c:v>
                </c:pt>
                <c:pt idx="2">
                  <c:v>2020.75356298814</c:v>
                </c:pt>
              </c:numCache>
            </c:numRef>
          </c:val>
        </c:ser>
        <c:dLbls>
          <c:showLegendKey val="0"/>
          <c:showVal val="0"/>
          <c:showCatName val="0"/>
          <c:showSerName val="0"/>
          <c:showPercent val="0"/>
          <c:showBubbleSize val="0"/>
        </c:dLbls>
        <c:gapWidth val="219"/>
        <c:overlap val="100"/>
        <c:serLines>
          <c:spPr>
            <a:ln w="15875" cap="sq" cmpd="sng" algn="ctr">
              <a:solidFill>
                <a:srgbClr val="002060"/>
              </a:solidFill>
              <a:round/>
              <a:headEnd type="triangle"/>
            </a:ln>
            <a:effectLst/>
          </c:spPr>
        </c:serLines>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19571343"/>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dTable>
      <c:spPr>
        <a:noFill/>
        <a:ln>
          <a:noFill/>
        </a:ln>
        <a:effectLst/>
      </c:spPr>
    </c:plotArea>
    <c:plotVisOnly val="1"/>
    <c:dispBlanksAs val="gap"/>
    <c:showDLblsOverMax val="0"/>
    <c:extLst>
      <c:ext uri="{0b15fc19-7d7d-44ad-8c2d-2c3a37ce22c3}">
        <chartProps xmlns="https://web.wps.cn/et/2018/main" chartId="{fbb0d5a0-fdd7-4e64-abcc-fe20429c7f6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r>
              <a:t>全球市场主要企业排名</a:t>
            </a: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2025</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Lbls>
            <c:delete val="1"/>
          </c:dLbls>
          <c:cat>
            <c:strRef>
              <c:f>企业收入!$H$2:$H$16</c:f>
              <c:strCache>
                <c:ptCount val="15"/>
                <c:pt idx="0">
                  <c:v>Mitsui Kinzoku</c:v>
                </c:pt>
                <c:pt idx="1">
                  <c:v>JX Nippon Mining &amp; Metals</c:v>
                </c:pt>
                <c:pt idx="2">
                  <c:v>Tosoh</c:v>
                </c:pt>
                <c:pt idx="3">
                  <c:v>Vital</c:v>
                </c:pt>
                <c:pt idx="4">
                  <c:v>Lesker</c:v>
                </c:pt>
                <c:pt idx="5">
                  <c:v>American Elements</c:v>
                </c:pt>
                <c:pt idx="6">
                  <c:v>Stanford Advanced Materials</c:v>
                </c:pt>
                <c:pt idx="7">
                  <c:v>Nanografi Nano Technology</c:v>
                </c:pt>
                <c:pt idx="8">
                  <c:v>QS Advanced Materials Inc</c:v>
                </c:pt>
                <c:pt idx="9">
                  <c:v>Advanced Engineering Materials Limited (AEM)</c:v>
                </c:pt>
                <c:pt idx="10">
                  <c:v>Premier Solutions</c:v>
                </c:pt>
                <c:pt idx="11">
                  <c:v>NC ELEMENTS</c:v>
                </c:pt>
                <c:pt idx="12">
                  <c:v>Rave Scientific</c:v>
                </c:pt>
                <c:pt idx="13">
                  <c:v>长沙壹纳光电材料</c:v>
                </c:pt>
                <c:pt idx="14">
                  <c:v>广西晶联光电材料</c:v>
                </c:pt>
              </c:strCache>
            </c:strRef>
          </c:cat>
          <c:val>
            <c:numRef>
              <c:f>企业收入!$I$2:$I$16</c:f>
              <c:numCache>
                <c:formatCode>0.0%</c:formatCode>
                <c:ptCount val="15"/>
                <c:pt idx="0">
                  <c:v>0.0978285896346644</c:v>
                </c:pt>
                <c:pt idx="1">
                  <c:v>0.0758590059473237</c:v>
                </c:pt>
                <c:pt idx="2">
                  <c:v>0.0682884876805438</c:v>
                </c:pt>
                <c:pt idx="3">
                  <c:v>0.0642830501274426</c:v>
                </c:pt>
                <c:pt idx="4">
                  <c:v>0.0615262956669499</c:v>
                </c:pt>
                <c:pt idx="5">
                  <c:v>0.0601599830076466</c:v>
                </c:pt>
                <c:pt idx="6">
                  <c:v>0.0512231520815633</c:v>
                </c:pt>
                <c:pt idx="7">
                  <c:v>0.0488615123194562</c:v>
                </c:pt>
                <c:pt idx="8">
                  <c:v>0.0458453695836873</c:v>
                </c:pt>
                <c:pt idx="9">
                  <c:v>0.0328789719626168</c:v>
                </c:pt>
                <c:pt idx="10">
                  <c:v>0.030918479184367</c:v>
                </c:pt>
                <c:pt idx="11">
                  <c:v>0.0289579864061173</c:v>
                </c:pt>
                <c:pt idx="12">
                  <c:v>0.0269974936278675</c:v>
                </c:pt>
                <c:pt idx="13">
                  <c:v>0.024406627017842</c:v>
                </c:pt>
                <c:pt idx="14">
                  <c:v>0.0218157604078165</c:v>
                </c:pt>
              </c:numCache>
            </c:numRef>
          </c:val>
        </c:ser>
        <c:dLbls>
          <c:showLegendKey val="0"/>
          <c:showVal val="0"/>
          <c:showCatName val="0"/>
          <c:showSerName val="0"/>
          <c:showPercent val="0"/>
          <c:showBubbleSize val="0"/>
        </c:dLbls>
        <c:gapWidth val="140"/>
        <c:overlap val="-40"/>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solidFill>
                <a:schemeClr val="lt1">
                  <a:lumMod val="90200"/>
                </a:schemeClr>
              </a:solidFill>
              <a:round/>
            </a:ln>
            <a:effectLst/>
          </c:spPr>
        </c:majorGridlines>
        <c:numFmt formatCode="0.0%" sourceLinked="1"/>
        <c:majorTickMark val="none"/>
        <c:minorTickMark val="none"/>
        <c:tickLblPos val="none"/>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72139183"/>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a05a7417-6a52-42ff-91b5-a061cfa2d753}"/>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分类!$R$2</c:f>
              <c:strCache>
                <c:ptCount val="1"/>
                <c:pt idx="0">
                  <c:v>纯度：3N</c:v>
                </c:pt>
              </c:strCache>
            </c:strRef>
          </c:tx>
          <c:spPr>
            <a:solidFill>
              <a:srgbClr val="002060"/>
            </a:solidFill>
            <a:ln>
              <a:noFill/>
            </a:ln>
            <a:effectLst/>
          </c:spPr>
          <c:invertIfNegative val="0"/>
          <c:dLbls>
            <c:delete val="1"/>
          </c:dLbls>
          <c:cat>
            <c:numRef>
              <c:f>分类!$S$1:$AD$1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分类!$S$2:$AD$2</c:f>
              <c:numCache>
                <c:formatCode>0.0%</c:formatCode>
                <c:ptCount val="12"/>
                <c:pt idx="0">
                  <c:v>0.120906496006968</c:v>
                </c:pt>
                <c:pt idx="1">
                  <c:v>0.129079030582125</c:v>
                </c:pt>
                <c:pt idx="2">
                  <c:v>0.134847921510741</c:v>
                </c:pt>
                <c:pt idx="3">
                  <c:v>0.131134656200049</c:v>
                </c:pt>
                <c:pt idx="4">
                  <c:v>0.135768463463974</c:v>
                </c:pt>
                <c:pt idx="5">
                  <c:v>0.133532447349571</c:v>
                </c:pt>
                <c:pt idx="6">
                  <c:v>0.133943520482197</c:v>
                </c:pt>
                <c:pt idx="7">
                  <c:v>0.130996220731396</c:v>
                </c:pt>
                <c:pt idx="8">
                  <c:v>0.132725198915607</c:v>
                </c:pt>
                <c:pt idx="9">
                  <c:v>0.139692991187329</c:v>
                </c:pt>
                <c:pt idx="10">
                  <c:v>0.138861995518796</c:v>
                </c:pt>
                <c:pt idx="11">
                  <c:v>0.13609827478903</c:v>
                </c:pt>
              </c:numCache>
            </c:numRef>
          </c:val>
        </c:ser>
        <c:ser>
          <c:idx val="1"/>
          <c:order val="1"/>
          <c:tx>
            <c:strRef>
              <c:f>分类!$R$3</c:f>
              <c:strCache>
                <c:ptCount val="1"/>
                <c:pt idx="0">
                  <c:v>纯度：4N</c:v>
                </c:pt>
              </c:strCache>
            </c:strRef>
          </c:tx>
          <c:spPr>
            <a:solidFill>
              <a:schemeClr val="bg1">
                <a:lumMod val="50000"/>
              </a:schemeClr>
            </a:solidFill>
            <a:ln>
              <a:noFill/>
            </a:ln>
            <a:effectLst/>
          </c:spPr>
          <c:invertIfNegative val="0"/>
          <c:dLbls>
            <c:delete val="1"/>
          </c:dLbls>
          <c:cat>
            <c:numRef>
              <c:f>分类!$S$1:$AD$1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分类!$S$3:$AD$3</c:f>
              <c:numCache>
                <c:formatCode>0.0%</c:formatCode>
                <c:ptCount val="12"/>
                <c:pt idx="0">
                  <c:v>0.537082333841694</c:v>
                </c:pt>
                <c:pt idx="1">
                  <c:v>0.539229227811518</c:v>
                </c:pt>
                <c:pt idx="2">
                  <c:v>0.526656049011393</c:v>
                </c:pt>
                <c:pt idx="3">
                  <c:v>0.537638154750043</c:v>
                </c:pt>
                <c:pt idx="4">
                  <c:v>0.525622894541759</c:v>
                </c:pt>
                <c:pt idx="5">
                  <c:v>0.52642838313254</c:v>
                </c:pt>
                <c:pt idx="6">
                  <c:v>0.536028405068943</c:v>
                </c:pt>
                <c:pt idx="7">
                  <c:v>0.531280874966318</c:v>
                </c:pt>
                <c:pt idx="8">
                  <c:v>0.533683410107778</c:v>
                </c:pt>
                <c:pt idx="9">
                  <c:v>0.524888691800879</c:v>
                </c:pt>
                <c:pt idx="10">
                  <c:v>0.527122347929518</c:v>
                </c:pt>
                <c:pt idx="11">
                  <c:v>0.529801693327077</c:v>
                </c:pt>
              </c:numCache>
            </c:numRef>
          </c:val>
        </c:ser>
        <c:ser>
          <c:idx val="3"/>
          <c:order val="3"/>
          <c:tx>
            <c:strRef>
              <c:f>分类!$R$4</c:f>
              <c:strCache>
                <c:ptCount val="1"/>
                <c:pt idx="0">
                  <c:v>纯度：5N</c:v>
                </c:pt>
              </c:strCache>
            </c:strRef>
          </c:tx>
          <c:spPr>
            <a:solidFill>
              <a:srgbClr val="FFC000"/>
            </a:solidFill>
            <a:ln>
              <a:noFill/>
            </a:ln>
            <a:effectLst/>
          </c:spPr>
          <c:invertIfNegative val="0"/>
          <c:dLbls>
            <c:delete val="1"/>
          </c:dLbls>
          <c:cat>
            <c:numRef>
              <c:f>分类!$S$1:$AD$1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分类!$S$4:$AD$4</c:f>
              <c:numCache>
                <c:formatCode>0.0%</c:formatCode>
                <c:ptCount val="12"/>
                <c:pt idx="0">
                  <c:v>0.342011170151337</c:v>
                </c:pt>
                <c:pt idx="1">
                  <c:v>0.331691741606357</c:v>
                </c:pt>
                <c:pt idx="2">
                  <c:v>0.338496029477867</c:v>
                </c:pt>
                <c:pt idx="3">
                  <c:v>0.331227189049908</c:v>
                </c:pt>
                <c:pt idx="4">
                  <c:v>0.338608641994268</c:v>
                </c:pt>
                <c:pt idx="5">
                  <c:v>0.340039169517889</c:v>
                </c:pt>
                <c:pt idx="6">
                  <c:v>0.330028074448861</c:v>
                </c:pt>
                <c:pt idx="7">
                  <c:v>0.337722904302286</c:v>
                </c:pt>
                <c:pt idx="8">
                  <c:v>0.333591390976615</c:v>
                </c:pt>
                <c:pt idx="9">
                  <c:v>0.335418317011792</c:v>
                </c:pt>
                <c:pt idx="10">
                  <c:v>0.334015656551686</c:v>
                </c:pt>
                <c:pt idx="11">
                  <c:v>0.334100031883892</c:v>
                </c:pt>
              </c:numCache>
            </c:numRef>
          </c:val>
        </c:ser>
        <c:dLbls>
          <c:showLegendKey val="0"/>
          <c:showVal val="0"/>
          <c:showCatName val="0"/>
          <c:showSerName val="0"/>
          <c:showPercent val="0"/>
          <c:showBubbleSize val="0"/>
        </c:dLbls>
        <c:gapWidth val="45"/>
        <c:overlap val="100"/>
        <c:axId val="1897692240"/>
        <c:axId val="1897707216"/>
        <c:extLst>
          <c:ext xmlns:c15="http://schemas.microsoft.com/office/drawing/2012/chart" uri="{02D57815-91ED-43cb-92C2-25804820EDAC}">
            <c15:filteredBarSeries>
              <c15:ser>
                <c:idx val="2"/>
                <c:order val="2"/>
                <c:tx>
                  <c:strRef>
                    <c:extLst>
                      <c:ext uri="{02D57815-91ED-43cb-92C2-25804820EDAC}">
                        <c15:formulaRef>
                          <c15:sqref>分类!#REF!</c15:sqref>
                        </c15:formulaRef>
                      </c:ext>
                    </c:extLst>
                    <c:strCache>
                      <c:ptCount val="1"/>
                      <c:pt idx="0">
                        <c:v>#REF!</c:v>
                      </c:pt>
                    </c:strCache>
                  </c:strRef>
                </c:tx>
                <c:spPr>
                  <a:solidFill>
                    <a:srgbClr val="0070C0"/>
                  </a:solidFill>
                  <a:ln>
                    <a:noFill/>
                  </a:ln>
                  <a:effectLst/>
                </c:spPr>
                <c:invertIfNegative val="0"/>
                <c:dLbls>
                  <c:delete val="1"/>
                </c:dLbls>
                <c:cat>
                  <c:numRef>
                    <c:extLst>
                      <c:ext uri="{02D57815-91ED-43cb-92C2-25804820EDAC}">
                        <c15:fullRef>
                          <c15:sqref/>
                        </c15:fullRef>
                        <c15:formulaRef>
                          <c15:sqref>分类!$S$1:$AD$1</c15:sqref>
                        </c15:formulaRef>
                      </c:ext>
                    </c:extLst>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extLst>
                      <c:ext uri="{02D57815-91ED-43cb-92C2-25804820EDAC}">
                        <c15:formulaRef>
                          <c15:sqref>分类!#REF!</c15:sqref>
                        </c15:formulaRef>
                      </c:ext>
                    </c:extLst>
                    <c:numCache>
                      <c:formatCode>General</c:formatCode>
                      <c:ptCount val="1"/>
                      <c:pt idx="0">
                        <c:v>1</c:v>
                      </c:pt>
                    </c:numCache>
                  </c:numRef>
                </c:val>
              </c15:ser>
            </c15:filteredBarSeries>
          </c:ext>
        </c:extLst>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f2855fe5-25ea-4e14-8d98-f1e88d277374}"/>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1"/>
          <c:order val="0"/>
          <c:tx>
            <c:strRef>
              <c:f>应用!$A$2</c:f>
              <c:strCache>
                <c:ptCount val="1"/>
                <c:pt idx="0">
                  <c:v>电子信息</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应用!$B$2:$M$2</c:f>
              <c:numCache>
                <c:formatCode>#,##0_);[Red]\(#,##0\)</c:formatCode>
                <c:ptCount val="12"/>
                <c:pt idx="0">
                  <c:v>895.956006063328</c:v>
                </c:pt>
                <c:pt idx="1">
                  <c:v>907.256886065073</c:v>
                </c:pt>
                <c:pt idx="2">
                  <c:v>932.247206748369</c:v>
                </c:pt>
                <c:pt idx="3">
                  <c:v>872.953519981937</c:v>
                </c:pt>
                <c:pt idx="4">
                  <c:v>922.019438676555</c:v>
                </c:pt>
                <c:pt idx="5">
                  <c:v>950.91045812439</c:v>
                </c:pt>
                <c:pt idx="6">
                  <c:v>1012.96783870454</c:v>
                </c:pt>
                <c:pt idx="7">
                  <c:v>1096.34420337373</c:v>
                </c:pt>
                <c:pt idx="8">
                  <c:v>1137.62327026662</c:v>
                </c:pt>
                <c:pt idx="9">
                  <c:v>1240.15029807779</c:v>
                </c:pt>
                <c:pt idx="10">
                  <c:v>1310.42715180679</c:v>
                </c:pt>
                <c:pt idx="11">
                  <c:v>1382.16978603552</c:v>
                </c:pt>
              </c:numCache>
            </c:numRef>
          </c:val>
        </c:ser>
        <c:ser>
          <c:idx val="2"/>
          <c:order val="1"/>
          <c:tx>
            <c:strRef>
              <c:f>应用!$A$3</c:f>
              <c:strCache>
                <c:ptCount val="1"/>
                <c:pt idx="0">
                  <c:v>显示</c:v>
                </c:pt>
              </c:strCache>
            </c:strRef>
          </c:tx>
          <c:spPr>
            <a:solidFill>
              <a:schemeClr val="accent6">
                <a:lumMod val="75000"/>
              </a:schemeClr>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应用!$B$3:$M$3</c:f>
              <c:numCache>
                <c:formatCode>#,##0_);[Red]\(#,##0\)</c:formatCode>
                <c:ptCount val="12"/>
                <c:pt idx="0">
                  <c:v>297.906171120593</c:v>
                </c:pt>
                <c:pt idx="1">
                  <c:v>303.352692925136</c:v>
                </c:pt>
                <c:pt idx="2">
                  <c:v>324.02799390646</c:v>
                </c:pt>
                <c:pt idx="3">
                  <c:v>299.853718672387</c:v>
                </c:pt>
                <c:pt idx="4">
                  <c:v>320.008531089561</c:v>
                </c:pt>
                <c:pt idx="5">
                  <c:v>327.637417462731</c:v>
                </c:pt>
                <c:pt idx="6">
                  <c:v>350.7280902454</c:v>
                </c:pt>
                <c:pt idx="7">
                  <c:v>372.32108357453</c:v>
                </c:pt>
                <c:pt idx="8">
                  <c:v>398.944502603052</c:v>
                </c:pt>
                <c:pt idx="9">
                  <c:v>458.772197162027</c:v>
                </c:pt>
                <c:pt idx="10">
                  <c:v>479.12194479753</c:v>
                </c:pt>
                <c:pt idx="11">
                  <c:v>489.962272293645</c:v>
                </c:pt>
              </c:numCache>
            </c:numRef>
          </c:val>
        </c:ser>
        <c:ser>
          <c:idx val="3"/>
          <c:order val="2"/>
          <c:tx>
            <c:strRef>
              <c:f>应用!$A$4</c:f>
              <c:strCache>
                <c:ptCount val="1"/>
                <c:pt idx="0">
                  <c:v>光伏</c:v>
                </c:pt>
              </c:strCache>
            </c:strRef>
          </c:tx>
          <c:spPr>
            <a:solidFill>
              <a:schemeClr val="tx2">
                <a:lumMod val="60000"/>
                <a:lumOff val="40000"/>
              </a:schemeClr>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应用!$B$4:$M$4</c:f>
              <c:numCache>
                <c:formatCode>#,##0_);[Red]\(#,##0\)</c:formatCode>
                <c:ptCount val="12"/>
                <c:pt idx="0">
                  <c:v>144.478100157197</c:v>
                </c:pt>
                <c:pt idx="1">
                  <c:v>148.792765731341</c:v>
                </c:pt>
                <c:pt idx="2">
                  <c:v>122.343903049044</c:v>
                </c:pt>
                <c:pt idx="3">
                  <c:v>151.520130955069</c:v>
                </c:pt>
                <c:pt idx="4">
                  <c:v>110.398830005704</c:v>
                </c:pt>
                <c:pt idx="5">
                  <c:v>125.467352113635</c:v>
                </c:pt>
                <c:pt idx="6">
                  <c:v>156.680744956674</c:v>
                </c:pt>
                <c:pt idx="7">
                  <c:v>162.006800606006</c:v>
                </c:pt>
                <c:pt idx="8">
                  <c:v>199.161708097631</c:v>
                </c:pt>
                <c:pt idx="9">
                  <c:v>196.35900920301</c:v>
                </c:pt>
                <c:pt idx="10">
                  <c:v>205.201629743962</c:v>
                </c:pt>
                <c:pt idx="11">
                  <c:v>207.262812883296</c:v>
                </c:pt>
              </c:numCache>
            </c:numRef>
          </c:val>
        </c:ser>
        <c:ser>
          <c:idx val="4"/>
          <c:order val="3"/>
          <c:tx>
            <c:strRef>
              <c:f>应用!$A$5</c:f>
              <c:strCache>
                <c:ptCount val="1"/>
                <c:pt idx="0">
                  <c:v>其他</c:v>
                </c:pt>
              </c:strCache>
            </c:strRef>
          </c:tx>
          <c:spPr>
            <a:solidFill>
              <a:schemeClr val="accent1">
                <a:lumMod val="75000"/>
              </a:schemeClr>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应用!$B$5:$M$5</c:f>
              <c:numCache>
                <c:formatCode>#,##0_);[Red]\(#,##0\)</c:formatCode>
                <c:ptCount val="12"/>
                <c:pt idx="0">
                  <c:v>259.868795194251</c:v>
                </c:pt>
                <c:pt idx="1">
                  <c:v>288.358073122753</c:v>
                </c:pt>
                <c:pt idx="2">
                  <c:v>288.191564539233</c:v>
                </c:pt>
                <c:pt idx="3">
                  <c:v>268.9442492662</c:v>
                </c:pt>
                <c:pt idx="4">
                  <c:v>292.861277809469</c:v>
                </c:pt>
                <c:pt idx="5">
                  <c:v>289.201400013614</c:v>
                </c:pt>
                <c:pt idx="6">
                  <c:v>329.455025699925</c:v>
                </c:pt>
                <c:pt idx="7">
                  <c:v>333.046707670043</c:v>
                </c:pt>
                <c:pt idx="8">
                  <c:v>334.558544995605</c:v>
                </c:pt>
                <c:pt idx="9">
                  <c:v>359.127326820201</c:v>
                </c:pt>
                <c:pt idx="10">
                  <c:v>391.314735790812</c:v>
                </c:pt>
                <c:pt idx="11">
                  <c:v>426.80601008495</c:v>
                </c:pt>
              </c:numCache>
            </c:numRef>
          </c:val>
        </c:ser>
        <c:ser>
          <c:idx val="5"/>
          <c:order val="4"/>
          <c:tx>
            <c:strRef>
              <c:f>应用!#REF!</c:f>
              <c:strCache>
                <c:ptCount val="1"/>
                <c:pt idx="0">
                  <c:v>#REF!</c:v>
                </c:pt>
              </c:strCache>
            </c:strRef>
          </c:tx>
          <c:spPr>
            <a:solidFill>
              <a:schemeClr val="accent6"/>
            </a:solidFill>
            <a:ln>
              <a:noFill/>
            </a:ln>
            <a:effectLst/>
          </c:spPr>
          <c:invertIfNegative val="0"/>
          <c:dLbls>
            <c:dLbl>
              <c:idx val="0"/>
              <c:delete val="1"/>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应用!#REF!</c:f>
              <c:numCache>
                <c:formatCode>General</c:formatCode>
                <c:ptCount val="1"/>
                <c:pt idx="0">
                  <c:v>1</c:v>
                </c:pt>
              </c:numCache>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egendEntry>
        <c:idx val="4"/>
        <c:delete val="1"/>
      </c:legendEntry>
      <c:layout>
        <c:manualLayout>
          <c:xMode val="edge"/>
          <c:yMode val="edge"/>
          <c:x val="0.0695485312899106"/>
          <c:y val="0.865502222222222"/>
          <c:w val="0.899999935457429"/>
          <c:h val="0.0658464052287582"/>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4425f7ef-52f9-4801-9d43-6946f848dcad}"/>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北美</c:v>
                </c:pt>
              </c:strCache>
            </c:strRef>
          </c:tx>
          <c:spPr>
            <a:solidFill>
              <a:srgbClr val="00206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'地区-消费'!$B$2:$M$2</c:f>
              <c:numCache>
                <c:formatCode>#,##0_);[Red]\(#,##0\)</c:formatCode>
                <c:ptCount val="12"/>
                <c:pt idx="0">
                  <c:v>1999.49451723285</c:v>
                </c:pt>
                <c:pt idx="1">
                  <c:v>2050.09875186351</c:v>
                </c:pt>
                <c:pt idx="2">
                  <c:v>2165.5679483572</c:v>
                </c:pt>
                <c:pt idx="3">
                  <c:v>1999.2919316296</c:v>
                </c:pt>
                <c:pt idx="4">
                  <c:v>2067.16200496689</c:v>
                </c:pt>
                <c:pt idx="5">
                  <c:v>2118.90890841014</c:v>
                </c:pt>
                <c:pt idx="6">
                  <c:v>2325.3727925226</c:v>
                </c:pt>
                <c:pt idx="7">
                  <c:v>2465.14753895358</c:v>
                </c:pt>
                <c:pt idx="8">
                  <c:v>2681.67175882498</c:v>
                </c:pt>
                <c:pt idx="9">
                  <c:v>2897.25311255554</c:v>
                </c:pt>
                <c:pt idx="10">
                  <c:v>3073.66857002215</c:v>
                </c:pt>
                <c:pt idx="11">
                  <c:v>3170.79979441997</c:v>
                </c:pt>
              </c:numCache>
            </c:numRef>
          </c:val>
        </c:ser>
        <c:ser>
          <c:idx val="1"/>
          <c:order val="1"/>
          <c:tx>
            <c:strRef>
              <c:f>'地区-消费'!$A$3</c:f>
              <c:strCache>
                <c:ptCount val="1"/>
                <c:pt idx="0">
                  <c:v>欧洲</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'地区-消费'!$B$3:$M$3</c:f>
              <c:numCache>
                <c:formatCode>#,##0_);[Red]\(#,##0\)</c:formatCode>
                <c:ptCount val="12"/>
                <c:pt idx="0">
                  <c:v>2494.64433047493</c:v>
                </c:pt>
                <c:pt idx="1">
                  <c:v>2527.28419413616</c:v>
                </c:pt>
                <c:pt idx="2">
                  <c:v>2510.29695274352</c:v>
                </c:pt>
                <c:pt idx="3">
                  <c:v>2432.92269498838</c:v>
                </c:pt>
                <c:pt idx="4">
                  <c:v>2491.67275165563</c:v>
                </c:pt>
                <c:pt idx="5">
                  <c:v>2694.04658986175</c:v>
                </c:pt>
                <c:pt idx="6">
                  <c:v>2951.32673788003</c:v>
                </c:pt>
                <c:pt idx="7">
                  <c:v>3166.64702640643</c:v>
                </c:pt>
                <c:pt idx="8">
                  <c:v>3382.66459639595</c:v>
                </c:pt>
                <c:pt idx="9">
                  <c:v>3694.76282376173</c:v>
                </c:pt>
                <c:pt idx="10">
                  <c:v>3869.16573303799</c:v>
                </c:pt>
                <c:pt idx="11">
                  <c:v>4068.58998205254</c:v>
                </c:pt>
              </c:numCache>
            </c:numRef>
          </c:val>
        </c:ser>
        <c:ser>
          <c:idx val="2"/>
          <c:order val="2"/>
          <c:tx>
            <c:strRef>
              <c:f>'地区-消费'!$A$4</c:f>
              <c:strCache>
                <c:ptCount val="1"/>
                <c:pt idx="0">
                  <c:v>亚太</c:v>
                </c:pt>
              </c:strCache>
            </c:strRef>
          </c:tx>
          <c:spPr>
            <a:solidFill>
              <a:srgbClr val="0070C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'地区-消费'!$B$4:$M$4</c:f>
              <c:numCache>
                <c:formatCode>#,##0_);[Red]\(#,##0\)</c:formatCode>
                <c:ptCount val="12"/>
                <c:pt idx="0">
                  <c:v>1485.33207783641</c:v>
                </c:pt>
                <c:pt idx="1">
                  <c:v>1523.90311744244</c:v>
                </c:pt>
                <c:pt idx="2">
                  <c:v>1518.45785318216</c:v>
                </c:pt>
                <c:pt idx="3">
                  <c:v>1476.66322602058</c:v>
                </c:pt>
                <c:pt idx="4">
                  <c:v>1509.90211589404</c:v>
                </c:pt>
                <c:pt idx="5">
                  <c:v>1549.17504032258</c:v>
                </c:pt>
                <c:pt idx="6">
                  <c:v>1685.51767050123</c:v>
                </c:pt>
                <c:pt idx="7">
                  <c:v>1801.8210185337</c:v>
                </c:pt>
                <c:pt idx="8">
                  <c:v>1880.90422364848</c:v>
                </c:pt>
                <c:pt idx="9">
                  <c:v>2030.3520371894</c:v>
                </c:pt>
                <c:pt idx="10">
                  <c:v>2153.29284108622</c:v>
                </c:pt>
                <c:pt idx="11">
                  <c:v>2273.72971120901</c:v>
                </c:pt>
              </c:numCache>
            </c:numRef>
          </c:val>
        </c:ser>
        <c:ser>
          <c:idx val="3"/>
          <c:order val="3"/>
          <c:tx>
            <c:strRef>
              <c:f>'地区-消费'!$A$5</c:f>
              <c:strCache>
                <c:ptCount val="1"/>
                <c:pt idx="0">
                  <c:v>拉美</c:v>
                </c:pt>
              </c:strCache>
            </c:strRef>
          </c:tx>
          <c:spPr>
            <a:solidFill>
              <a:srgbClr val="FFC00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'地区-消费'!$B$5:$M$5</c:f>
              <c:numCache>
                <c:formatCode>#,##0_);[Red]\(#,##0\)</c:formatCode>
                <c:ptCount val="12"/>
                <c:pt idx="0">
                  <c:v>92.2464454155673</c:v>
                </c:pt>
                <c:pt idx="1">
                  <c:v>95.1232300811661</c:v>
                </c:pt>
                <c:pt idx="2">
                  <c:v>97.0725813125879</c:v>
                </c:pt>
                <c:pt idx="3">
                  <c:v>92.5110189180219</c:v>
                </c:pt>
                <c:pt idx="4">
                  <c:v>89.0565289735099</c:v>
                </c:pt>
                <c:pt idx="5">
                  <c:v>87.6891532258065</c:v>
                </c:pt>
                <c:pt idx="6">
                  <c:v>92.7636211996713</c:v>
                </c:pt>
                <c:pt idx="7">
                  <c:v>98.8508922420863</c:v>
                </c:pt>
                <c:pt idx="8">
                  <c:v>104.914606270057</c:v>
                </c:pt>
                <c:pt idx="9">
                  <c:v>113.579261148593</c:v>
                </c:pt>
                <c:pt idx="10">
                  <c:v>120.049008122077</c:v>
                </c:pt>
                <c:pt idx="11">
                  <c:v>125.298169358786</c:v>
                </c:pt>
              </c:numCache>
            </c:numRef>
          </c:val>
        </c:ser>
        <c:ser>
          <c:idx val="4"/>
          <c:order val="4"/>
          <c:tx>
            <c:strRef>
              <c:f>'地区-消费'!$A$7</c:f>
              <c:strCache>
                <c:ptCount val="1"/>
                <c:pt idx="0">
                  <c:v>全球其他</c:v>
                </c:pt>
              </c:strCache>
            </c:strRef>
          </c:tx>
          <c:spPr>
            <a:solidFill>
              <a:schemeClr val="tx1">
                <a:lumMod val="65000"/>
                <a:lumOff val="35000"/>
              </a:schemeClr>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'地区-消费'!$B$7:$M$7</c:f>
              <c:numCache>
                <c:formatCode>#,##0_);[Red]\(#,##0\)</c:formatCode>
                <c:ptCount val="12"/>
                <c:pt idx="0">
                  <c:v>109.616005112137</c:v>
                </c:pt>
                <c:pt idx="1">
                  <c:v>112.264725857214</c:v>
                </c:pt>
                <c:pt idx="2">
                  <c:v>110.66274269635</c:v>
                </c:pt>
                <c:pt idx="3">
                  <c:v>106.094915366744</c:v>
                </c:pt>
                <c:pt idx="4">
                  <c:v>108.634639900662</c:v>
                </c:pt>
                <c:pt idx="5">
                  <c:v>108.32189516129</c:v>
                </c:pt>
                <c:pt idx="6">
                  <c:v>118.160001643385</c:v>
                </c:pt>
                <c:pt idx="7">
                  <c:v>125.91381663113</c:v>
                </c:pt>
                <c:pt idx="8">
                  <c:v>133.637625277709</c:v>
                </c:pt>
                <c:pt idx="9">
                  <c:v>145.001765673852</c:v>
                </c:pt>
                <c:pt idx="10">
                  <c:v>153.510944294036</c:v>
                </c:pt>
                <c:pt idx="11">
                  <c:v>160.223233806494</c:v>
                </c:pt>
              </c:numCache>
            </c:numRef>
          </c:val>
        </c:ser>
        <c:dLbls>
          <c:showLegendKey val="0"/>
          <c:showVal val="0"/>
          <c:showCatName val="0"/>
          <c:showSerName val="0"/>
          <c:showPercent val="0"/>
          <c:showBubbleSize val="0"/>
        </c:dLbls>
        <c:gapWidth val="45"/>
        <c:overlap val="100"/>
        <c:axId val="1897692240"/>
        <c:axId val="1897707216"/>
        <c:extLst>
          <c:ext xmlns:c15="http://schemas.microsoft.com/office/drawing/2012/chart" uri="{02D57815-91ED-43cb-92C2-25804820EDAC}">
            <c15:filteredBarSeries>
              <c15:ser>
                <c:idx val="5"/>
                <c:order val="5"/>
                <c:tx>
                  <c:strRef>
                    <c:extLst>
                      <c:ext uri="{02D57815-91ED-43cb-92C2-25804820EDAC}">
                        <c15:formulaRef>
                          <c15:sqref>'地区-消费'!#REF!</c15:sqref>
                        </c15:formulaRef>
                      </c:ext>
                    </c:extLst>
                    <c:strCache>
                      <c:ptCount val="1"/>
                      <c:pt idx="0">
                        <c:v>#REF!</c:v>
                      </c:pt>
                    </c:strCache>
                  </c:strRef>
                </c:tx>
                <c:spPr>
                  <a:solidFill>
                    <a:srgbClr val="C00000"/>
                  </a:solidFill>
                  <a:ln>
                    <a:noFill/>
                  </a:ln>
                  <a:effectLst/>
                </c:spPr>
                <c:invertIfNegative val="0"/>
                <c:dLbls>
                  <c:delete val="1"/>
                </c:dLbls>
                <c:cat>
                  <c:numRef>
                    <c:extLst>
                      <c:ext uri="{02D57815-91ED-43cb-92C2-25804820EDAC}">
                        <c15:fullRef>
                          <c15:sqref/>
                        </c15:fullRef>
                        <c15:formulaRef>
                          <c15:sqref>'地区-消费'!$B$1:$M$1</c15:sqref>
                        </c15:formulaRef>
                      </c:ext>
                    </c:extLst>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extLst>
                      <c:ext uri="{02D57815-91ED-43cb-92C2-25804820EDAC}">
                        <c15:formulaRef>
                          <c15:sqref>'地区-消费'!#REF!</c15:sqref>
                        </c15:formulaRef>
                      </c:ext>
                    </c:extLst>
                    <c:numCache>
                      <c:formatCode>General</c:formatCode>
                      <c:ptCount val="1"/>
                      <c:pt idx="0">
                        <c:v>1</c:v>
                      </c:pt>
                    </c:numCache>
                  </c:numRef>
                </c:val>
              </c15:ser>
            </c15:filteredBarSeries>
            <c15:filteredBarSeries>
              <c15:ser>
                <c:idx val="6"/>
                <c:order val="6"/>
                <c:tx>
                  <c:strRef>
                    <c:extLst>
                      <c:ext uri="{02D57815-91ED-43cb-92C2-25804820EDAC}">
                        <c15:formulaRef>
                          <c15:sqref>'地区-消费'!#REF!</c15:sqref>
                        </c15:formulaRef>
                      </c:ext>
                    </c:extLst>
                    <c:strCache>
                      <c:ptCount val="1"/>
                      <c:pt idx="0">
                        <c:v>#REF!</c:v>
                      </c:pt>
                    </c:strCache>
                  </c:strRef>
                </c:tx>
                <c:spPr>
                  <a:solidFill>
                    <a:srgbClr val="7030A0"/>
                  </a:solidFill>
                  <a:ln>
                    <a:noFill/>
                  </a:ln>
                  <a:effectLst/>
                </c:spPr>
                <c:invertIfNegative val="0"/>
                <c:dLbls>
                  <c:delete val="1"/>
                </c:dLbls>
                <c:cat>
                  <c:numRef>
                    <c:extLst>
                      <c:ext uri="{02D57815-91ED-43cb-92C2-25804820EDAC}">
                        <c15:fullRef>
                          <c15:sqref/>
                        </c15:fullRef>
                        <c15:formulaRef>
                          <c15:sqref>'地区-消费'!$B$1:$M$1</c15:sqref>
                        </c15:formulaRef>
                      </c:ext>
                    </c:extLst>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extLst>
                      <c:ext uri="{02D57815-91ED-43cb-92C2-25804820EDAC}">
                        <c15:formulaRef>
                          <c15:sqref>'地区-消费'!#REF!</c15:sqref>
                        </c15:formulaRef>
                      </c:ext>
                    </c:extLst>
                    <c:numCache>
                      <c:formatCode>General</c:formatCode>
                      <c:ptCount val="1"/>
                      <c:pt idx="0">
                        <c:v>1</c:v>
                      </c:pt>
                    </c:numCache>
                  </c:numRef>
                </c:val>
              </c15:ser>
            </c15:filteredBarSeries>
            <c15:filteredBarSeries>
              <c15:ser>
                <c:idx val="7"/>
                <c:order val="7"/>
                <c:tx>
                  <c:strRef>
                    <c:extLst>
                      <c:ext uri="{02D57815-91ED-43cb-92C2-25804820EDAC}">
                        <c15:formulaRef>
                          <c15:sqref>'地区-消费'!#REF!</c15:sqref>
                        </c15:formulaRef>
                      </c:ext>
                    </c:extLst>
                    <c:strCache>
                      <c:ptCount val="1"/>
                      <c:pt idx="0">
                        <c:v>#REF!</c:v>
                      </c:pt>
                    </c:strCache>
                  </c:strRef>
                </c:tx>
                <c:spPr>
                  <a:solidFill>
                    <a:schemeClr val="tx2">
                      <a:lumMod val="60000"/>
                      <a:lumOff val="40000"/>
                    </a:schemeClr>
                  </a:solidFill>
                  <a:ln>
                    <a:noFill/>
                  </a:ln>
                  <a:effectLst/>
                </c:spPr>
                <c:invertIfNegative val="0"/>
                <c:dLbls>
                  <c:delete val="1"/>
                </c:dLbls>
                <c:cat>
                  <c:numRef>
                    <c:extLst>
                      <c:ext uri="{02D57815-91ED-43cb-92C2-25804820EDAC}">
                        <c15:fullRef>
                          <c15:sqref/>
                        </c15:fullRef>
                        <c15:formulaRef>
                          <c15:sqref>'地区-消费'!$B$1:$M$1</c15:sqref>
                        </c15:formulaRef>
                      </c:ext>
                    </c:extLst>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extLst>
                      <c:ext uri="{02D57815-91ED-43cb-92C2-25804820EDAC}">
                        <c15:formulaRef>
                          <c15:sqref>'地区-消费'!#REF!</c15:sqref>
                        </c15:formulaRef>
                      </c:ext>
                    </c:extLst>
                    <c:numCache>
                      <c:formatCode>General</c:formatCode>
                      <c:ptCount val="1"/>
                      <c:pt idx="0">
                        <c:v>1</c:v>
                      </c:pt>
                    </c:numCache>
                  </c:numRef>
                </c:val>
              </c15:ser>
            </c15:filteredBarSeries>
            <c15:filteredBarSeries>
              <c15:ser>
                <c:idx val="8"/>
                <c:order val="8"/>
                <c:tx>
                  <c:strRef>
                    <c:extLst>
                      <c:ext uri="{02D57815-91ED-43cb-92C2-25804820EDAC}">
                        <c15:formulaRef>
                          <c15:sqref>'地区-消费'!#REF!</c15:sqref>
                        </c15:formulaRef>
                      </c:ext>
                    </c:extLst>
                    <c:strCache>
                      <c:ptCount val="1"/>
                      <c:pt idx="0">
                        <c:v>#REF!</c:v>
                      </c:pt>
                    </c:strCache>
                  </c:strRef>
                </c:tx>
                <c:spPr>
                  <a:solidFill>
                    <a:schemeClr val="accent6">
                      <a:lumMod val="75000"/>
                    </a:schemeClr>
                  </a:solidFill>
                  <a:ln>
                    <a:noFill/>
                  </a:ln>
                  <a:effectLst/>
                </c:spPr>
                <c:invertIfNegative val="0"/>
                <c:dLbls>
                  <c:delete val="1"/>
                </c:dLbls>
                <c:cat>
                  <c:numRef>
                    <c:extLst>
                      <c:ext uri="{02D57815-91ED-43cb-92C2-25804820EDAC}">
                        <c15:fullRef>
                          <c15:sqref/>
                        </c15:fullRef>
                        <c15:formulaRef>
                          <c15:sqref>'地区-消费'!$B$1:$M$1</c15:sqref>
                        </c15:formulaRef>
                      </c:ext>
                    </c:extLst>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extLst>
                      <c:ext uri="{02D57815-91ED-43cb-92C2-25804820EDAC}">
                        <c15:formulaRef>
                          <c15:sqref>'地区-消费'!#REF!</c15:sqref>
                        </c15:formulaRef>
                      </c:ext>
                    </c:extLst>
                    <c:numCache>
                      <c:formatCode>General</c:formatCode>
                      <c:ptCount val="1"/>
                      <c:pt idx="0">
                        <c:v>1</c:v>
                      </c:pt>
                    </c:numCache>
                  </c:numRef>
                </c:val>
              </c15:ser>
            </c15:filteredBarSeries>
          </c:ext>
        </c:extLst>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2e97b4d0-9f9d-40b9-9b92-f3bb0b00eb09}"/>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118">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0.66887</cdr:x>
      <cdr:y>0.29051</cdr:y>
    </cdr:from>
    <cdr:to>
      <cdr:x>0.79134</cdr:x>
      <cdr:y>0.39639</cdr:y>
    </cdr:to>
    <cdr:sp>
      <cdr:nvSpPr>
        <cdr:cNvPr id="2" name="椭圆 1"/>
        <cdr:cNvSpPr/>
      </cdr:nvSpPr>
      <cdr:spPr xmlns:a="http://schemas.openxmlformats.org/drawingml/2006/main">
        <a:xfrm xmlns:a="http://schemas.openxmlformats.org/drawingml/2006/main" rot="19278898">
          <a:off x="4286096" y="888954"/>
          <a:ext cx="784788" cy="323993"/>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8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dr:relSizeAnchor xmlns:cdr="http://schemas.openxmlformats.org/drawingml/2006/chartDrawing">
    <cdr:from>
      <cdr:x>0.42588</cdr:x>
      <cdr:y>0.46318</cdr:y>
    </cdr:from>
    <cdr:to>
      <cdr:x>0.54835</cdr:x>
      <cdr:y>0.56957</cdr:y>
    </cdr:to>
    <cdr:sp>
      <cdr:nvSpPr>
        <cdr:cNvPr id="3" name="椭圆 2"/>
        <cdr:cNvSpPr/>
      </cdr:nvSpPr>
      <cdr:spPr xmlns:a="http://schemas.openxmlformats.org/drawingml/2006/main">
        <a:xfrm xmlns:a="http://schemas.openxmlformats.org/drawingml/2006/main" rot="20556463">
          <a:off x="2729008" y="1417341"/>
          <a:ext cx="784788" cy="325553"/>
        </a:xfrm>
        <a:prstGeom xmlns:a="http://schemas.openxmlformats.org/drawingml/2006/main" prst="ellipse">
          <a:avLst/>
        </a:prstGeom>
        <a:solidFill>
          <a:srgbClr val="FFC000"/>
        </a:solidFill>
        <a:ln>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900" baseline="0">
            <a:solidFill>
              <a:srgbClr val="002060"/>
            </a:solidFill>
            <a:latin typeface="Times New Roman" panose="02020603050405020304" charset="0"/>
            <a:ea typeface="宋体" panose="02010600030101010101" charset="-122"/>
            <a:cs typeface="Times New Roman" panose="02020603050405020304"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2080</Words>
  <Characters>2627</Characters>
  <Lines>19</Lines>
  <Paragraphs>5</Paragraphs>
  <TotalTime>734</TotalTime>
  <ScaleCrop>false</ScaleCrop>
  <LinksUpToDate>false</LinksUpToDate>
  <CharactersWithSpaces>2660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2026-01-28T06:46:42Z</dcterms:modified>
  <cp:revision>962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2052-12.1.0.24657</vt:lpwstr>
  </property>
  <property fmtid="{D5CDD505-2E9C-101B-9397-08002B2CF9AE}" pid="4" name="ICV">
    <vt:lpwstr>202AFC87103249149A6E356CC567A29D_12</vt:lpwstr>
  </property>
</Properties>
</file>