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F827E7">
      <w:pPr>
        <w:pStyle w:val="145"/>
        <w:rPr>
          <w:lang w:eastAsia="zh-CN"/>
        </w:rPr>
      </w:pPr>
      <w:bookmarkStart w:id="0" w:name="_Toc438987549"/>
      <w:bookmarkStart w:id="1" w:name="_Toc481801204"/>
      <w:bookmarkStart w:id="2" w:name="OLE_LINK40"/>
      <w:bookmarkStart w:id="3" w:name="_Toc415143481"/>
      <w:bookmarkStart w:id="4" w:name="_Toc453597319"/>
      <w:bookmarkStart w:id="5" w:name="_Toc415142861"/>
      <w:bookmarkStart w:id="6" w:name="OLE_LINK24"/>
      <w:bookmarkStart w:id="7" w:name="_Toc418070112"/>
      <w:bookmarkStart w:id="8" w:name="_Toc517262917"/>
      <w:bookmarkStart w:id="9" w:name="OLE_LINK13"/>
      <w:bookmarkStart w:id="10" w:name="_Toc415818939"/>
      <w:bookmarkStart w:id="11" w:name="OLE_LINK39"/>
      <w:bookmarkStart w:id="12" w:name="OLE_LINK15"/>
      <w:r>
        <w:rPr>
          <w:rFonts w:hint="eastAsia"/>
          <w:lang w:eastAsia="zh-CN"/>
        </w:rPr>
        <w:t>汽车扶手是一种安装在两个座椅中间的汽车配件，隶属于汽车内饰系统。其人性化的设计初衷是为了使汽车驾驶员在长时间驾驶时能够放置胳膊，从而能够使胳膊得到有效的休息不至于酸麻、僵硬。随着制造技术的不断发展，生产工艺的不断改良，扶手箱又多出了储物的功能，例如存放饮料、水杯等小物件，使得驾驶员在有需要时随手即可拿到这些小物件。</w:t>
      </w:r>
    </w:p>
    <w:p w14:paraId="2A4CC740">
      <w:pPr>
        <w:pStyle w:val="145"/>
        <w:rPr>
          <w:lang w:eastAsia="zh-CN"/>
        </w:rPr>
      </w:pPr>
      <w:r>
        <w:rPr>
          <w:rFonts w:hint="eastAsia"/>
          <w:lang w:eastAsia="zh-CN"/>
        </w:rPr>
        <w:t>1.集成存储解决方案</w:t>
      </w:r>
    </w:p>
    <w:p w14:paraId="5E84B8FA">
      <w:pPr>
        <w:pStyle w:val="145"/>
        <w:rPr>
          <w:lang w:eastAsia="zh-CN"/>
        </w:rPr>
      </w:pPr>
      <w:r>
        <w:rPr>
          <w:rFonts w:hint="eastAsia"/>
          <w:lang w:eastAsia="zh-CN"/>
        </w:rPr>
        <w:t>汽车扶手的主要趋势之一是多功能储物格的集成化，现代扶手的设计不仅要提供舒适感，还要最大限度地提高内部空间效率，这些隔层通常包括杯子和智能手机的支架，以及钱包和钥匙等小型个人物品的隔层。现代扶手箱不再是一个简单的储物空间，可能会集成无线充电、HMI（人机交互）系统、咖啡杯加热/冷却功能、甚至小型冰箱等，提升乘车的舒适性和实用性。这种趋势在家庭和豪华车中尤其流行，便利性和功能性是买家考虑的关键因素。</w:t>
      </w:r>
    </w:p>
    <w:p w14:paraId="24B94565">
      <w:pPr>
        <w:pStyle w:val="145"/>
        <w:rPr>
          <w:lang w:eastAsia="zh-CN"/>
        </w:rPr>
      </w:pPr>
      <w:r>
        <w:rPr>
          <w:rFonts w:hint="eastAsia"/>
          <w:lang w:eastAsia="zh-CN"/>
        </w:rPr>
        <w:t>2.先进材料的使用</w:t>
      </w:r>
    </w:p>
    <w:p w14:paraId="72A80B81">
      <w:pPr>
        <w:pStyle w:val="145"/>
        <w:rPr>
          <w:lang w:eastAsia="zh-CN"/>
        </w:rPr>
      </w:pPr>
      <w:r>
        <w:rPr>
          <w:rFonts w:hint="eastAsia"/>
          <w:lang w:eastAsia="zh-CN"/>
        </w:rPr>
        <w:t>在座椅扶手的构造中，越来越多地转向使用优质材料，以提高舒适度和美观度。扶手采用皮革、触感柔软的塑料和高品质面料，营造出奢华的感觉。此外，制造商正在探索使用可持续材料来吸引具有环保意识的消费者。材料的选择不仅影响舒适度，而且对车辆整体内饰设计主题起着至关重要的作用。</w:t>
      </w:r>
    </w:p>
    <w:p w14:paraId="33CE4F92">
      <w:pPr>
        <w:pStyle w:val="145"/>
        <w:rPr>
          <w:lang w:eastAsia="zh-CN"/>
        </w:rPr>
      </w:pPr>
      <w:r>
        <w:rPr>
          <w:rFonts w:hint="eastAsia"/>
          <w:lang w:eastAsia="zh-CN"/>
        </w:rPr>
        <w:t>3.可调节性</w:t>
      </w:r>
    </w:p>
    <w:p w14:paraId="0B6DC4CC">
      <w:pPr>
        <w:pStyle w:val="145"/>
        <w:rPr>
          <w:lang w:eastAsia="zh-CN"/>
        </w:rPr>
      </w:pPr>
      <w:r>
        <w:rPr>
          <w:rFonts w:hint="eastAsia"/>
          <w:lang w:eastAsia="zh-CN"/>
        </w:rPr>
        <w:t>随着人体工程学在车辆设计中变得越来越重要，座椅扶手的可调节性越来越受到关注。可在多个方向移动的可调节扶手可以更好地定制舒适度，并可以适应各种体型的驾驶员和乘客。在公路旅行趋势增加和通勤时间延长的背景下，这一趋势尤其重要，其中舒适度会显着影响驾驶体验。</w:t>
      </w:r>
    </w:p>
    <w:p w14:paraId="1DFCC1D0">
      <w:pPr>
        <w:pStyle w:val="145"/>
        <w:rPr>
          <w:lang w:eastAsia="zh-CN"/>
        </w:rPr>
      </w:pPr>
      <w:r>
        <w:rPr>
          <w:rFonts w:hint="eastAsia"/>
          <w:lang w:eastAsia="zh-CN"/>
        </w:rPr>
        <w:t>据QYResearch调研团队最新报告“中国汽车前排座椅扶手市场报告2024-2030”显示，预计2030年中国汽车前排座椅扶手市场规模将达到6.3亿美元，未来几年年复合增长率CAGR为2.7%。汽车扶手是一种安装在两个座椅中间的汽车配件，隶属于汽车内饰系统。其人性化的设计初衷是为了使汽车驾驶员在长时间驾驶时能够放置胳膊，从而能够使胳膊得到有效的休息不至于酸麻、僵硬。随着制造技术的不断发展，生产工艺的不断改良，扶手箱又多出了储物的功能，例如存放饮料、水杯等小物件，使得驾驶员在有需要时随手即可拿到这些小物件。</w:t>
      </w:r>
    </w:p>
    <w:p w14:paraId="02CAB793">
      <w:pPr>
        <w:pStyle w:val="145"/>
        <w:rPr>
          <w:lang w:eastAsia="zh-CN"/>
        </w:rPr>
      </w:pPr>
      <w:r>
        <w:rPr>
          <w:rFonts w:hint="eastAsia"/>
          <w:lang w:eastAsia="zh-CN"/>
        </w:rPr>
        <w:t>1.集成存储解决方案</w:t>
      </w:r>
    </w:p>
    <w:p w14:paraId="77585699">
      <w:pPr>
        <w:pStyle w:val="145"/>
        <w:rPr>
          <w:lang w:eastAsia="zh-CN"/>
        </w:rPr>
      </w:pPr>
      <w:r>
        <w:rPr>
          <w:rFonts w:hint="eastAsia"/>
          <w:lang w:eastAsia="zh-CN"/>
        </w:rPr>
        <w:t>汽车扶手的主要趋势之一是多功能储物格的集成化，现代扶手的设计不仅要提供舒适感，还要最大限度地提高内部空间效率，这些隔层通常包括杯子和智能手机的支架，以及钱包和钥匙等小型个人物品的隔层。现代扶手箱不再是一个简单的储物空间，可能会集成无线充电、HMI（人机交互）系统、咖啡杯加热/冷却功能、甚至小型冰箱等，提升乘车的舒适性和实用性。这种趋势在家庭和豪华车中尤其流行，便利性和功能性是买家考虑的关键因素。</w:t>
      </w:r>
    </w:p>
    <w:p w14:paraId="655C3B67">
      <w:pPr>
        <w:pStyle w:val="145"/>
        <w:rPr>
          <w:lang w:eastAsia="zh-CN"/>
        </w:rPr>
      </w:pPr>
      <w:r>
        <w:rPr>
          <w:rFonts w:hint="eastAsia"/>
          <w:lang w:eastAsia="zh-CN"/>
        </w:rPr>
        <w:t>2.先进材料的使用</w:t>
      </w:r>
    </w:p>
    <w:p w14:paraId="19D0406E">
      <w:pPr>
        <w:pStyle w:val="145"/>
        <w:rPr>
          <w:lang w:eastAsia="zh-CN"/>
        </w:rPr>
      </w:pPr>
      <w:r>
        <w:rPr>
          <w:rFonts w:hint="eastAsia"/>
          <w:lang w:eastAsia="zh-CN"/>
        </w:rPr>
        <w:t>在座椅扶手的构造中，越来越多地转向使用优质材料，以提高舒适度和美观度。扶手采用皮革、触感柔软的塑料和高品质面料，营造出奢华的感觉。此外，制造商正在探索使用可持续材料来吸引具有环保意识的消费者。材料的选择不仅影响舒适度，而且对车辆整体内饰设计主题起着至关重要的作用。</w:t>
      </w:r>
    </w:p>
    <w:p w14:paraId="20D9B640">
      <w:pPr>
        <w:pStyle w:val="145"/>
        <w:rPr>
          <w:lang w:eastAsia="zh-CN"/>
        </w:rPr>
      </w:pPr>
      <w:r>
        <w:rPr>
          <w:rFonts w:hint="eastAsia"/>
          <w:lang w:eastAsia="zh-CN"/>
        </w:rPr>
        <w:t>3.可调节性</w:t>
      </w:r>
    </w:p>
    <w:p w14:paraId="277BE10E">
      <w:pPr>
        <w:pStyle w:val="145"/>
        <w:rPr>
          <w:lang w:eastAsia="zh-CN"/>
        </w:rPr>
      </w:pPr>
      <w:r>
        <w:rPr>
          <w:rFonts w:hint="eastAsia"/>
          <w:lang w:eastAsia="zh-CN"/>
        </w:rPr>
        <w:t>随着人体工程学在车辆设计中变得越来越重要，座椅扶手的可调节性越来越受到关注。可在多个方向移动的可调节扶手可以更好地定制舒适度，并可以适应各种体型的驾驶员和乘客。在公路旅行趋势增加和通勤时间延长的背景下，这一趋势尤其重要，其中舒适度会显着影响驾驶体验。</w:t>
      </w:r>
    </w:p>
    <w:p w14:paraId="06F3632A">
      <w:pPr>
        <w:pStyle w:val="145"/>
        <w:rPr>
          <w:lang w:eastAsia="zh-CN"/>
        </w:rPr>
      </w:pPr>
      <w:r>
        <w:rPr>
          <w:rFonts w:hint="eastAsia"/>
          <w:lang w:eastAsia="zh-CN"/>
        </w:rPr>
        <w:t>据QYResearch调研团队最新报告“中国汽车前排座椅扶手市场报告2024-2030”显示，预计2030年中国汽车前排座椅扶手市场规模将达到6.3亿美元，未来几年年复合增长率CAGR为2.7%。</w:t>
      </w:r>
    </w:p>
    <w:p w14:paraId="728FEFC7">
      <w:pPr>
        <w:pStyle w:val="145"/>
        <w:rPr>
          <w:lang w:eastAsia="zh-CN"/>
        </w:rPr>
      </w:pPr>
    </w:p>
    <w:p w14:paraId="3F6C2722">
      <w:pPr>
        <w:pStyle w:val="148"/>
        <w:numPr>
          <w:ilvl w:val="0"/>
          <w:numId w:val="0"/>
        </w:numPr>
        <w:ind w:leftChars="0"/>
        <w:rPr>
          <w:sz w:val="22"/>
          <w:szCs w:val="24"/>
          <w:lang w:eastAsia="zh-CN"/>
        </w:rPr>
      </w:pPr>
      <w:r>
        <w:rPr>
          <w:sz w:val="22"/>
          <w:szCs w:val="24"/>
          <w:lang w:eastAsia="zh-CN"/>
        </w:rPr>
        <w:t>汽车前排座椅扶手</w:t>
      </w:r>
      <w:r>
        <w:rPr>
          <w:rFonts w:hint="eastAsia"/>
          <w:sz w:val="22"/>
          <w:szCs w:val="24"/>
          <w:lang w:eastAsia="zh-CN"/>
        </w:rPr>
        <w:t>，中国市场总体规模</w:t>
      </w:r>
    </w:p>
    <w:p w14:paraId="12FD9BEF">
      <w:pPr>
        <w:pStyle w:val="145"/>
        <w:rPr>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1757045</wp:posOffset>
                </wp:positionH>
                <wp:positionV relativeFrom="paragraph">
                  <wp:posOffset>1564640</wp:posOffset>
                </wp:positionV>
                <wp:extent cx="914400" cy="914400"/>
                <wp:effectExtent l="0" t="0" r="0" b="0"/>
                <wp:wrapNone/>
                <wp:docPr id="5" name="文本框 5"/>
                <wp:cNvGraphicFramePr/>
                <a:graphic xmlns:a="http://schemas.openxmlformats.org/drawingml/2006/main">
                  <a:graphicData uri="http://schemas.microsoft.com/office/word/2010/wordprocessingShape">
                    <wps:wsp>
                      <wps:cNvSpPr txBox="1"/>
                      <wps:spPr>
                        <a:xfrm>
                          <a:off x="2736850" y="6731635"/>
                          <a:ext cx="914400"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1C8164">
                            <w:pPr>
                              <w:rPr>
                                <w:rFonts w:hint="default" w:eastAsia="宋体"/>
                                <w:lang w:val="en-US" w:eastAsia="zh-CN"/>
                              </w:rPr>
                            </w:pPr>
                            <w:r>
                              <w:rPr>
                                <w:rFonts w:hint="eastAsia"/>
                                <w:lang w:val="en-US" w:eastAsia="zh-CN"/>
                              </w:rPr>
                              <w:t>4.9%</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8.35pt;margin-top:123.2pt;height:72pt;width:72pt;z-index:251659264;mso-width-relative:page;mso-height-relative:page;" filled="f" stroked="f" coordsize="21600,21600" o:gfxdata="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FazuWjbAAAACwEAAA8AAAAAAAAAAQAgAAAAIgAA&#10;AGRycy9kb3ducmV2LnhtbFBLAQIUABQAAAAIAIdO4kCSY1vnPgIAAHEEAAAOAAAAAAAAAAEAIAAA&#10;ACoBAABkcnMvZTJvRG9jLnhtbFBLBQYAAAAABgAGAFkBAADaBQAAAAA=&#10;">
                <v:fill on="f" focussize="0,0"/>
                <v:stroke on="f" weight="0.5pt"/>
                <v:imagedata o:title=""/>
                <o:lock v:ext="edit" aspectratio="f"/>
                <v:textbox>
                  <w:txbxContent>
                    <w:p w14:paraId="191C8164">
                      <w:pPr>
                        <w:rPr>
                          <w:rFonts w:hint="default" w:eastAsia="宋体"/>
                          <w:lang w:val="en-US" w:eastAsia="zh-CN"/>
                        </w:rPr>
                      </w:pPr>
                      <w:r>
                        <w:rPr>
                          <w:rFonts w:hint="eastAsia"/>
                          <w:lang w:val="en-US" w:eastAsia="zh-CN"/>
                        </w:rPr>
                        <w:t>4.9%</w:t>
                      </w:r>
                    </w:p>
                  </w:txbxContent>
                </v:textbox>
              </v:shap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3814445</wp:posOffset>
                </wp:positionH>
                <wp:positionV relativeFrom="paragraph">
                  <wp:posOffset>1007110</wp:posOffset>
                </wp:positionV>
                <wp:extent cx="914400" cy="9144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A9BF7F">
                            <w:pPr>
                              <w:rPr>
                                <w:rFonts w:hint="default" w:eastAsia="宋体"/>
                                <w:lang w:val="en-US" w:eastAsia="zh-CN"/>
                              </w:rPr>
                            </w:pPr>
                            <w:r>
                              <w:rPr>
                                <w:rFonts w:hint="eastAsia"/>
                                <w:lang w:val="en-US" w:eastAsia="zh-CN"/>
                              </w:rPr>
                              <w:t>2.7%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0.35pt;margin-top:79.3pt;height:72pt;width:72pt;z-index:251660288;mso-width-relative:page;mso-height-relative:page;" filled="f" stroked="f" coordsize="21600,21600" o:gfxdata="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0zx7f9sAAAALAQAADwAAAAAAAAABACAAAAAiAAAAZHJzL2Rvd25y&#10;ZXYueG1sUEsBAhQAFAAAAAgAh07iQDomk440AgAAZQQAAA4AAAAAAAAAAQAgAAAAKgEAAGRycy9l&#10;Mm9Eb2MueG1sUEsFBgAAAAAGAAYAWQEAANAFAAAAAA==&#10;">
                <v:fill on="f" focussize="0,0"/>
                <v:stroke on="f" weight="0.5pt"/>
                <v:imagedata o:title=""/>
                <o:lock v:ext="edit" aspectratio="f"/>
                <v:textbox>
                  <w:txbxContent>
                    <w:p w14:paraId="5BA9BF7F">
                      <w:pPr>
                        <w:rPr>
                          <w:rFonts w:hint="default" w:eastAsia="宋体"/>
                          <w:lang w:val="en-US" w:eastAsia="zh-CN"/>
                        </w:rPr>
                      </w:pPr>
                      <w:r>
                        <w:rPr>
                          <w:rFonts w:hint="eastAsia"/>
                          <w:lang w:val="en-US" w:eastAsia="zh-CN"/>
                        </w:rPr>
                        <w:t>2.7%</w:t>
                      </w:r>
                    </w:p>
                  </w:txbxContent>
                </v:textbox>
              </v:shape>
            </w:pict>
          </mc:Fallback>
        </mc:AlternateContent>
      </w:r>
      <w:r>
        <w:rPr>
          <w:lang w:val="en-US" w:eastAsia="zh-CN"/>
        </w:rPr>
        <w:drawing>
          <wp:inline distT="0" distB="0" distL="0" distR="0">
            <wp:extent cx="6188710" cy="2954655"/>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Pr>
          <w:rFonts w:hint="eastAsia"/>
          <w:lang w:eastAsia="zh-CN"/>
        </w:rPr>
        <w:t>来源：QYResearch汽车研究</w:t>
      </w:r>
      <w:bookmarkStart w:id="13" w:name="OLE_LINK12"/>
      <w:bookmarkStart w:id="14" w:name="OLE_LINK14"/>
      <w:r>
        <w:rPr>
          <w:rFonts w:hint="eastAsia"/>
          <w:lang w:eastAsia="zh-CN"/>
        </w:rPr>
        <w:t>中心</w:t>
      </w:r>
      <w:bookmarkEnd w:id="13"/>
      <w:bookmarkEnd w:id="14"/>
    </w:p>
    <w:p w14:paraId="720E31E2">
      <w:pPr>
        <w:pStyle w:val="148"/>
        <w:numPr>
          <w:ilvl w:val="0"/>
          <w:numId w:val="0"/>
        </w:numPr>
        <w:ind w:leftChars="0"/>
        <w:rPr>
          <w:lang w:eastAsia="zh-CN"/>
        </w:rPr>
      </w:pPr>
      <w:r>
        <w:rPr>
          <w:rFonts w:hint="eastAsia"/>
          <w:lang w:eastAsia="zh-CN"/>
        </w:rPr>
        <w:t>中国</w:t>
      </w:r>
      <w:r>
        <w:rPr>
          <w:lang w:eastAsia="zh-CN"/>
        </w:rPr>
        <w:t>汽车前排座椅扶手</w:t>
      </w:r>
      <w:r>
        <w:rPr>
          <w:rFonts w:hint="eastAsia"/>
          <w:lang w:eastAsia="zh-CN"/>
        </w:rPr>
        <w:t>市场前</w:t>
      </w:r>
      <w:r>
        <w:rPr>
          <w:lang w:eastAsia="zh-CN"/>
        </w:rPr>
        <w:t>9</w:t>
      </w:r>
      <w:r>
        <w:rPr>
          <w:rFonts w:hint="eastAsia"/>
          <w:lang w:eastAsia="zh-CN"/>
        </w:rPr>
        <w:t>强生产商排名及市场占有率（基于2024年调研数据；目前最新数据以本公司最新调研数据为准）</w:t>
      </w:r>
    </w:p>
    <w:p w14:paraId="226764C8">
      <w:pPr>
        <w:widowControl/>
        <w:topLinePunct w:val="0"/>
        <w:spacing w:after="0"/>
        <w:jc w:val="center"/>
      </w:pPr>
      <w:r>
        <w:drawing>
          <wp:inline distT="0" distB="0" distL="0" distR="0">
            <wp:extent cx="5269865" cy="4077970"/>
            <wp:effectExtent l="0" t="0" r="6985" b="1778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4A43543">
      <w:pPr>
        <w:widowControl/>
        <w:topLinePunct w:val="0"/>
        <w:spacing w:after="0"/>
        <w:jc w:val="center"/>
        <w:rPr>
          <w:lang w:eastAsia="zh-CN"/>
        </w:rPr>
      </w:pPr>
      <w:r>
        <w:rPr>
          <w:rFonts w:hint="eastAsia"/>
          <w:lang w:eastAsia="zh-CN"/>
        </w:rPr>
        <w:t>来源：QYResearch汽车研究中心。行业处于不断变动之中，最新数据请联系QYResearch咨询。</w:t>
      </w:r>
    </w:p>
    <w:p w14:paraId="3B2E5865">
      <w:pPr>
        <w:pStyle w:val="145"/>
        <w:rPr>
          <w:lang w:eastAsia="zh-CN"/>
        </w:rPr>
      </w:pPr>
      <w:r>
        <w:rPr>
          <w:rFonts w:hint="eastAsia"/>
          <w:lang w:eastAsia="zh-CN"/>
        </w:rPr>
        <w:t>根据QYResearch头部企业研究中心调研，中国范围内汽车前排座椅扶手生产商主要包括延锋、继峰股份、Forvia、华安汽车装备、Adient、Toyoda Gosei 、Fehrer、双英集团、Tachi-s。202</w:t>
      </w:r>
      <w:r>
        <w:rPr>
          <w:lang w:eastAsia="zh-CN"/>
        </w:rPr>
        <w:t>4</w:t>
      </w:r>
      <w:r>
        <w:rPr>
          <w:rFonts w:hint="eastAsia"/>
          <w:lang w:eastAsia="zh-CN"/>
        </w:rPr>
        <w:t>年，中国前五大厂商占有大约86.0%的市场份额。</w:t>
      </w:r>
    </w:p>
    <w:p w14:paraId="3E6DE9A8">
      <w:pPr>
        <w:pStyle w:val="148"/>
        <w:numPr>
          <w:ilvl w:val="0"/>
          <w:numId w:val="0"/>
        </w:numPr>
        <w:ind w:leftChars="0"/>
        <w:rPr>
          <w:lang w:eastAsia="zh-CN"/>
        </w:rPr>
      </w:pPr>
      <w:r>
        <w:rPr>
          <w:lang w:eastAsia="zh-CN"/>
        </w:rPr>
        <w:t>汽车前排座椅扶手</w:t>
      </w:r>
      <w:r>
        <w:rPr>
          <w:rFonts w:hint="eastAsia"/>
          <w:lang w:eastAsia="zh-CN"/>
        </w:rPr>
        <w:t>，中国市场规模，按产品类型细分</w:t>
      </w:r>
    </w:p>
    <w:p w14:paraId="39AE0722">
      <w:pPr>
        <w:pStyle w:val="145"/>
        <w:rPr>
          <w:lang w:eastAsia="zh-CN"/>
        </w:rPr>
      </w:pPr>
      <w:r>
        <w:rPr>
          <w:lang w:val="en-US" w:eastAsia="zh-CN"/>
        </w:rPr>
        <w:drawing>
          <wp:inline distT="0" distB="0" distL="0" distR="0">
            <wp:extent cx="6188710" cy="2922270"/>
            <wp:effectExtent l="0" t="0" r="254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hint="eastAsia"/>
          <w:lang w:eastAsia="zh-CN"/>
        </w:rPr>
        <w:t>来源：QYResearch汽车研究中心</w:t>
      </w:r>
    </w:p>
    <w:p w14:paraId="41C3AE68">
      <w:pPr>
        <w:pStyle w:val="145"/>
        <w:rPr>
          <w:lang w:eastAsia="zh-CN"/>
        </w:rPr>
      </w:pPr>
      <w:r>
        <w:rPr>
          <w:rFonts w:hint="eastAsia"/>
          <w:lang w:eastAsia="zh-CN"/>
        </w:rPr>
        <w:t>就产品类型而言，目前汽车原厂是最主要的细分产品，占据大约98.8%的份额。</w:t>
      </w:r>
    </w:p>
    <w:p w14:paraId="0B069045">
      <w:pPr>
        <w:pStyle w:val="148"/>
        <w:numPr>
          <w:ilvl w:val="0"/>
          <w:numId w:val="0"/>
        </w:numPr>
        <w:ind w:leftChars="0"/>
        <w:rPr>
          <w:lang w:eastAsia="zh-CN"/>
        </w:rPr>
      </w:pPr>
      <w:r>
        <w:rPr>
          <w:lang w:eastAsia="zh-CN"/>
        </w:rPr>
        <w:t>汽车前排座椅扶手</w:t>
      </w:r>
      <w:r>
        <w:rPr>
          <w:rFonts w:hint="eastAsia"/>
          <w:lang w:eastAsia="zh-CN"/>
        </w:rPr>
        <w:t>，中国市场规模，按应用细分</w:t>
      </w:r>
    </w:p>
    <w:p w14:paraId="1753BDFC">
      <w:pPr>
        <w:widowControl/>
        <w:topLinePunct w:val="0"/>
        <w:spacing w:after="0"/>
        <w:jc w:val="left"/>
        <w:rPr>
          <w:lang w:eastAsia="zh-CN"/>
        </w:rPr>
      </w:pPr>
      <w:r>
        <w:drawing>
          <wp:inline distT="0" distB="0" distL="0" distR="0">
            <wp:extent cx="6188710" cy="2922270"/>
            <wp:effectExtent l="0" t="0" r="254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Pr>
          <w:rFonts w:hint="eastAsia"/>
          <w:lang w:eastAsia="zh-CN"/>
        </w:rPr>
        <w:t>来源：QYResearch汽车研究中心</w:t>
      </w:r>
    </w:p>
    <w:p w14:paraId="44C61FC0">
      <w:pPr>
        <w:pStyle w:val="145"/>
        <w:rPr>
          <w:lang w:eastAsia="zh-CN"/>
        </w:rPr>
      </w:pPr>
      <w:r>
        <w:rPr>
          <w:rFonts w:hint="eastAsia"/>
          <w:lang w:eastAsia="zh-CN"/>
        </w:rPr>
        <w:t>就产品应用而言，目前SUV是最主要的需求来源，占据大约53.9%的份额。</w:t>
      </w:r>
    </w:p>
    <w:p w14:paraId="6875CE01">
      <w:pPr>
        <w:pStyle w:val="145"/>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14:paraId="74641357">
      <w:pPr>
        <w:pStyle w:val="145"/>
        <w:rPr>
          <w:lang w:eastAsia="zh-CN"/>
        </w:rPr>
      </w:pPr>
      <w:r>
        <w:rPr>
          <w:lang w:eastAsia="zh-CN"/>
        </w:rPr>
        <w:br w:type="page"/>
      </w:r>
      <w:bookmarkStart w:id="15" w:name="_GoBack"/>
      <w:bookmarkEnd w:id="15"/>
      <w:r>
        <w:rPr>
          <w:rFonts w:hint="eastAsia"/>
          <w:lang w:eastAsia="zh-CN"/>
        </w:rPr>
        <w:t>QYResearch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3360"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4384"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4384;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533"/>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CD4"/>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6E9"/>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8EC"/>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438"/>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D5B"/>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4D9"/>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2D7"/>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6CA"/>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4185688"/>
    <w:rsid w:val="544E5AF7"/>
    <w:rsid w:val="6B0C5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chartUserShapes" Target="../drawings/drawing1.xml"/><Relationship Id="rId1" Type="http://schemas.openxmlformats.org/officeDocument/2006/relationships/oleObject" Target="file:///C:\Users\hzbz\Desktop\&#35266;&#28857;&#25968;&#25454;&#22270;&#34920;&#27169;&#26495;-&#27169;&#26495;%2020240426%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bz\Desktop\&#35266;&#28857;&#25968;&#25454;&#22270;&#34920;&#27169;&#26495;-&#27169;&#26495;%2020240426%20&#20026;&#20934;.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hzbz\Desktop\&#35266;&#28857;&#25968;&#25454;&#22270;&#34920;&#27169;&#26495;-&#27169;&#26495;%2020240426%20&#20026;&#20934;.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hzbz\Desktop\&#35266;&#28857;&#25968;&#25454;&#22270;&#34920;&#27169;&#26495;-&#27169;&#26495;%2020240426%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333680629718612"/>
          <c:y val="0.131440849673203"/>
          <c:w val="0.937283950617284"/>
          <c:h val="0.793030392156863"/>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dLbls>
            <c:delete val="1"/>
          </c:dLbls>
          <c:cat>
            <c:numRef>
              <c:f>全球总体!$S$6:$U$6</c:f>
              <c:numCache>
                <c:formatCode>General</c:formatCode>
                <c:ptCount val="3"/>
                <c:pt idx="0">
                  <c:v>2019</c:v>
                </c:pt>
                <c:pt idx="1">
                  <c:v>2024</c:v>
                </c:pt>
                <c:pt idx="2">
                  <c:v>2030</c:v>
                </c:pt>
              </c:numCache>
            </c:numRef>
          </c:cat>
          <c:val>
            <c:numRef>
              <c:f>全球总体!$S$7:$U$7</c:f>
              <c:numCache>
                <c:formatCode>#,##0_ </c:formatCode>
                <c:ptCount val="3"/>
                <c:pt idx="0">
                  <c:v>438.823943661972</c:v>
                </c:pt>
                <c:pt idx="1">
                  <c:v>556.078873239437</c:v>
                </c:pt>
                <c:pt idx="2">
                  <c:v>633.06338028169</c:v>
                </c:pt>
              </c:numCache>
            </c:numRef>
          </c:val>
        </c:ser>
        <c:dLbls>
          <c:showLegendKey val="0"/>
          <c:showVal val="0"/>
          <c:showCatName val="0"/>
          <c:showSerName val="0"/>
          <c:showPercent val="0"/>
          <c:showBubbleSize val="0"/>
        </c:dLbls>
        <c:gapWidth val="219"/>
        <c:overlap val="100"/>
        <c:serLines>
          <c:spPr>
            <a:ln w="15875" cap="sq"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19571343"/>
        <c:crosses val="autoZero"/>
        <c:crossBetween val="between"/>
      </c:valAx>
      <c:spPr>
        <a:noFill/>
        <a:ln>
          <a:noFill/>
        </a:ln>
        <a:effectLst/>
      </c:spPr>
    </c:plotArea>
    <c:plotVisOnly val="1"/>
    <c:dispBlanksAs val="gap"/>
    <c:showDLblsOverMax val="0"/>
    <c:extLst>
      <c:ext uri="{0b15fc19-7d7d-44ad-8c2d-2c3a37ce22c3}">
        <chartProps xmlns="https://web.wps.cn/et/2018/main" chartId="{4f4b742c-c8ec-49bb-8f83-ffe9ffa035b0}"/>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1"/>
        <c:ser>
          <c:idx val="0"/>
          <c:order val="0"/>
          <c:tx>
            <c:strRef>
              <c:f>企业收入!$I$1</c:f>
              <c:strCache>
                <c:ptCount val="1"/>
                <c:pt idx="0">
                  <c:v>2023</c:v>
                </c:pt>
              </c:strCache>
            </c:strRef>
          </c:tx>
          <c:spPr>
            <a:solidFill>
              <a:srgbClr val="002060"/>
            </a:solidFill>
          </c:spPr>
          <c:invertIfNegative val="0"/>
          <c:dPt>
            <c:idx val="0"/>
            <c:invertIfNegative val="0"/>
            <c:bubble3D val="0"/>
            <c:spPr>
              <a:solidFill>
                <a:srgbClr val="002060"/>
              </a:solidFill>
              <a:ln>
                <a:noFill/>
              </a:ln>
              <a:effectLst/>
            </c:spPr>
          </c:dPt>
          <c:dPt>
            <c:idx val="1"/>
            <c:invertIfNegative val="0"/>
            <c:bubble3D val="0"/>
            <c:spPr>
              <a:solidFill>
                <a:srgbClr val="002060"/>
              </a:solidFill>
              <a:ln>
                <a:noFill/>
              </a:ln>
              <a:effectLst/>
            </c:spPr>
          </c:dPt>
          <c:dPt>
            <c:idx val="2"/>
            <c:invertIfNegative val="0"/>
            <c:bubble3D val="0"/>
            <c:spPr>
              <a:solidFill>
                <a:srgbClr val="002060"/>
              </a:solidFill>
              <a:ln>
                <a:noFill/>
              </a:ln>
              <a:effectLst/>
            </c:spPr>
          </c:dPt>
          <c:dPt>
            <c:idx val="3"/>
            <c:invertIfNegative val="0"/>
            <c:bubble3D val="0"/>
            <c:spPr>
              <a:solidFill>
                <a:srgbClr val="002060"/>
              </a:solidFill>
              <a:ln>
                <a:noFill/>
              </a:ln>
              <a:effectLst/>
            </c:spPr>
          </c:dPt>
          <c:dPt>
            <c:idx val="4"/>
            <c:invertIfNegative val="0"/>
            <c:bubble3D val="0"/>
            <c:spPr>
              <a:solidFill>
                <a:srgbClr val="002060"/>
              </a:solidFill>
              <a:ln>
                <a:noFill/>
              </a:ln>
              <a:effectLst/>
            </c:spPr>
          </c:dPt>
          <c:dPt>
            <c:idx val="5"/>
            <c:invertIfNegative val="0"/>
            <c:bubble3D val="0"/>
            <c:spPr>
              <a:solidFill>
                <a:srgbClr val="002060"/>
              </a:solidFill>
              <a:ln>
                <a:noFill/>
              </a:ln>
              <a:effectLst/>
            </c:spPr>
          </c:dPt>
          <c:dPt>
            <c:idx val="6"/>
            <c:invertIfNegative val="0"/>
            <c:bubble3D val="0"/>
            <c:spPr>
              <a:solidFill>
                <a:srgbClr val="002060"/>
              </a:solidFill>
              <a:ln>
                <a:noFill/>
              </a:ln>
              <a:effectLst/>
            </c:spPr>
          </c:dPt>
          <c:dPt>
            <c:idx val="7"/>
            <c:invertIfNegative val="0"/>
            <c:bubble3D val="0"/>
            <c:spPr>
              <a:solidFill>
                <a:srgbClr val="002060"/>
              </a:solidFill>
              <a:ln>
                <a:noFill/>
              </a:ln>
              <a:effectLst/>
            </c:spPr>
          </c:dPt>
          <c:dPt>
            <c:idx val="8"/>
            <c:invertIfNegative val="0"/>
            <c:bubble3D val="0"/>
            <c:spPr>
              <a:solidFill>
                <a:srgbClr val="002060"/>
              </a:solidFill>
              <a:ln>
                <a:noFill/>
              </a:ln>
              <a:effectLst/>
            </c:spPr>
          </c:dPt>
          <c:dLbls>
            <c:delete val="1"/>
          </c:dLbls>
          <c:cat>
            <c:strRef>
              <c:f>企业收入!$H$2:$H$10</c:f>
              <c:strCache>
                <c:ptCount val="9"/>
                <c:pt idx="0">
                  <c:v>延锋</c:v>
                </c:pt>
                <c:pt idx="1">
                  <c:v>继峰股份</c:v>
                </c:pt>
                <c:pt idx="2">
                  <c:v>Forvia</c:v>
                </c:pt>
                <c:pt idx="3">
                  <c:v>华安汽车装备</c:v>
                </c:pt>
                <c:pt idx="4">
                  <c:v>Adient</c:v>
                </c:pt>
                <c:pt idx="5">
                  <c:v>Toyoda Gosei </c:v>
                </c:pt>
                <c:pt idx="6">
                  <c:v>Fehrer</c:v>
                </c:pt>
                <c:pt idx="7">
                  <c:v>双英集团</c:v>
                </c:pt>
                <c:pt idx="8">
                  <c:v>Tachi-s</c:v>
                </c:pt>
              </c:strCache>
            </c:strRef>
          </c:cat>
          <c:val>
            <c:numRef>
              <c:f>企业收入!$I$2:$I$10</c:f>
              <c:numCache>
                <c:formatCode>0.0%</c:formatCode>
                <c:ptCount val="9"/>
                <c:pt idx="0">
                  <c:v>0.282560164724521</c:v>
                </c:pt>
                <c:pt idx="1">
                  <c:v>0.202022249545914</c:v>
                </c:pt>
                <c:pt idx="2">
                  <c:v>0.160270344518562</c:v>
                </c:pt>
                <c:pt idx="3">
                  <c:v>0.148572129656548</c:v>
                </c:pt>
                <c:pt idx="4">
                  <c:v>0.1101461876782</c:v>
                </c:pt>
                <c:pt idx="5">
                  <c:v>0.0559279223532989</c:v>
                </c:pt>
                <c:pt idx="6">
                  <c:v>0.0186648672148594</c:v>
                </c:pt>
                <c:pt idx="7">
                  <c:v>0.0142426966172262</c:v>
                </c:pt>
                <c:pt idx="8">
                  <c:v>0.0104659815591752</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dc380b73-4b6a-4937-ba15-e800f72ec307}"/>
      </c:ext>
    </c:extLst>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分类!$A$53</c:f>
              <c:strCache>
                <c:ptCount val="1"/>
                <c:pt idx="0">
                  <c:v>汽车原厂</c:v>
                </c:pt>
              </c:strCache>
            </c:strRef>
          </c:tx>
          <c:spPr>
            <a:solidFill>
              <a:srgbClr val="002060"/>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分类!$B$53:$M$53</c:f>
              <c:numCache>
                <c:formatCode>General</c:formatCode>
                <c:ptCount val="12"/>
                <c:pt idx="0">
                  <c:v>433.388732394366</c:v>
                </c:pt>
                <c:pt idx="1">
                  <c:v>392.569014084507</c:v>
                </c:pt>
                <c:pt idx="2">
                  <c:v>406.780281690141</c:v>
                </c:pt>
                <c:pt idx="3">
                  <c:v>459.547887323944</c:v>
                </c:pt>
                <c:pt idx="4">
                  <c:v>521.964788732394</c:v>
                </c:pt>
                <c:pt idx="5">
                  <c:v>549.550704225352</c:v>
                </c:pt>
                <c:pt idx="6">
                  <c:v>547.960563380282</c:v>
                </c:pt>
                <c:pt idx="7">
                  <c:v>561.419718309859</c:v>
                </c:pt>
                <c:pt idx="8">
                  <c:v>580.780281690141</c:v>
                </c:pt>
                <c:pt idx="9">
                  <c:v>597.904225352113</c:v>
                </c:pt>
                <c:pt idx="10">
                  <c:v>607.054929577465</c:v>
                </c:pt>
                <c:pt idx="11">
                  <c:v>624.970422535211</c:v>
                </c:pt>
              </c:numCache>
            </c:numRef>
          </c:val>
        </c:ser>
        <c:ser>
          <c:idx val="1"/>
          <c:order val="1"/>
          <c:tx>
            <c:strRef>
              <c:f>分类!$A$54</c:f>
              <c:strCache>
                <c:ptCount val="1"/>
                <c:pt idx="0">
                  <c:v>后市场</c:v>
                </c:pt>
              </c:strCache>
            </c:strRef>
          </c:tx>
          <c:spPr>
            <a:solidFill>
              <a:schemeClr val="bg1">
                <a:lumMod val="50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分类!$B$54:$M$54</c:f>
              <c:numCache>
                <c:formatCode>General</c:formatCode>
                <c:ptCount val="12"/>
                <c:pt idx="0">
                  <c:v>5.43521126760563</c:v>
                </c:pt>
                <c:pt idx="1">
                  <c:v>4.86197183098592</c:v>
                </c:pt>
                <c:pt idx="2">
                  <c:v>5.01408450704225</c:v>
                </c:pt>
                <c:pt idx="3">
                  <c:v>5.50985915492958</c:v>
                </c:pt>
                <c:pt idx="4">
                  <c:v>6.10422535211268</c:v>
                </c:pt>
                <c:pt idx="5">
                  <c:v>6.52816901408451</c:v>
                </c:pt>
                <c:pt idx="6">
                  <c:v>6.67323943661972</c:v>
                </c:pt>
                <c:pt idx="7">
                  <c:v>6.92112676056338</c:v>
                </c:pt>
                <c:pt idx="8">
                  <c:v>7.21690140845071</c:v>
                </c:pt>
                <c:pt idx="9">
                  <c:v>7.61408450704225</c:v>
                </c:pt>
                <c:pt idx="10">
                  <c:v>7.63380281690141</c:v>
                </c:pt>
                <c:pt idx="11">
                  <c:v>8.09295774647887</c:v>
                </c:pt>
              </c:numCache>
            </c:numRef>
          </c:val>
        </c:ser>
        <c:ser>
          <c:idx val="2"/>
          <c:order val="2"/>
          <c:tx>
            <c:strRef>
              <c:f>分类!$A$55</c:f>
              <c:strCache>
                <c:ptCount val="1"/>
                <c:pt idx="0">
                  <c:v/>
                </c:pt>
              </c:strCache>
            </c:strRef>
          </c:tx>
          <c:spPr>
            <a:solidFill>
              <a:schemeClr val="accent6">
                <a:lumMod val="75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分类!$B$55:$M$55</c:f>
            </c:numRef>
          </c:val>
        </c:ser>
        <c:ser>
          <c:idx val="3"/>
          <c:order val="3"/>
          <c:tx>
            <c:strRef>
              <c:f>分类!$A$56</c:f>
              <c:strCache>
                <c:ptCount val="1"/>
                <c:pt idx="0">
                  <c:v/>
                </c:pt>
              </c:strCache>
            </c:strRef>
          </c:tx>
          <c:spPr>
            <a:solidFill>
              <a:schemeClr val="tx2">
                <a:lumMod val="60000"/>
                <a:lumOff val="40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分类!$B$56:$M$56</c:f>
            </c:numRef>
          </c:val>
        </c:ser>
        <c:ser>
          <c:idx val="4"/>
          <c:order val="4"/>
          <c:tx>
            <c:strRef>
              <c:f>分类!$A$57</c:f>
              <c:strCache>
                <c:ptCount val="1"/>
                <c:pt idx="0">
                  <c:v/>
                </c:pt>
              </c:strCache>
            </c:strRef>
          </c:tx>
          <c:spPr>
            <a:solidFill>
              <a:schemeClr val="accent1">
                <a:lumMod val="75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分类!$B$57:$M$57</c:f>
            </c:numRef>
          </c:val>
        </c:ser>
        <c:ser>
          <c:idx val="5"/>
          <c:order val="5"/>
          <c:tx>
            <c:strRef>
              <c:f>分类!$A$58</c:f>
              <c:strCache>
                <c:ptCount val="1"/>
                <c:pt idx="0">
                  <c:v>0</c:v>
                </c:pt>
              </c:strCache>
            </c:strRef>
          </c:tx>
          <c:spPr>
            <a:solidFill>
              <a:schemeClr val="accent4">
                <a:lumMod val="60000"/>
                <a:lumOff val="40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分类!$B$58:$M$58</c:f>
            </c:numRef>
          </c:val>
        </c:ser>
        <c:ser>
          <c:idx val="6"/>
          <c:order val="6"/>
          <c:tx>
            <c:strRef>
              <c:f>分类!$A$59</c:f>
              <c:strCache>
                <c:ptCount val="1"/>
                <c:pt idx="0">
                  <c:v>0</c:v>
                </c:pt>
              </c:strCache>
            </c:strRef>
          </c:tx>
          <c:spPr>
            <a:solidFill>
              <a:schemeClr val="accent2">
                <a:lumMod val="60000"/>
                <a:lumOff val="40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分类!$B$59:$M$59</c:f>
            </c:numRef>
          </c:val>
        </c:ser>
        <c:ser>
          <c:idx val="7"/>
          <c:order val="7"/>
          <c:tx>
            <c:strRef>
              <c:f>分类!$A$60</c:f>
              <c:strCache>
                <c:ptCount val="1"/>
                <c:pt idx="0">
                  <c:v>0</c:v>
                </c:pt>
              </c:strCache>
            </c:strRef>
          </c:tx>
          <c:spPr>
            <a:solidFill>
              <a:schemeClr val="bg2">
                <a:lumMod val="50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分类!$B$60:$M$60</c:f>
            </c:numRef>
          </c:val>
        </c:ser>
        <c:ser>
          <c:idx val="8"/>
          <c:order val="8"/>
          <c:tx>
            <c:strRef>
              <c:f>分类!$A$61</c:f>
              <c:strCache>
                <c:ptCount val="1"/>
                <c:pt idx="0">
                  <c:v>0</c:v>
                </c:pt>
              </c:strCache>
            </c:strRef>
          </c:tx>
          <c:spPr>
            <a:solidFill>
              <a:schemeClr val="accent5">
                <a:lumMod val="60000"/>
                <a:lumOff val="40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分类!$B$61:$M$61</c:f>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35ede13d-df8f-4f76-af76-b12079132497}"/>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应用!$A$41</c:f>
              <c:strCache>
                <c:ptCount val="1"/>
                <c:pt idx="0">
                  <c:v>SUV</c:v>
                </c:pt>
              </c:strCache>
            </c:strRef>
          </c:tx>
          <c:spPr>
            <a:solidFill>
              <a:srgbClr val="002060"/>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应用!$B$41:$M$41</c:f>
              <c:numCache>
                <c:formatCode>General</c:formatCode>
                <c:ptCount val="12"/>
                <c:pt idx="0">
                  <c:v>205.553521126761</c:v>
                </c:pt>
                <c:pt idx="1">
                  <c:v>200.8</c:v>
                </c:pt>
                <c:pt idx="2">
                  <c:v>207.266197183099</c:v>
                </c:pt>
                <c:pt idx="3">
                  <c:v>238.243661971831</c:v>
                </c:pt>
                <c:pt idx="4">
                  <c:v>284.871830985915</c:v>
                </c:pt>
                <c:pt idx="5">
                  <c:v>313.07323943662</c:v>
                </c:pt>
                <c:pt idx="6">
                  <c:v>313.114084507042</c:v>
                </c:pt>
                <c:pt idx="7">
                  <c:v>326.325352112676</c:v>
                </c:pt>
                <c:pt idx="8">
                  <c:v>340.398591549296</c:v>
                </c:pt>
                <c:pt idx="9">
                  <c:v>353.34647887324</c:v>
                </c:pt>
                <c:pt idx="10">
                  <c:v>365.367605633803</c:v>
                </c:pt>
                <c:pt idx="11">
                  <c:v>380.402816901408</c:v>
                </c:pt>
              </c:numCache>
            </c:numRef>
          </c:val>
        </c:ser>
        <c:ser>
          <c:idx val="1"/>
          <c:order val="1"/>
          <c:tx>
            <c:strRef>
              <c:f>应用!$A$42</c:f>
              <c:strCache>
                <c:ptCount val="1"/>
                <c:pt idx="0">
                  <c:v>轿车</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应用!$B$42:$M$42</c:f>
              <c:numCache>
                <c:formatCode>General</c:formatCode>
                <c:ptCount val="12"/>
                <c:pt idx="0">
                  <c:v>194.3</c:v>
                </c:pt>
                <c:pt idx="1">
                  <c:v>167.854929577465</c:v>
                </c:pt>
                <c:pt idx="2">
                  <c:v>175.214084507042</c:v>
                </c:pt>
                <c:pt idx="3">
                  <c:v>200.950704225352</c:v>
                </c:pt>
                <c:pt idx="4">
                  <c:v>213.214084507042</c:v>
                </c:pt>
                <c:pt idx="5">
                  <c:v>214.249295774648</c:v>
                </c:pt>
                <c:pt idx="6">
                  <c:v>212.359154929577</c:v>
                </c:pt>
                <c:pt idx="7">
                  <c:v>211.697183098592</c:v>
                </c:pt>
                <c:pt idx="8">
                  <c:v>217.356338028169</c:v>
                </c:pt>
                <c:pt idx="9">
                  <c:v>221.980281690141</c:v>
                </c:pt>
                <c:pt idx="10">
                  <c:v>219.564788732394</c:v>
                </c:pt>
                <c:pt idx="11">
                  <c:v>223.105633802817</c:v>
                </c:pt>
              </c:numCache>
            </c:numRef>
          </c:val>
        </c:ser>
        <c:ser>
          <c:idx val="2"/>
          <c:order val="2"/>
          <c:tx>
            <c:strRef>
              <c:f>应用!$A$43</c:f>
              <c:strCache>
                <c:ptCount val="1"/>
                <c:pt idx="0">
                  <c:v>MPV</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应用!$B$43:$M$43</c:f>
              <c:numCache>
                <c:formatCode>General</c:formatCode>
                <c:ptCount val="12"/>
                <c:pt idx="0">
                  <c:v>33.7605633802817</c:v>
                </c:pt>
                <c:pt idx="1">
                  <c:v>23.8380281690141</c:v>
                </c:pt>
                <c:pt idx="2">
                  <c:v>24.5225352112676</c:v>
                </c:pt>
                <c:pt idx="3">
                  <c:v>21.9957746478873</c:v>
                </c:pt>
                <c:pt idx="4">
                  <c:v>26.6732394366197</c:v>
                </c:pt>
                <c:pt idx="5">
                  <c:v>25.3084507042254</c:v>
                </c:pt>
                <c:pt idx="6">
                  <c:v>25.7647887323944</c:v>
                </c:pt>
                <c:pt idx="7">
                  <c:v>26.8633802816901</c:v>
                </c:pt>
                <c:pt idx="8">
                  <c:v>26.7464788732394</c:v>
                </c:pt>
                <c:pt idx="9">
                  <c:v>26.643661971831</c:v>
                </c:pt>
                <c:pt idx="10">
                  <c:v>26.2394366197183</c:v>
                </c:pt>
                <c:pt idx="11">
                  <c:v>26.0225352112676</c:v>
                </c:pt>
              </c:numCache>
            </c:numRef>
          </c:val>
        </c:ser>
        <c:ser>
          <c:idx val="3"/>
          <c:order val="3"/>
          <c:tx>
            <c:strRef>
              <c:f>应用!$A$44</c:f>
              <c:strCache>
                <c:ptCount val="1"/>
                <c:pt idx="0">
                  <c:v>交叉型乘用车</c:v>
                </c:pt>
              </c:strCache>
            </c:strRef>
          </c:tx>
          <c:spPr>
            <a:solidFill>
              <a:schemeClr val="tx2">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应用!$B$44:$M$44</c:f>
              <c:numCache>
                <c:formatCode>General</c:formatCode>
                <c:ptCount val="12"/>
                <c:pt idx="0">
                  <c:v>5.20985915492958</c:v>
                </c:pt>
                <c:pt idx="1">
                  <c:v>4.93802816901409</c:v>
                </c:pt>
                <c:pt idx="2">
                  <c:v>4.79154929577465</c:v>
                </c:pt>
                <c:pt idx="3">
                  <c:v>3.86760563380282</c:v>
                </c:pt>
                <c:pt idx="4">
                  <c:v>3.30985915492958</c:v>
                </c:pt>
                <c:pt idx="5">
                  <c:v>3.44788732394366</c:v>
                </c:pt>
                <c:pt idx="6">
                  <c:v>3.39577464788732</c:v>
                </c:pt>
                <c:pt idx="7">
                  <c:v>3.45492957746479</c:v>
                </c:pt>
                <c:pt idx="8">
                  <c:v>3.49577464788732</c:v>
                </c:pt>
                <c:pt idx="9">
                  <c:v>3.54788732394366</c:v>
                </c:pt>
                <c:pt idx="10">
                  <c:v>3.5169014084507</c:v>
                </c:pt>
                <c:pt idx="11">
                  <c:v>3.53239436619718</c:v>
                </c:pt>
              </c:numCache>
            </c:numRef>
          </c:val>
        </c:ser>
        <c:ser>
          <c:idx val="4"/>
          <c:order val="4"/>
          <c:tx>
            <c:strRef>
              <c:f>应用!$A$45</c:f>
              <c:strCache>
                <c:ptCount val="1"/>
                <c:pt idx="0">
                  <c:v>0</c:v>
                </c:pt>
              </c:strCache>
            </c:strRef>
          </c:tx>
          <c:spPr>
            <a:solidFill>
              <a:schemeClr val="accent1">
                <a:lumMod val="75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应用!$B$45:$M$45</c:f>
            </c:numRef>
          </c:val>
        </c:ser>
        <c:ser>
          <c:idx val="5"/>
          <c:order val="5"/>
          <c:tx>
            <c:strRef>
              <c:f>应用!$A$46</c:f>
              <c:strCache>
                <c:ptCount val="1"/>
                <c:pt idx="0">
                  <c:v>0</c:v>
                </c:pt>
              </c:strCache>
            </c:strRef>
          </c:tx>
          <c:spPr>
            <a:solidFill>
              <a:schemeClr val="accent4">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应用!$B$46:$M$46</c:f>
            </c:numRef>
          </c:val>
        </c:ser>
        <c:ser>
          <c:idx val="6"/>
          <c:order val="6"/>
          <c:tx>
            <c:strRef>
              <c:f>应用!$A$47</c:f>
              <c:strCache>
                <c:ptCount val="1"/>
                <c:pt idx="0">
                  <c:v>0</c:v>
                </c:pt>
              </c:strCache>
            </c:strRef>
          </c:tx>
          <c:spPr>
            <a:solidFill>
              <a:schemeClr val="accent2">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应用!$B$47:$M$47</c:f>
            </c:numRef>
          </c:val>
        </c:ser>
        <c:ser>
          <c:idx val="7"/>
          <c:order val="7"/>
          <c:tx>
            <c:strRef>
              <c:f>应用!$A$48</c:f>
              <c:strCache>
                <c:ptCount val="1"/>
                <c:pt idx="0">
                  <c:v>0</c:v>
                </c:pt>
              </c:strCache>
            </c:strRef>
          </c:tx>
          <c:spPr>
            <a:solidFill>
              <a:schemeClr val="bg2">
                <a:lumMod val="5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应用!$B$48:$M$48</c:f>
            </c:numRef>
          </c:val>
        </c:ser>
        <c:ser>
          <c:idx val="8"/>
          <c:order val="8"/>
          <c:tx>
            <c:strRef>
              <c:f>应用!$A$49</c:f>
              <c:strCache>
                <c:ptCount val="1"/>
                <c:pt idx="0">
                  <c:v>0</c:v>
                </c:pt>
              </c:strCache>
            </c:strRef>
          </c:tx>
          <c:spPr>
            <a:solidFill>
              <a:schemeClr val="accent5">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应用!$B$49:$M$49</c:f>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5eb01249-813a-4350-81e8-7d0225e504d9}"/>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0.60793</cdr:x>
      <cdr:y>0.27494</cdr:y>
    </cdr:from>
    <cdr:to>
      <cdr:x>0.7304</cdr:x>
      <cdr:y>0.38082</cdr:y>
    </cdr:to>
    <cdr:sp>
      <cdr:nvSpPr>
        <cdr:cNvPr id="2" name="椭圆 1"/>
        <cdr:cNvSpPr/>
      </cdr:nvSpPr>
      <cdr:spPr xmlns:a="http://schemas.openxmlformats.org/drawingml/2006/main">
        <a:xfrm xmlns:a="http://schemas.openxmlformats.org/drawingml/2006/main" rot="21480000">
          <a:off x="3895614" y="841307"/>
          <a:ext cx="784800" cy="324000"/>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8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dr:relSizeAnchor xmlns:cdr="http://schemas.openxmlformats.org/drawingml/2006/chartDrawing">
    <cdr:from>
      <cdr:x>0.27574</cdr:x>
      <cdr:y>0.47252</cdr:y>
    </cdr:from>
    <cdr:to>
      <cdr:x>0.39821</cdr:x>
      <cdr:y>0.57891</cdr:y>
    </cdr:to>
    <cdr:sp>
      <cdr:nvSpPr>
        <cdr:cNvPr id="3" name="椭圆 2"/>
        <cdr:cNvSpPr/>
      </cdr:nvSpPr>
      <cdr:spPr xmlns:a="http://schemas.openxmlformats.org/drawingml/2006/main">
        <a:xfrm xmlns:a="http://schemas.openxmlformats.org/drawingml/2006/main" rot="21480000">
          <a:off x="1766911" y="1445911"/>
          <a:ext cx="784824" cy="325542"/>
        </a:xfrm>
        <a:prstGeom xmlns:a="http://schemas.openxmlformats.org/drawingml/2006/main" prst="ellipse">
          <a:avLst/>
        </a:prstGeom>
        <a:solidFill>
          <a:srgbClr val="FFC000"/>
        </a:solidFill>
        <a:ln>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9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F88D8A-0F30-4B42-A251-C7E5407D54E6}">
  <ds:schemaRefs/>
</ds:datastoreItem>
</file>

<file path=docProps/app.xml><?xml version="1.0" encoding="utf-8"?>
<Properties xmlns="http://schemas.openxmlformats.org/officeDocument/2006/extended-properties" xmlns:vt="http://schemas.openxmlformats.org/officeDocument/2006/docPropsVTypes">
  <Template>Normal</Template>
  <Pages>5</Pages>
  <Words>2301</Words>
  <Characters>2590</Characters>
  <Lines>13</Lines>
  <Paragraphs>3</Paragraphs>
  <TotalTime>4</TotalTime>
  <ScaleCrop>false</ScaleCrop>
  <LinksUpToDate>false</LinksUpToDate>
  <CharactersWithSpaces>2595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2025-03-20T09:22:42Z</dcterms:modified>
  <cp:revision>948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2052-12.1.0.20305</vt:lpwstr>
  </property>
  <property fmtid="{D5CDD505-2E9C-101B-9397-08002B2CF9AE}" pid="4" name="ICV">
    <vt:lpwstr>C39CB52F66574CA6A30E4B502E8487F1_13</vt:lpwstr>
  </property>
</Properties>
</file>