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OLE_LINK39"/>
      <w:bookmarkStart w:id="2" w:name="OLE_LINK24"/>
      <w:bookmarkStart w:id="3" w:name="OLE_LINK40"/>
      <w:bookmarkStart w:id="4" w:name="_Toc415143481"/>
      <w:bookmarkStart w:id="5" w:name="_Toc418070112"/>
      <w:bookmarkStart w:id="6" w:name="_Toc415818939"/>
      <w:bookmarkStart w:id="7" w:name="_Toc415142861"/>
      <w:bookmarkStart w:id="8" w:name="OLE_LINK15"/>
      <w:bookmarkStart w:id="9" w:name="_Toc481801204"/>
      <w:bookmarkStart w:id="10" w:name="OLE_LINK13"/>
      <w:bookmarkStart w:id="11" w:name="_Toc517262917"/>
      <w:bookmarkStart w:id="12" w:name="_Toc453597319"/>
      <w:bookmarkStart w:id="13" w:name="_Toc438987549"/>
      <w:r>
        <w:drawing>
          <wp:inline distT="0" distB="0" distL="114300" distR="114300">
            <wp:extent cx="2412365" cy="1097915"/>
            <wp:effectExtent l="0" t="0" r="6985" b="6985"/>
            <wp:docPr id="10" name="图片 10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-770890</wp:posOffset>
            </wp:positionH>
            <wp:positionV relativeFrom="paragraph">
              <wp:posOffset>-1134110</wp:posOffset>
            </wp:positionV>
            <wp:extent cx="7702550" cy="10934700"/>
            <wp:effectExtent l="0" t="0" r="12700" b="0"/>
            <wp:wrapNone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market@qyresearch.com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market@qyresearch.com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甲基丙烯酸羟乙酯 (HEMA)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甲基丙烯酸羟乙酯 (HEMA)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据QYResearch调研团队最新报告“全球甲基丙烯酸羟乙酯 (HEMA)市场报告2023-2029”显示，预计2029年全球甲基丙烯酸羟乙酯 (HEMA)市场规模将达到668百万美元，未来几年年复合增长率CAGR为3.3%。</w:t>
      </w:r>
    </w:p>
    <w:p>
      <w:pPr>
        <w:pStyle w:val="148"/>
        <w:rPr>
          <w:lang w:eastAsia="zh-CN"/>
        </w:rPr>
      </w:pP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6.68</w:t>
      </w:r>
      <w:r>
        <w:rPr>
          <w:rFonts w:hint="eastAsia"/>
          <w:lang w:eastAsia="zh-CN"/>
        </w:rPr>
        <w:t>亿美元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D1：亚太地区尤其是中国经济的发展扩大了H</w:t>
      </w:r>
      <w:r>
        <w:rPr>
          <w:lang w:eastAsia="zh-CN"/>
        </w:rPr>
        <w:t>EMA</w:t>
      </w:r>
      <w:r>
        <w:rPr>
          <w:rFonts w:hint="eastAsia"/>
          <w:lang w:eastAsia="zh-CN"/>
        </w:rPr>
        <w:t>产品下游的需求。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D2：多家公司正在投资研发活动，以开发创新和改进的 HEMA 产品。 预计这将在未来几年推动 HEMA 市场的增长。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D3：甲基丙烯酸羟乙酯可用于广泛的下游应用。 甲基丙烯酸羟乙酯易于聚合，具有良好的高分子生物相容性，因此可作为医用高分子材料制造隐形眼镜、人工角膜、牙科材料、矫形外科材料等产品。 在化学工业中，甲基丙烯酸羟乙酯可用于树脂、涂料和橡胶改性领域，用于生产改性丙烯酸树脂、双组份涂料、高级汽车漆、合成纤维粘合剂等产品。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R1：甲基丙烯酸羟乙酯（HEMA）上游依赖原油，近期原油价格高位将通过产业链影响市场和价格。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R2：新冠疫情导致下游需求频繁受到影响。 这将减少甲基丙烯酸羟乙酯（HEMA）的产量和潜在需求。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R3：有很多因素会阻碍甲基丙烯酸羟乙酯（HEMA）市场的增长。限制因素包括皮肤接触造成的有害影响。 有害影响，如刺激眼睛、皮肤和呼吸系统。意外摄入可能会损害人体健康。 高暴露水平对任何人都可能有毒。 预计这一因素将限制和限制市场增长。</w:t>
      </w:r>
    </w:p>
    <w:p>
      <w:pPr>
        <w:pStyle w:val="148"/>
        <w:rPr>
          <w:lang w:eastAsia="zh-CN"/>
        </w:rPr>
      </w:pP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，全球市场主要厂商排名，其中2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年前五大厂商占有全球大约</w:t>
      </w:r>
      <w:r>
        <w:rPr>
          <w:lang w:eastAsia="zh-CN"/>
        </w:rPr>
        <w:t>61.1%</w:t>
      </w:r>
      <w:r>
        <w:rPr>
          <w:rFonts w:hint="eastAsia"/>
          <w:lang w:eastAsia="zh-CN"/>
        </w:rPr>
        <w:t>的市场份额</w:t>
      </w:r>
    </w:p>
    <w:p>
      <w:pPr>
        <w:pStyle w:val="145"/>
        <w:jc w:val="center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主要生产商包括</w:t>
      </w:r>
      <w:r>
        <w:rPr>
          <w:lang w:eastAsia="zh-CN"/>
        </w:rPr>
        <w:t>Mitsubishi Chemical</w:t>
      </w:r>
      <w:r>
        <w:rPr>
          <w:rFonts w:hint="eastAsia"/>
          <w:lang w:eastAsia="zh-CN"/>
        </w:rPr>
        <w:t>、</w:t>
      </w:r>
      <w:r>
        <w:rPr>
          <w:lang w:eastAsia="zh-CN"/>
        </w:rPr>
        <w:t>Röhm GmbH (Evonik)</w:t>
      </w:r>
      <w:r>
        <w:rPr>
          <w:rFonts w:hint="eastAsia"/>
          <w:lang w:eastAsia="zh-CN"/>
        </w:rPr>
        <w:t>、</w:t>
      </w:r>
      <w:r>
        <w:rPr>
          <w:lang w:eastAsia="zh-CN"/>
        </w:rPr>
        <w:t>Dow</w:t>
      </w:r>
      <w:r>
        <w:rPr>
          <w:rFonts w:hint="eastAsia"/>
          <w:lang w:eastAsia="zh-CN"/>
        </w:rPr>
        <w:t>、万华化学和</w:t>
      </w:r>
      <w:r>
        <w:rPr>
          <w:lang w:eastAsia="zh-CN"/>
        </w:rPr>
        <w:t>Nippon Shokubai</w:t>
      </w:r>
      <w:r>
        <w:rPr>
          <w:rFonts w:hint="eastAsia"/>
          <w:lang w:eastAsia="zh-CN"/>
        </w:rPr>
        <w:t>等，2022年</w:t>
      </w:r>
      <w:r>
        <w:rPr>
          <w:lang w:eastAsia="zh-CN"/>
        </w:rPr>
        <w:t>，</w:t>
      </w:r>
      <w:r>
        <w:rPr>
          <w:rFonts w:hint="eastAsia"/>
          <w:lang w:eastAsia="zh-CN"/>
        </w:rPr>
        <w:t>其中前五大厂商占有大约</w:t>
      </w:r>
      <w:r>
        <w:rPr>
          <w:lang w:eastAsia="zh-CN"/>
        </w:rPr>
        <w:t>61.1%</w:t>
      </w:r>
      <w:r>
        <w:rPr>
          <w:rFonts w:hint="eastAsia"/>
          <w:lang w:eastAsia="zh-CN"/>
        </w:rPr>
        <w:t>的市场份额。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，全球市场规模，按产品类型细分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038850" cy="27838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7577" cy="2792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</w:t>
      </w:r>
      <w:r>
        <w:rPr>
          <w:lang w:eastAsia="zh-CN"/>
        </w:rPr>
        <w:t>97%--99%</w:t>
      </w:r>
      <w:r>
        <w:rPr>
          <w:rFonts w:hint="eastAsia"/>
          <w:lang w:eastAsia="zh-CN"/>
        </w:rPr>
        <w:t>是最主要的细分产品，2022年占据大约</w:t>
      </w:r>
      <w:r>
        <w:rPr>
          <w:lang w:eastAsia="zh-CN"/>
        </w:rPr>
        <w:t>49.5%</w:t>
      </w:r>
      <w:r>
        <w:rPr>
          <w:rFonts w:hint="eastAsia"/>
          <w:lang w:eastAsia="zh-CN"/>
        </w:rPr>
        <w:t>的份额。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，全球市场规模，按应用细分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057900" cy="279273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169" cy="27966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就产品类型而言，目前涂料是最主要的需求来源，2022年占据大约</w:t>
      </w:r>
      <w:r>
        <w:rPr>
          <w:lang w:eastAsia="zh-CN"/>
        </w:rPr>
        <w:t>39.4%</w:t>
      </w:r>
      <w:r>
        <w:rPr>
          <w:rFonts w:hint="eastAsia"/>
          <w:lang w:eastAsia="zh-CN"/>
        </w:rPr>
        <w:t>的份额。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甲基丙烯酸羟乙酯 (HEMA)</w:t>
      </w:r>
      <w:r>
        <w:rPr>
          <w:rFonts w:hint="eastAsia"/>
          <w:lang w:eastAsia="zh-CN"/>
        </w:rPr>
        <w:t>规模，主要生产地区份额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88710" cy="2922270"/>
            <wp:effectExtent l="0" t="0" r="2540" b="11430"/>
            <wp:docPr id="8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甲基丙烯酸羟乙酯 (HEMA)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5"/>
      </w:pPr>
    </w:p>
    <w:p>
      <w:pPr>
        <w:pStyle w:val="145"/>
      </w:pPr>
    </w:p>
    <w:p>
      <w:pPr>
        <w:pStyle w:val="145"/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107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02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D5A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944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AAB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DF8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6D06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88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64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108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384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117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74A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33B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4F46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89F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CF7EBC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0AD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534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D9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951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未处理的提及6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chart" Target="charts/chart6.xml"/><Relationship Id="rId16" Type="http://schemas.openxmlformats.org/officeDocument/2006/relationships/chart" Target="charts/chart5.xml"/><Relationship Id="rId15" Type="http://schemas.openxmlformats.org/officeDocument/2006/relationships/chart" Target="charts/chart4.xml"/><Relationship Id="rId14" Type="http://schemas.openxmlformats.org/officeDocument/2006/relationships/image" Target="media/image6.png"/><Relationship Id="rId13" Type="http://schemas.openxmlformats.org/officeDocument/2006/relationships/chart" Target="charts/chart3.xml"/><Relationship Id="rId12" Type="http://schemas.openxmlformats.org/officeDocument/2006/relationships/image" Target="media/image5.png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4.xml"/><Relationship Id="rId3" Type="http://schemas.microsoft.com/office/2011/relationships/chartStyle" Target="style4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istrator\Desktop\&#35266;&#28857;&#25968;&#25454;&#22270;&#34920;&#27169;&#26495;-&#20840;&#29699;20230911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Administrator\Desktop\&#35266;&#28857;&#25968;&#25454;&#22270;&#34920;&#27169;&#26495;-&#20840;&#29699;20230911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35266;&#28857;&#25968;&#25454;&#22270;&#34920;&#27169;&#26495;-&#20840;&#29699;20230911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istrator\Desktop\&#35266;&#28857;&#25968;&#25454;&#22270;&#34920;&#27169;&#26495;-&#20840;&#29699;20230911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Administrator\Desktop\&#35266;&#28857;&#25968;&#25454;&#22270;&#34920;&#27169;&#26495;-&#20840;&#29699;20230911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Administrator\Desktop\&#35266;&#28857;&#25968;&#25454;&#22270;&#34920;&#27169;&#26495;-&#20840;&#29699;2023091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404.48</c:v>
                </c:pt>
                <c:pt idx="1">
                  <c:v>612.97</c:v>
                </c:pt>
                <c:pt idx="2">
                  <c:v>667.99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企业排序!$F$2:$F$15</c:f>
              <c:strCache>
                <c:ptCount val="14"/>
                <c:pt idx="0">
                  <c:v>和创化学</c:v>
                </c:pt>
                <c:pt idx="1">
                  <c:v>三木集团</c:v>
                </c:pt>
                <c:pt idx="2">
                  <c:v>兴鲁生物科技</c:v>
                </c:pt>
                <c:pt idx="3">
                  <c:v>仁信环保材料</c:v>
                </c:pt>
                <c:pt idx="4">
                  <c:v>MGC</c:v>
                </c:pt>
                <c:pt idx="5">
                  <c:v>池州方达科技</c:v>
                </c:pt>
                <c:pt idx="6">
                  <c:v>无锡市杨市三联化工</c:v>
                </c:pt>
                <c:pt idx="7">
                  <c:v>海克莱化学</c:v>
                </c:pt>
                <c:pt idx="8">
                  <c:v>Geo</c:v>
                </c:pt>
                <c:pt idx="9">
                  <c:v>Nippon Shokubai</c:v>
                </c:pt>
                <c:pt idx="10">
                  <c:v>万华化学</c:v>
                </c:pt>
                <c:pt idx="11">
                  <c:v>Dow</c:v>
                </c:pt>
                <c:pt idx="12">
                  <c:v>Röhm GmbH (Evonik)</c:v>
                </c:pt>
                <c:pt idx="13">
                  <c:v>Mitsubishi Chemical</c:v>
                </c:pt>
              </c:strCache>
            </c:strRef>
          </c:cat>
          <c:val>
            <c:numRef>
              <c:f>企业排序!$G$2:$G$15</c:f>
              <c:numCache>
                <c:formatCode>#,##0.00_ </c:formatCode>
                <c:ptCount val="14"/>
                <c:pt idx="0">
                  <c:v>6.73</c:v>
                </c:pt>
                <c:pt idx="1">
                  <c:v>6.95</c:v>
                </c:pt>
                <c:pt idx="2">
                  <c:v>10.15</c:v>
                </c:pt>
                <c:pt idx="3">
                  <c:v>17.68</c:v>
                </c:pt>
                <c:pt idx="4">
                  <c:v>18.86</c:v>
                </c:pt>
                <c:pt idx="5">
                  <c:v>19.71</c:v>
                </c:pt>
                <c:pt idx="6">
                  <c:v>21.51</c:v>
                </c:pt>
                <c:pt idx="7">
                  <c:v>25.85</c:v>
                </c:pt>
                <c:pt idx="8">
                  <c:v>29.07</c:v>
                </c:pt>
                <c:pt idx="9">
                  <c:v>33.26</c:v>
                </c:pt>
                <c:pt idx="10">
                  <c:v>37.85</c:v>
                </c:pt>
                <c:pt idx="11">
                  <c:v>68.98</c:v>
                </c:pt>
                <c:pt idx="12">
                  <c:v>114.27</c:v>
                </c:pt>
                <c:pt idx="13">
                  <c:v>120.03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299878086419753"/>
          <c:y val="0.0211666666666667"/>
          <c:w val="0.936207098765432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93%--97%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分类!$B$2:$M$2</c:f>
              <c:numCache>
                <c:formatCode>#,##0.00_);[Red]\(#,##0.00\)</c:formatCode>
                <c:ptCount val="12"/>
                <c:pt idx="0">
                  <c:v>31.25</c:v>
                </c:pt>
                <c:pt idx="1">
                  <c:v>29.1600000000001</c:v>
                </c:pt>
                <c:pt idx="2">
                  <c:v>23.0199999999999</c:v>
                </c:pt>
                <c:pt idx="3">
                  <c:v>33.2600000000001</c:v>
                </c:pt>
                <c:pt idx="4">
                  <c:v>42.07</c:v>
                </c:pt>
                <c:pt idx="5">
                  <c:v>38.02</c:v>
                </c:pt>
                <c:pt idx="6">
                  <c:v>37.96</c:v>
                </c:pt>
                <c:pt idx="7">
                  <c:v>38.36</c:v>
                </c:pt>
                <c:pt idx="8">
                  <c:v>37.8500000000001</c:v>
                </c:pt>
                <c:pt idx="9">
                  <c:v>38.54</c:v>
                </c:pt>
                <c:pt idx="10">
                  <c:v>37.6500000000001</c:v>
                </c:pt>
                <c:pt idx="11">
                  <c:v>38.71</c:v>
                </c:pt>
              </c:numCache>
            </c:numRef>
          </c:val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97%--99%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分类!$B$3:$M$3</c:f>
              <c:numCache>
                <c:formatCode>#,##0.00_);[Red]\(#,##0.00\)</c:formatCode>
                <c:ptCount val="12"/>
                <c:pt idx="0">
                  <c:v>202.58</c:v>
                </c:pt>
                <c:pt idx="1">
                  <c:v>192.81</c:v>
                </c:pt>
                <c:pt idx="2">
                  <c:v>157.63</c:v>
                </c:pt>
                <c:pt idx="3">
                  <c:v>236.2</c:v>
                </c:pt>
                <c:pt idx="4">
                  <c:v>303.18</c:v>
                </c:pt>
                <c:pt idx="5">
                  <c:v>270.17</c:v>
                </c:pt>
                <c:pt idx="6">
                  <c:v>279.62</c:v>
                </c:pt>
                <c:pt idx="7">
                  <c:v>288.05</c:v>
                </c:pt>
                <c:pt idx="8">
                  <c:v>296.46</c:v>
                </c:pt>
                <c:pt idx="9">
                  <c:v>303.88</c:v>
                </c:pt>
                <c:pt idx="10">
                  <c:v>311.83</c:v>
                </c:pt>
                <c:pt idx="11">
                  <c:v>318.91</c:v>
                </c:pt>
              </c:numCache>
            </c:numRef>
          </c:val>
        </c:ser>
        <c:ser>
          <c:idx val="2"/>
          <c:order val="2"/>
          <c:tx>
            <c:strRef>
              <c:f>分类!$A$4</c:f>
              <c:strCache>
                <c:ptCount val="1"/>
                <c:pt idx="0">
                  <c:v>99%以上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分类!$B$4:$M$4</c:f>
              <c:numCache>
                <c:formatCode>#,##0_);[Red]\(#,##0\)</c:formatCode>
                <c:ptCount val="12"/>
                <c:pt idx="0">
                  <c:v>170.65</c:v>
                </c:pt>
                <c:pt idx="1">
                  <c:v>164.69</c:v>
                </c:pt>
                <c:pt idx="2">
                  <c:v>137.14</c:v>
                </c:pt>
                <c:pt idx="3">
                  <c:v>207.06</c:v>
                </c:pt>
                <c:pt idx="4">
                  <c:v>267.72</c:v>
                </c:pt>
                <c:pt idx="5">
                  <c:v>241.73</c:v>
                </c:pt>
                <c:pt idx="6">
                  <c:v>253.16</c:v>
                </c:pt>
                <c:pt idx="7">
                  <c:v>264.67</c:v>
                </c:pt>
                <c:pt idx="8">
                  <c:v>277.02</c:v>
                </c:pt>
                <c:pt idx="9">
                  <c:v>288.22</c:v>
                </c:pt>
                <c:pt idx="10">
                  <c:v>299.86</c:v>
                </c:pt>
                <c:pt idx="11">
                  <c:v>310.37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347147222222222"/>
          <c:h val="0.06584640522875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涂料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#,##0.00_);[Red]\(#,##0.00\)</c:formatCode>
                <c:ptCount val="12"/>
                <c:pt idx="0">
                  <c:v>159.07</c:v>
                </c:pt>
                <c:pt idx="1">
                  <c:v>152.05</c:v>
                </c:pt>
                <c:pt idx="2">
                  <c:v>124.81</c:v>
                </c:pt>
                <c:pt idx="3">
                  <c:v>187.69</c:v>
                </c:pt>
                <c:pt idx="4">
                  <c:v>241.41</c:v>
                </c:pt>
                <c:pt idx="5">
                  <c:v>216.9</c:v>
                </c:pt>
                <c:pt idx="6">
                  <c:v>224.84</c:v>
                </c:pt>
                <c:pt idx="7">
                  <c:v>233.68</c:v>
                </c:pt>
                <c:pt idx="8">
                  <c:v>241.98</c:v>
                </c:pt>
                <c:pt idx="9">
                  <c:v>249.76</c:v>
                </c:pt>
                <c:pt idx="10">
                  <c:v>257.41</c:v>
                </c:pt>
                <c:pt idx="11">
                  <c:v>265.24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反应性树脂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#,##0.00_);[Red]\(#,##0.00\)</c:formatCode>
                <c:ptCount val="12"/>
                <c:pt idx="0">
                  <c:v>127.76</c:v>
                </c:pt>
                <c:pt idx="1">
                  <c:v>121.55</c:v>
                </c:pt>
                <c:pt idx="2">
                  <c:v>99.4</c:v>
                </c:pt>
                <c:pt idx="3">
                  <c:v>148.18</c:v>
                </c:pt>
                <c:pt idx="4">
                  <c:v>190.05</c:v>
                </c:pt>
                <c:pt idx="5">
                  <c:v>169.71</c:v>
                </c:pt>
                <c:pt idx="6">
                  <c:v>175.51</c:v>
                </c:pt>
                <c:pt idx="7">
                  <c:v>180.48</c:v>
                </c:pt>
                <c:pt idx="8">
                  <c:v>185.62</c:v>
                </c:pt>
                <c:pt idx="9">
                  <c:v>190.75</c:v>
                </c:pt>
                <c:pt idx="10">
                  <c:v>195.45</c:v>
                </c:pt>
                <c:pt idx="11">
                  <c:v>200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粘合剂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  <c:numCache>
                <c:formatCode>#,##0.00_);[Red]\(#,##0.00\)</c:formatCode>
                <c:ptCount val="12"/>
                <c:pt idx="0">
                  <c:v>75.29</c:v>
                </c:pt>
                <c:pt idx="1">
                  <c:v>72.27</c:v>
                </c:pt>
                <c:pt idx="2">
                  <c:v>59.65</c:v>
                </c:pt>
                <c:pt idx="3">
                  <c:v>89.57</c:v>
                </c:pt>
                <c:pt idx="4">
                  <c:v>115.58</c:v>
                </c:pt>
                <c:pt idx="5">
                  <c:v>104.09</c:v>
                </c:pt>
                <c:pt idx="6">
                  <c:v>108.45</c:v>
                </c:pt>
                <c:pt idx="7">
                  <c:v>112.52</c:v>
                </c:pt>
                <c:pt idx="8">
                  <c:v>116.74</c:v>
                </c:pt>
                <c:pt idx="9">
                  <c:v>120.62</c:v>
                </c:pt>
                <c:pt idx="10">
                  <c:v>124.39</c:v>
                </c:pt>
                <c:pt idx="11">
                  <c:v>128.35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>其他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应用!$B$5:$M$5</c:f>
              <c:numCache>
                <c:formatCode>#,##0.00_);[Red]\(#,##0.00\)</c:formatCode>
                <c:ptCount val="12"/>
                <c:pt idx="0">
                  <c:v>42.36</c:v>
                </c:pt>
                <c:pt idx="1">
                  <c:v>40.79</c:v>
                </c:pt>
                <c:pt idx="2">
                  <c:v>33.93</c:v>
                </c:pt>
                <c:pt idx="3">
                  <c:v>51.08</c:v>
                </c:pt>
                <c:pt idx="4">
                  <c:v>65.93</c:v>
                </c:pt>
                <c:pt idx="5">
                  <c:v>59.22</c:v>
                </c:pt>
                <c:pt idx="6">
                  <c:v>61.94</c:v>
                </c:pt>
                <c:pt idx="7">
                  <c:v>64.4</c:v>
                </c:pt>
                <c:pt idx="8">
                  <c:v>66.99</c:v>
                </c:pt>
                <c:pt idx="9">
                  <c:v>69.51</c:v>
                </c:pt>
                <c:pt idx="10">
                  <c:v>72.09</c:v>
                </c:pt>
                <c:pt idx="11">
                  <c:v>74.4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549962962962963"/>
          <c:h val="0.06584640522875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亚太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'地区-消费'!$B$2:$M$2</c:f>
              <c:numCache>
                <c:formatCode>#,##0.00_);[Red]\(#,##0.00\)</c:formatCode>
                <c:ptCount val="12"/>
                <c:pt idx="0">
                  <c:v>174.2</c:v>
                </c:pt>
                <c:pt idx="1">
                  <c:v>167.76</c:v>
                </c:pt>
                <c:pt idx="2">
                  <c:v>138</c:v>
                </c:pt>
                <c:pt idx="3">
                  <c:v>207.08</c:v>
                </c:pt>
                <c:pt idx="4">
                  <c:v>268.94</c:v>
                </c:pt>
                <c:pt idx="5">
                  <c:v>243.83</c:v>
                </c:pt>
                <c:pt idx="6">
                  <c:v>256.28</c:v>
                </c:pt>
                <c:pt idx="7">
                  <c:v>266.65</c:v>
                </c:pt>
                <c:pt idx="8">
                  <c:v>278.95</c:v>
                </c:pt>
                <c:pt idx="9">
                  <c:v>292.54</c:v>
                </c:pt>
                <c:pt idx="10">
                  <c:v>303.3</c:v>
                </c:pt>
                <c:pt idx="11">
                  <c:v>316.45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'地区-消费'!$B$3:$M$3</c:f>
              <c:numCache>
                <c:formatCode>#,##0.00_);[Red]\(#,##0.00\)</c:formatCode>
                <c:ptCount val="12"/>
                <c:pt idx="0">
                  <c:v>87.25</c:v>
                </c:pt>
                <c:pt idx="1">
                  <c:v>83.83</c:v>
                </c:pt>
                <c:pt idx="2">
                  <c:v>69.91</c:v>
                </c:pt>
                <c:pt idx="3">
                  <c:v>105.24</c:v>
                </c:pt>
                <c:pt idx="4">
                  <c:v>134.28</c:v>
                </c:pt>
                <c:pt idx="5">
                  <c:v>118.37</c:v>
                </c:pt>
                <c:pt idx="6">
                  <c:v>121.03</c:v>
                </c:pt>
                <c:pt idx="7">
                  <c:v>125.3</c:v>
                </c:pt>
                <c:pt idx="8">
                  <c:v>128.68</c:v>
                </c:pt>
                <c:pt idx="9">
                  <c:v>130.2</c:v>
                </c:pt>
                <c:pt idx="10">
                  <c:v>133.43</c:v>
                </c:pt>
                <c:pt idx="11">
                  <c:v>135.23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'地区-消费'!$B$4:$M$4</c:f>
              <c:numCache>
                <c:formatCode>#,##0.00_);[Red]\(#,##0.00\)</c:formatCode>
                <c:ptCount val="12"/>
                <c:pt idx="0">
                  <c:v>125.19</c:v>
                </c:pt>
                <c:pt idx="1">
                  <c:v>118.42</c:v>
                </c:pt>
                <c:pt idx="2">
                  <c:v>96.68</c:v>
                </c:pt>
                <c:pt idx="3">
                  <c:v>144.73</c:v>
                </c:pt>
                <c:pt idx="4">
                  <c:v>185.28</c:v>
                </c:pt>
                <c:pt idx="5">
                  <c:v>166.01</c:v>
                </c:pt>
                <c:pt idx="6">
                  <c:v>171.46</c:v>
                </c:pt>
                <c:pt idx="7">
                  <c:v>176.78</c:v>
                </c:pt>
                <c:pt idx="8">
                  <c:v>180.93</c:v>
                </c:pt>
                <c:pt idx="9">
                  <c:v>184.48</c:v>
                </c:pt>
                <c:pt idx="10">
                  <c:v>188.8</c:v>
                </c:pt>
                <c:pt idx="11">
                  <c:v>192.2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拉美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'地区-消费'!$B$5:$M$5</c:f>
              <c:numCache>
                <c:formatCode>#,##0.00_);[Red]\(#,##0.00\)</c:formatCode>
                <c:ptCount val="12"/>
                <c:pt idx="0">
                  <c:v>10.28</c:v>
                </c:pt>
                <c:pt idx="1">
                  <c:v>9.64</c:v>
                </c:pt>
                <c:pt idx="2">
                  <c:v>7.71</c:v>
                </c:pt>
                <c:pt idx="3">
                  <c:v>11.46</c:v>
                </c:pt>
                <c:pt idx="4">
                  <c:v>14.5</c:v>
                </c:pt>
                <c:pt idx="5">
                  <c:v>12.8</c:v>
                </c:pt>
                <c:pt idx="6">
                  <c:v>12.94</c:v>
                </c:pt>
                <c:pt idx="7">
                  <c:v>13.23</c:v>
                </c:pt>
                <c:pt idx="8">
                  <c:v>13.4</c:v>
                </c:pt>
                <c:pt idx="9">
                  <c:v>13.79</c:v>
                </c:pt>
                <c:pt idx="10">
                  <c:v>14.09</c:v>
                </c:pt>
                <c:pt idx="11">
                  <c:v>14.16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>中东和非洲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'地区-消费'!$B$6:$M$6</c:f>
              <c:numCache>
                <c:formatCode>#,##0.00_);[Red]\(#,##0.00\)</c:formatCode>
                <c:ptCount val="12"/>
                <c:pt idx="0">
                  <c:v>7.56</c:v>
                </c:pt>
                <c:pt idx="1">
                  <c:v>7.01</c:v>
                </c:pt>
                <c:pt idx="2">
                  <c:v>5.49</c:v>
                </c:pt>
                <c:pt idx="3">
                  <c:v>8.01</c:v>
                </c:pt>
                <c:pt idx="4">
                  <c:v>9.97</c:v>
                </c:pt>
                <c:pt idx="5">
                  <c:v>8.91</c:v>
                </c:pt>
                <c:pt idx="6">
                  <c:v>9.03</c:v>
                </c:pt>
                <c:pt idx="7">
                  <c:v>9.12</c:v>
                </c:pt>
                <c:pt idx="8">
                  <c:v>9.37</c:v>
                </c:pt>
                <c:pt idx="9">
                  <c:v>9.63</c:v>
                </c:pt>
                <c:pt idx="10">
                  <c:v>9.72</c:v>
                </c:pt>
                <c:pt idx="11">
                  <c:v>9.95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'地区-消费'!$AE$1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'地区-消费'!$AD$2:$AD$6</c:f>
              <c:strCache>
                <c:ptCount val="5"/>
                <c:pt idx="0">
                  <c:v>亚太</c:v>
                </c:pt>
                <c:pt idx="1">
                  <c:v>欧洲</c:v>
                </c:pt>
                <c:pt idx="2">
                  <c:v>北美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'地区-消费'!$AE$2:$AE$6</c:f>
              <c:numCache>
                <c:formatCode>#,##0_);[Red]\(#,##0\)</c:formatCode>
                <c:ptCount val="5"/>
                <c:pt idx="0">
                  <c:v>174.2</c:v>
                </c:pt>
                <c:pt idx="1">
                  <c:v>87.25</c:v>
                </c:pt>
                <c:pt idx="2">
                  <c:v>125.19</c:v>
                </c:pt>
                <c:pt idx="3">
                  <c:v>10.28</c:v>
                </c:pt>
                <c:pt idx="4">
                  <c:v>7.56</c:v>
                </c:pt>
              </c:numCache>
            </c:numRef>
          </c:val>
        </c:ser>
        <c:ser>
          <c:idx val="1"/>
          <c:order val="1"/>
          <c:tx>
            <c:strRef>
              <c:f>'地区-消费'!$AF$1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'地区-消费'!$AD$2:$AD$6</c:f>
              <c:strCache>
                <c:ptCount val="5"/>
                <c:pt idx="0">
                  <c:v>亚太</c:v>
                </c:pt>
                <c:pt idx="1">
                  <c:v>欧洲</c:v>
                </c:pt>
                <c:pt idx="2">
                  <c:v>北美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'地区-消费'!$AF$2:$AF$6</c:f>
              <c:numCache>
                <c:formatCode>#,##0_);[Red]\(#,##0\)</c:formatCode>
                <c:ptCount val="5"/>
                <c:pt idx="0">
                  <c:v>268.94</c:v>
                </c:pt>
                <c:pt idx="1">
                  <c:v>134.28</c:v>
                </c:pt>
                <c:pt idx="2">
                  <c:v>185.28</c:v>
                </c:pt>
                <c:pt idx="3">
                  <c:v>14.5</c:v>
                </c:pt>
                <c:pt idx="4">
                  <c:v>9.97</c:v>
                </c:pt>
              </c:numCache>
            </c:numRef>
          </c:val>
        </c:ser>
        <c:ser>
          <c:idx val="2"/>
          <c:order val="2"/>
          <c:tx>
            <c:strRef>
              <c:f>'地区-消费'!$AG$1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'地区-消费'!$AD$2:$AD$6</c:f>
              <c:strCache>
                <c:ptCount val="5"/>
                <c:pt idx="0">
                  <c:v>亚太</c:v>
                </c:pt>
                <c:pt idx="1">
                  <c:v>欧洲</c:v>
                </c:pt>
                <c:pt idx="2">
                  <c:v>北美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'地区-消费'!$AG$2:$AG$6</c:f>
              <c:numCache>
                <c:formatCode>#,##0_);[Red]\(#,##0\)</c:formatCode>
                <c:ptCount val="5"/>
                <c:pt idx="0">
                  <c:v>316.45</c:v>
                </c:pt>
                <c:pt idx="1">
                  <c:v>135.23</c:v>
                </c:pt>
                <c:pt idx="2">
                  <c:v>192.2</c:v>
                </c:pt>
                <c:pt idx="3">
                  <c:v>14.16</c:v>
                </c:pt>
                <c:pt idx="4">
                  <c:v>9.95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0.55219</cdr:x>
      <cdr:y>0</cdr:y>
    </cdr:from>
    <cdr:to>
      <cdr:x>0.76768</cdr:x>
      <cdr:y>0.37039</cdr:y>
    </cdr:to>
    <cdr:grpSp>
      <cdr:nvGrpSpPr>
        <cdr:cNvPr id="2" name="组合 1"/>
        <cdr:cNvGrpSpPr/>
      </cdr:nvGrpSpPr>
      <cdr:grpSpPr xmlns:a="http://schemas.openxmlformats.org/drawingml/2006/main">
        <a:xfrm rot="2012728">
          <a:off x="3417344" y="0"/>
          <a:ext cx="1333605" cy="1082380"/>
          <a:chOff x="1852815" y="-1059459"/>
          <a:chExt cx="1098177" cy="1199029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1852815" y="-1059459"/>
            <a:ext cx="1098177" cy="1199029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9104382">
            <a:off x="2056826" y="-569728"/>
            <a:ext cx="676275" cy="404597"/>
          </a:xfrm>
          <a:prstGeom xmlns:a="http://schemas.openxmlformats.org/drawingml/2006/main" prst="ellipse">
            <a:avLst/>
          </a:prstGeom>
          <a:solidFill>
            <a:srgbClr val="FF0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latin typeface="Book Antiqua" panose="02040602050305030304" pitchFamily="1" charset="0"/>
                <a:ea typeface="+mn-ea"/>
              </a:rPr>
              <a:t>3.3% </a:t>
            </a:r>
            <a:endParaRPr lang="zh-CN" baseline="0"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0.15728</cdr:x>
      <cdr:y>0.14076</cdr:y>
    </cdr:from>
    <cdr:to>
      <cdr:x>0.39778</cdr:x>
      <cdr:y>0.46032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973360" y="411339"/>
          <a:ext cx="1488385" cy="933841"/>
          <a:chOff x="2317022" y="761954"/>
          <a:chExt cx="1177848" cy="944633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683512" flipV="1">
            <a:off x="2317022" y="1000333"/>
            <a:ext cx="1177848" cy="397982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883922">
            <a:off x="2372146" y="1098697"/>
            <a:ext cx="944633" cy="271148"/>
          </a:xfrm>
          <a:prstGeom xmlns:a="http://schemas.openxmlformats.org/drawingml/2006/main" prst="ellipse">
            <a:avLst/>
          </a:prstGeom>
          <a:solidFill>
            <a:srgbClr val="FF0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/>
              <a:t>11.0% </a:t>
            </a:r>
            <a:endParaRPr lang="zh-CN"/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82AC75-C929-45F6-834F-5DB2691338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1455</Words>
  <Characters>1806</Characters>
  <Lines>14</Lines>
  <Paragraphs>4</Paragraphs>
  <TotalTime>2</TotalTime>
  <ScaleCrop>false</ScaleCrop>
  <LinksUpToDate>false</LinksUpToDate>
  <CharactersWithSpaces>1835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2023-10-09T09:07:20Z</dcterms:modified>
  <cp:revision>784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47127E89B52C46AD9426A6AD64013AA1_13</vt:lpwstr>
  </property>
</Properties>
</file>