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5D5715">
      <w:pPr>
        <w:pStyle w:val="167"/>
        <w:rPr>
          <w:lang w:eastAsia="zh-CN"/>
        </w:rPr>
      </w:pPr>
      <w:bookmarkStart w:id="0" w:name="_Toc517262917"/>
      <w:bookmarkStart w:id="1" w:name="_Toc453597319"/>
      <w:bookmarkStart w:id="2" w:name="_Toc415143481"/>
      <w:bookmarkStart w:id="3" w:name="_Toc438987549"/>
      <w:bookmarkStart w:id="4" w:name="_Toc418070112"/>
      <w:bookmarkStart w:id="5" w:name="OLE_LINK15"/>
      <w:bookmarkStart w:id="6" w:name="OLE_LINK13"/>
      <w:bookmarkStart w:id="7" w:name="_Toc415818939"/>
      <w:bookmarkStart w:id="8" w:name="_Toc481801204"/>
      <w:bookmarkStart w:id="9" w:name="_Toc415142861"/>
      <w:bookmarkStart w:id="10" w:name="OLE_LINK40"/>
      <w:bookmarkStart w:id="11" w:name="OLE_LINK24"/>
      <w:bookmarkStart w:id="12" w:name="OLE_LINK39"/>
      <w:r>
        <w:rPr>
          <w:lang w:eastAsia="zh-CN"/>
        </w:rPr>
        <w:t>裸片晶圆储存装置</w:t>
      </w:r>
      <w:r>
        <w:rPr>
          <w:rFonts w:hint="eastAsia"/>
          <w:lang w:eastAsia="zh-CN"/>
        </w:rPr>
        <w:t>全球市场总体规模</w:t>
      </w:r>
    </w:p>
    <w:p w14:paraId="5818D4DD">
      <w:pPr>
        <w:pStyle w:val="145"/>
        <w:rPr>
          <w:lang w:eastAsia="zh-CN"/>
        </w:rPr>
      </w:pPr>
      <w:r>
        <w:rPr>
          <w:rFonts w:hint="eastAsia"/>
          <w:lang w:eastAsia="zh-CN"/>
        </w:rPr>
        <w:t>裸片晶圆储存装置是一种专门的存储和处理系统，用于半导体制造厂在加工之前安全地存储和管理裸硅晶圆。这些储存器旨在维持受控环境，保护晶圆免受污染物、物理损坏以及湿度和温度波动等环境因素的影响。该系统通常包括自动检索和插入机制，无需人工干预即可高效、精确地处理晶圆。裸片晶圆储存装置内的盒式磁带或载体中，机械臂或自动导引车 (AGV) 可以根据生产过程的需要轻松访问这些盒式磁带或载体。裸晶圆储存器在保持晶圆的质量和完整性方面发挥着关键作用，确保晶圆保持完好并为半导体制造的后续步骤做好准备。通过优化存储和处理，这些系统有助于在要求严格的半导体行业中提高产量和提高制造工作流程的效率。</w:t>
      </w:r>
    </w:p>
    <w:p w14:paraId="067CEFDE">
      <w:pPr>
        <w:pStyle w:val="145"/>
        <w:rPr>
          <w:lang w:eastAsia="zh-CN"/>
        </w:rPr>
      </w:pPr>
      <w:r>
        <w:rPr>
          <w:rFonts w:hint="eastAsia"/>
          <w:lang w:eastAsia="zh-CN"/>
        </w:rPr>
        <w:t>裸片晶圆储存装置市场正在稳步增长，这得益于消费电子、汽车、电信和工业自动化等各个领域对半导体设备的需求不断增长。裸片晶圆储存装置对于制造过程中半导体晶圆的安全存储、运输和管理至关重要，对于保持半导体晶圆厂的效率和清洁度至关重要。目前，市场以采用自动化储存器为标志，这些储存器可提供更高的精度、更低的污染风险和更好的库存管理。随着半导体制造业随着 5G、AI、物联网和汽车技术的创新而不断扩大和发展，对更先进、更高效的晶圆存储解决方案的需求预计将大幅增长。</w:t>
      </w:r>
    </w:p>
    <w:p w14:paraId="4D38E3C6">
      <w:pPr>
        <w:pStyle w:val="145"/>
        <w:rPr>
          <w:lang w:eastAsia="zh-CN"/>
        </w:rPr>
      </w:pPr>
      <w:r>
        <w:rPr>
          <w:rFonts w:hint="eastAsia"/>
          <w:lang w:eastAsia="zh-CN"/>
        </w:rPr>
        <w:t>QYResearch调研显示，2024年全球裸片晶圆储存装置市场规模为0.96亿美元，预计到 2031年将达到 3.13亿美元，2025-2031年预测期内的复合年增长率为</w:t>
      </w:r>
      <w:r>
        <w:rPr>
          <w:lang w:eastAsia="zh-CN"/>
        </w:rPr>
        <w:t>19.39</w:t>
      </w:r>
      <w:r>
        <w:rPr>
          <w:rFonts w:hint="eastAsia"/>
          <w:lang w:eastAsia="zh-CN"/>
        </w:rPr>
        <w:t>%。</w:t>
      </w:r>
    </w:p>
    <w:p w14:paraId="535D2710">
      <w:pPr>
        <w:pStyle w:val="148"/>
        <w:rPr>
          <w:lang w:eastAsia="zh-CN"/>
        </w:rPr>
      </w:pPr>
      <w:r>
        <w:rPr>
          <w:rFonts w:hint="eastAsia"/>
          <w:lang w:eastAsia="zh-CN"/>
        </w:rPr>
        <w:t>全球裸片晶圆储存装置市场规模（2019-2030 年）&amp;（百万美元）</w:t>
      </w:r>
    </w:p>
    <w:p w14:paraId="33261207">
      <w:pPr>
        <w:pStyle w:val="145"/>
        <w:jc w:val="center"/>
      </w:pPr>
      <w:r>
        <w:drawing>
          <wp:inline distT="0" distB="0" distL="0" distR="0">
            <wp:extent cx="6075680" cy="3247390"/>
            <wp:effectExtent l="0" t="0" r="1270" b="0"/>
            <wp:docPr id="18145185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518521" name="图片 1"/>
                    <pic:cNvPicPr>
                      <a:picLocks noChangeAspect="1"/>
                    </pic:cNvPicPr>
                  </pic:nvPicPr>
                  <pic:blipFill>
                    <a:blip r:embed="rId9"/>
                    <a:stretch>
                      <a:fillRect/>
                    </a:stretch>
                  </pic:blipFill>
                  <pic:spPr>
                    <a:xfrm>
                      <a:off x="0" y="0"/>
                      <a:ext cx="6076190" cy="3247619"/>
                    </a:xfrm>
                    <a:prstGeom prst="rect">
                      <a:avLst/>
                    </a:prstGeom>
                  </pic:spPr>
                </pic:pic>
              </a:graphicData>
            </a:graphic>
          </wp:inline>
        </w:drawing>
      </w:r>
    </w:p>
    <w:p w14:paraId="548964BA">
      <w:pPr>
        <w:pStyle w:val="143"/>
        <w:rPr>
          <w:lang w:eastAsia="zh-CN"/>
        </w:rPr>
      </w:pPr>
      <w:r>
        <w:rPr>
          <w:rFonts w:hint="eastAsia"/>
          <w:lang w:eastAsia="zh-CN"/>
        </w:rPr>
        <w:t>如上图表/数据，摘自QYResearch最新报告“全球</w:t>
      </w:r>
      <w:r>
        <w:rPr>
          <w:lang w:eastAsia="zh-CN"/>
        </w:rPr>
        <w:t>裸片晶圆储存装置</w:t>
      </w:r>
      <w:r>
        <w:rPr>
          <w:rFonts w:hint="eastAsia"/>
          <w:lang w:eastAsia="zh-CN"/>
        </w:rPr>
        <w:t>市场研究报告2025-2031”</w:t>
      </w:r>
      <w:r>
        <w:rPr>
          <w:lang w:eastAsia="zh-CN"/>
        </w:rPr>
        <w:t>.</w:t>
      </w:r>
    </w:p>
    <w:p w14:paraId="12FD9BEF">
      <w:pPr>
        <w:pStyle w:val="148"/>
        <w:rPr>
          <w:lang w:eastAsia="zh-CN"/>
        </w:rPr>
      </w:pPr>
      <w:r>
        <w:rPr>
          <w:rFonts w:hint="eastAsia"/>
          <w:lang w:eastAsia="zh-CN"/>
        </w:rPr>
        <w:t>全球裸片晶圆储存装置市场规模，2020 VS 2024 VS 2031（百万美元）</w:t>
      </w:r>
    </w:p>
    <w:p w14:paraId="0542CA4A">
      <w:pPr>
        <w:pStyle w:val="145"/>
        <w:jc w:val="center"/>
        <w:rPr>
          <w:lang w:eastAsia="zh-CN"/>
        </w:rPr>
      </w:pPr>
      <w:r>
        <w:drawing>
          <wp:inline distT="0" distB="0" distL="0" distR="0">
            <wp:extent cx="6085205" cy="3066415"/>
            <wp:effectExtent l="0" t="0" r="0" b="635"/>
            <wp:docPr id="13791193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9119339" name="图片 1"/>
                    <pic:cNvPicPr>
                      <a:picLocks noChangeAspect="1"/>
                    </pic:cNvPicPr>
                  </pic:nvPicPr>
                  <pic:blipFill>
                    <a:blip r:embed="rId10"/>
                    <a:stretch>
                      <a:fillRect/>
                    </a:stretch>
                  </pic:blipFill>
                  <pic:spPr>
                    <a:xfrm>
                      <a:off x="0" y="0"/>
                      <a:ext cx="6085714" cy="3066667"/>
                    </a:xfrm>
                    <a:prstGeom prst="rect">
                      <a:avLst/>
                    </a:prstGeom>
                  </pic:spPr>
                </pic:pic>
              </a:graphicData>
            </a:graphic>
          </wp:inline>
        </w:drawing>
      </w:r>
    </w:p>
    <w:p w14:paraId="720E31E2">
      <w:pPr>
        <w:pStyle w:val="148"/>
        <w:rPr>
          <w:lang w:eastAsia="zh-CN"/>
        </w:rPr>
      </w:pPr>
      <w:r>
        <w:rPr>
          <w:rFonts w:hint="eastAsia"/>
          <w:lang w:eastAsia="zh-CN"/>
        </w:rPr>
        <w:t>全球</w:t>
      </w:r>
      <w:r>
        <w:rPr>
          <w:lang w:eastAsia="zh-CN"/>
        </w:rPr>
        <w:t>裸片晶圆储存装置</w:t>
      </w:r>
      <w:r>
        <w:rPr>
          <w:rFonts w:hint="eastAsia"/>
          <w:lang w:eastAsia="zh-CN"/>
        </w:rPr>
        <w:t>市场前4强生产商排名及市场占有率（基于2</w:t>
      </w:r>
      <w:r>
        <w:rPr>
          <w:lang w:eastAsia="zh-CN"/>
        </w:rPr>
        <w:t>02</w:t>
      </w:r>
      <w:r>
        <w:rPr>
          <w:rFonts w:hint="eastAsia"/>
          <w:lang w:eastAsia="zh-CN"/>
        </w:rPr>
        <w:t>4年调研数据；目前最新数据以本公司最新调研数据为准）</w:t>
      </w:r>
    </w:p>
    <w:p w14:paraId="773AFA33">
      <w:pPr>
        <w:widowControl/>
        <w:topLinePunct w:val="0"/>
        <w:spacing w:after="0"/>
        <w:jc w:val="center"/>
        <w:rPr>
          <w:rFonts w:hint="eastAsia" w:ascii="宋体" w:hAnsi="宋体" w:cs="宋体"/>
          <w:kern w:val="0"/>
          <w:sz w:val="24"/>
          <w:szCs w:val="24"/>
        </w:rPr>
      </w:pPr>
      <w:r>
        <w:drawing>
          <wp:inline distT="0" distB="0" distL="0" distR="0">
            <wp:extent cx="3771265" cy="5989955"/>
            <wp:effectExtent l="0" t="0" r="635" b="0"/>
            <wp:docPr id="6796802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9680263" name="图片 1"/>
                    <pic:cNvPicPr>
                      <a:picLocks noChangeAspect="1"/>
                    </pic:cNvPicPr>
                  </pic:nvPicPr>
                  <pic:blipFill>
                    <a:blip r:embed="rId11"/>
                    <a:stretch>
                      <a:fillRect/>
                    </a:stretch>
                  </pic:blipFill>
                  <pic:spPr>
                    <a:xfrm>
                      <a:off x="0" y="0"/>
                      <a:ext cx="3771429" cy="5990476"/>
                    </a:xfrm>
                    <a:prstGeom prst="rect">
                      <a:avLst/>
                    </a:prstGeom>
                  </pic:spPr>
                </pic:pic>
              </a:graphicData>
            </a:graphic>
          </wp:inline>
        </w:drawing>
      </w:r>
    </w:p>
    <w:p w14:paraId="04A43543">
      <w:pPr>
        <w:pStyle w:val="143"/>
        <w:rPr>
          <w:lang w:eastAsia="zh-CN"/>
        </w:rPr>
      </w:pPr>
      <w:r>
        <w:rPr>
          <w:rFonts w:hint="eastAsia"/>
          <w:lang w:eastAsia="zh-CN"/>
        </w:rPr>
        <w:t>如上图表/数据，摘自QYResearch报告“全球</w:t>
      </w:r>
      <w:r>
        <w:rPr>
          <w:lang w:eastAsia="zh-CN"/>
        </w:rPr>
        <w:t>裸片晶圆储存装置</w:t>
      </w:r>
      <w:r>
        <w:rPr>
          <w:rFonts w:hint="eastAsia"/>
          <w:lang w:eastAsia="zh-CN"/>
        </w:rPr>
        <w:t>市场研究报告2025-2031”，排名基于2024数据。目前最新数据，以本公司最新调研数据为准。</w:t>
      </w:r>
    </w:p>
    <w:p w14:paraId="1BF6630C">
      <w:pPr>
        <w:pStyle w:val="145"/>
        <w:rPr>
          <w:lang w:eastAsia="zh-CN"/>
        </w:rPr>
      </w:pPr>
      <w:r>
        <w:rPr>
          <w:rFonts w:hint="eastAsia"/>
          <w:lang w:eastAsia="zh-CN"/>
        </w:rPr>
        <w:t>全球范围内，</w:t>
      </w:r>
      <w:r>
        <w:rPr>
          <w:lang w:eastAsia="zh-CN"/>
        </w:rPr>
        <w:t>裸片晶圆储存装置</w:t>
      </w:r>
      <w:r>
        <w:rPr>
          <w:rFonts w:hint="eastAsia"/>
          <w:lang w:eastAsia="zh-CN"/>
        </w:rPr>
        <w:t>主要生产商包括RORZE，良颐科技，Murata Machinery和超慧科技，其中RORZE占有大约</w:t>
      </w:r>
      <w:bookmarkStart w:id="13" w:name="_Hlk193988777"/>
      <w:r>
        <w:rPr>
          <w:lang w:eastAsia="zh-CN"/>
        </w:rPr>
        <w:t>43.62%</w:t>
      </w:r>
      <w:bookmarkEnd w:id="13"/>
      <w:r>
        <w:rPr>
          <w:rFonts w:hint="eastAsia"/>
          <w:lang w:eastAsia="zh-CN"/>
        </w:rPr>
        <w:t>的市场份额。</w:t>
      </w:r>
    </w:p>
    <w:p w14:paraId="4F2EDD68">
      <w:pPr>
        <w:widowControl/>
        <w:topLinePunct w:val="0"/>
        <w:spacing w:after="0"/>
        <w:jc w:val="left"/>
        <w:rPr>
          <w:color w:val="0D0D0D" w:themeColor="text1" w:themeTint="F2"/>
          <w:kern w:val="0"/>
          <w:szCs w:val="22"/>
          <w:lang w:val="en-IN"/>
          <w14:textFill>
            <w14:solidFill>
              <w14:schemeClr w14:val="tx1">
                <w14:lumMod w14:val="95000"/>
                <w14:lumOff w14:val="5000"/>
              </w14:schemeClr>
            </w14:solidFill>
          </w14:textFill>
        </w:rPr>
      </w:pPr>
      <w:r>
        <w:rPr>
          <w:i/>
        </w:rPr>
        <w:br w:type="page"/>
      </w:r>
    </w:p>
    <w:p w14:paraId="3E6DE9A8">
      <w:pPr>
        <w:pStyle w:val="148"/>
        <w:rPr>
          <w:lang w:eastAsia="zh-CN"/>
        </w:rPr>
      </w:pPr>
      <w:r>
        <w:rPr>
          <w:lang w:eastAsia="zh-CN"/>
        </w:rPr>
        <w:t>裸片晶圆储存装置</w:t>
      </w:r>
      <w:r>
        <w:rPr>
          <w:rFonts w:hint="eastAsia"/>
          <w:lang w:eastAsia="zh-CN"/>
        </w:rPr>
        <w:t>全球市场份额，按产品类型细分</w:t>
      </w:r>
    </w:p>
    <w:p w14:paraId="1DAC1641">
      <w:pPr>
        <w:pStyle w:val="145"/>
        <w:jc w:val="center"/>
        <w:rPr>
          <w:lang w:eastAsia="zh-CN"/>
        </w:rPr>
      </w:pPr>
      <w:r>
        <w:drawing>
          <wp:inline distT="0" distB="0" distL="0" distR="0">
            <wp:extent cx="2923540" cy="2637790"/>
            <wp:effectExtent l="0" t="0" r="0" b="0"/>
            <wp:docPr id="148756297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7562970" name="图片 1"/>
                    <pic:cNvPicPr>
                      <a:picLocks noChangeAspect="1"/>
                    </pic:cNvPicPr>
                  </pic:nvPicPr>
                  <pic:blipFill>
                    <a:blip r:embed="rId12"/>
                    <a:stretch>
                      <a:fillRect/>
                    </a:stretch>
                  </pic:blipFill>
                  <pic:spPr>
                    <a:xfrm>
                      <a:off x="0" y="0"/>
                      <a:ext cx="2923809" cy="2638095"/>
                    </a:xfrm>
                    <a:prstGeom prst="rect">
                      <a:avLst/>
                    </a:prstGeom>
                  </pic:spPr>
                </pic:pic>
              </a:graphicData>
            </a:graphic>
          </wp:inline>
        </w:drawing>
      </w:r>
    </w:p>
    <w:p w14:paraId="6DDE815E">
      <w:pPr>
        <w:pStyle w:val="143"/>
        <w:rPr>
          <w:lang w:eastAsia="zh-CN"/>
        </w:rPr>
      </w:pPr>
      <w:r>
        <w:rPr>
          <w:rFonts w:hint="eastAsia"/>
          <w:lang w:eastAsia="zh-CN"/>
        </w:rPr>
        <w:t>如上图表/数据，摘自QYResearch最新报告“全球</w:t>
      </w:r>
      <w:r>
        <w:rPr>
          <w:lang w:eastAsia="zh-CN"/>
        </w:rPr>
        <w:t>裸片晶圆储存装置</w:t>
      </w:r>
      <w:r>
        <w:rPr>
          <w:rFonts w:hint="eastAsia"/>
          <w:lang w:eastAsia="zh-CN"/>
        </w:rPr>
        <w:t>市场研究报告2025-2031”</w:t>
      </w:r>
      <w:r>
        <w:rPr>
          <w:lang w:eastAsia="zh-CN"/>
        </w:rPr>
        <w:t>.</w:t>
      </w:r>
    </w:p>
    <w:p w14:paraId="41C3AE68">
      <w:pPr>
        <w:pStyle w:val="143"/>
        <w:rPr>
          <w:i w:val="0"/>
          <w:sz w:val="21"/>
          <w:lang w:eastAsia="zh-CN"/>
        </w:rPr>
      </w:pPr>
      <w:r>
        <w:rPr>
          <w:rFonts w:hint="eastAsia"/>
          <w:i w:val="0"/>
          <w:sz w:val="21"/>
          <w:lang w:eastAsia="zh-CN"/>
        </w:rPr>
        <w:t>裸片晶圆储存装置市场规模进一步扩大，类别包括容量800槽以下、容量800槽1800槽和容量1800槽以上。 2024年，容量1800槽以上的裸片晶圆储存装置份额将达到61.38%。</w:t>
      </w:r>
    </w:p>
    <w:p w14:paraId="2F128523">
      <w:pPr>
        <w:pStyle w:val="148"/>
        <w:rPr>
          <w:lang w:eastAsia="zh-CN"/>
        </w:rPr>
      </w:pPr>
      <w:r>
        <w:rPr>
          <w:lang w:eastAsia="zh-CN"/>
        </w:rPr>
        <w:t>裸片晶圆储存装置</w:t>
      </w:r>
      <w:r>
        <w:rPr>
          <w:rFonts w:hint="eastAsia"/>
          <w:lang w:eastAsia="zh-CN"/>
        </w:rPr>
        <w:t>全球市场份额，按产品应用细分</w:t>
      </w:r>
    </w:p>
    <w:p w14:paraId="0A4DB270">
      <w:pPr>
        <w:widowControl/>
        <w:topLinePunct w:val="0"/>
        <w:spacing w:after="0"/>
        <w:jc w:val="center"/>
        <w:rPr>
          <w:rFonts w:hint="eastAsia" w:ascii="宋体" w:hAnsi="宋体" w:cs="宋体"/>
          <w:kern w:val="0"/>
          <w:sz w:val="24"/>
          <w:szCs w:val="24"/>
        </w:rPr>
      </w:pPr>
      <w:r>
        <w:drawing>
          <wp:inline distT="0" distB="0" distL="0" distR="0">
            <wp:extent cx="2923540" cy="2647315"/>
            <wp:effectExtent l="0" t="0" r="0" b="635"/>
            <wp:docPr id="94179920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1799205" name="图片 1"/>
                    <pic:cNvPicPr>
                      <a:picLocks noChangeAspect="1"/>
                    </pic:cNvPicPr>
                  </pic:nvPicPr>
                  <pic:blipFill>
                    <a:blip r:embed="rId13"/>
                    <a:stretch>
                      <a:fillRect/>
                    </a:stretch>
                  </pic:blipFill>
                  <pic:spPr>
                    <a:xfrm>
                      <a:off x="0" y="0"/>
                      <a:ext cx="2923809" cy="2647619"/>
                    </a:xfrm>
                    <a:prstGeom prst="rect">
                      <a:avLst/>
                    </a:prstGeom>
                  </pic:spPr>
                </pic:pic>
              </a:graphicData>
            </a:graphic>
          </wp:inline>
        </w:drawing>
      </w:r>
    </w:p>
    <w:p w14:paraId="1F9213C6">
      <w:pPr>
        <w:widowControl/>
        <w:topLinePunct w:val="0"/>
        <w:spacing w:after="0"/>
        <w:jc w:val="left"/>
        <w:rPr>
          <w:rFonts w:hint="eastAsia" w:ascii="宋体" w:hAnsi="宋体" w:cs="宋体"/>
          <w:kern w:val="0"/>
          <w:sz w:val="24"/>
          <w:szCs w:val="24"/>
        </w:rPr>
      </w:pPr>
    </w:p>
    <w:p w14:paraId="08CA65EC">
      <w:pPr>
        <w:pStyle w:val="143"/>
        <w:rPr>
          <w:lang w:eastAsia="zh-CN"/>
        </w:rPr>
      </w:pPr>
      <w:r>
        <w:rPr>
          <w:rFonts w:hint="eastAsia"/>
          <w:lang w:eastAsia="zh-CN"/>
        </w:rPr>
        <w:t>如上图表/数据，摘自QYResearch最新报告“全球</w:t>
      </w:r>
      <w:r>
        <w:rPr>
          <w:lang w:eastAsia="zh-CN"/>
        </w:rPr>
        <w:t>裸片晶圆储存装置</w:t>
      </w:r>
      <w:r>
        <w:rPr>
          <w:rFonts w:hint="eastAsia"/>
          <w:lang w:eastAsia="zh-CN"/>
        </w:rPr>
        <w:t>市场研究报告2025-2031”</w:t>
      </w:r>
      <w:r>
        <w:rPr>
          <w:lang w:eastAsia="zh-CN"/>
        </w:rPr>
        <w:t>.</w:t>
      </w:r>
    </w:p>
    <w:p w14:paraId="57B4BA57">
      <w:pPr>
        <w:pStyle w:val="145"/>
        <w:rPr>
          <w:lang w:eastAsia="zh-CN"/>
        </w:rPr>
      </w:pPr>
      <w:r>
        <w:rPr>
          <w:rFonts w:hint="eastAsia"/>
          <w:lang w:eastAsia="zh-CN"/>
        </w:rPr>
        <w:t>就产品类型而言，目前IDM是最主要的需求来源，2024年占据大约78.39</w:t>
      </w:r>
      <w:r>
        <w:rPr>
          <w:lang w:eastAsia="zh-CN"/>
        </w:rPr>
        <w:t>%</w:t>
      </w:r>
      <w:r>
        <w:rPr>
          <w:rFonts w:hint="eastAsia"/>
          <w:lang w:eastAsia="zh-CN"/>
        </w:rPr>
        <w:t>的份额。</w:t>
      </w:r>
    </w:p>
    <w:p w14:paraId="4B5D90DE">
      <w:pPr>
        <w:pStyle w:val="145"/>
        <w:rPr>
          <w:lang w:eastAsia="zh-CN"/>
        </w:rPr>
      </w:pPr>
    </w:p>
    <w:p w14:paraId="76349B5B"/>
    <w:p w14:paraId="53594980">
      <w:pPr>
        <w:pStyle w:val="32"/>
        <w:jc w:val="left"/>
      </w:pPr>
      <w:r>
        <w:rPr>
          <w:rFonts w:hint="eastAsia"/>
        </w:rPr>
        <w:t>裸片晶圆储存装置行业发展趋势</w:t>
      </w:r>
    </w:p>
    <w:p w14:paraId="58CD5460">
      <w:pPr>
        <w:pStyle w:val="145"/>
        <w:rPr>
          <w:lang w:eastAsia="zh-CN"/>
        </w:rPr>
      </w:pPr>
      <w:r>
        <w:rPr>
          <w:rFonts w:hint="eastAsia"/>
          <w:lang w:eastAsia="zh-CN"/>
        </w:rPr>
        <w:t>1. 自动化和与工业 4.0 的集成——自动化晶圆储存器正朝着与工业 4.0 技术（如 IoT（物联网）和 AI（人工智能））集成的方向发展。这些先进的系统提供实时监控、预测性维护和与其他生产设备的无缝集成，从而提高运营效率并最大限度地减少停机时间。</w:t>
      </w:r>
    </w:p>
    <w:p w14:paraId="582AD817">
      <w:pPr>
        <w:pStyle w:val="145"/>
        <w:rPr>
          <w:lang w:eastAsia="zh-CN"/>
        </w:rPr>
      </w:pPr>
      <w:r>
        <w:rPr>
          <w:rFonts w:hint="eastAsia"/>
          <w:lang w:eastAsia="zh-CN"/>
        </w:rPr>
        <w:t>2. 对先进半导体节点的需求增加——随着半导体技术的快速发展，特别是在开发更小、更强大的芯片方面，对能够处理更小晶圆尺寸和更精细工艺的复杂性的晶圆储存器的需求不断增加。随着 7nm、5nm 和未来 3nm 工艺节点的出现，这一趋势尤为重要，这些节点需要在晶圆存储和处理过程中提高精度和污染控制。</w:t>
      </w:r>
    </w:p>
    <w:p w14:paraId="7EB0D5CD">
      <w:pPr>
        <w:pStyle w:val="145"/>
        <w:rPr>
          <w:lang w:eastAsia="zh-CN"/>
        </w:rPr>
      </w:pPr>
      <w:r>
        <w:rPr>
          <w:rFonts w:hint="eastAsia"/>
          <w:lang w:eastAsia="zh-CN"/>
        </w:rPr>
        <w:t>3. 更智能、更紧凑的设计——随着半导体工厂旨在最大限度地利用空间并提高产量，紧凑、高密度晶圆储存器的趋势正在增长。这些新设计结合了先进的机器人技术和自动化物料处理系统，以最少的人工干预来存储和检索晶圆。</w:t>
      </w:r>
    </w:p>
    <w:p w14:paraId="61070571">
      <w:pPr>
        <w:pStyle w:val="145"/>
        <w:rPr>
          <w:lang w:eastAsia="zh-CN"/>
        </w:rPr>
      </w:pPr>
      <w:r>
        <w:rPr>
          <w:rFonts w:hint="eastAsia"/>
          <w:lang w:eastAsia="zh-CN"/>
        </w:rPr>
        <w:t>4. 增强的洁净室兼容性——随着半导体制造业继续专注于最大限度地降低污染风险，裸片晶圆储存装置正在开发具有增强洁净室兼容性的储存器。这些储存器旨在在更严格的清洁标准下运行，确保晶圆在存储和转移过程中不受污染。</w:t>
      </w:r>
    </w:p>
    <w:p w14:paraId="6568B683">
      <w:pPr>
        <w:pStyle w:val="145"/>
        <w:rPr>
          <w:lang w:eastAsia="zh-CN"/>
        </w:rPr>
      </w:pPr>
      <w:r>
        <w:rPr>
          <w:rFonts w:hint="eastAsia"/>
          <w:lang w:eastAsia="zh-CN"/>
        </w:rPr>
        <w:t>5. 能源效率和可持续性——人们越来越关注节能晶圆储存器，以帮助半导体制造商减少对环境的影响。这包括优化冷却和能源管理系统的使用，以确保半导体工厂的可持续运营。</w:t>
      </w:r>
    </w:p>
    <w:p w14:paraId="7D2EA018">
      <w:pPr>
        <w:pStyle w:val="145"/>
        <w:rPr>
          <w:lang w:eastAsia="zh-CN"/>
        </w:rPr>
      </w:pPr>
      <w:r>
        <w:rPr>
          <w:rFonts w:hint="eastAsia"/>
          <w:lang w:eastAsia="zh-CN"/>
        </w:rPr>
        <w:t>6. 针对特定应用的定制——随着半导体制造工艺变得更加专业化，定制晶圆储存器以满足特定行业需求的趋势日益增长。这些可能包括为大批量生产或专门处理先进封装技术（如 3D IC 或 mems）而定制的储存器。</w:t>
      </w:r>
    </w:p>
    <w:p w14:paraId="04711324">
      <w:pPr>
        <w:pStyle w:val="145"/>
        <w:rPr>
          <w:lang w:eastAsia="zh-CN"/>
        </w:rPr>
      </w:pPr>
      <w:r>
        <w:rPr>
          <w:rFonts w:hint="eastAsia"/>
          <w:lang w:eastAsia="zh-CN"/>
        </w:rPr>
        <w:t>7. 注重数据和分析——随着半导体工厂集成更多的数据分析和机器学习工具，晶圆库存机变得更加以数据为中心，具有跟踪晶圆状态、性能和库存管理的高级功能。这可以更好地做出决策并优化整个生产过程。</w:t>
      </w:r>
    </w:p>
    <w:p w14:paraId="3BEBF20E">
      <w:pPr>
        <w:pStyle w:val="148"/>
        <w:rPr>
          <w:lang w:eastAsia="zh-CN"/>
        </w:rPr>
      </w:pPr>
      <w:r>
        <w:rPr>
          <w:rFonts w:hint="eastAsia"/>
          <w:lang w:eastAsia="zh-CN"/>
        </w:rPr>
        <w:t>裸片晶圆储存装置行业发展驱动阻碍因素及可能面临的挑战分析</w:t>
      </w:r>
    </w:p>
    <w:p w14:paraId="338199A1">
      <w:pPr>
        <w:pStyle w:val="145"/>
        <w:jc w:val="center"/>
        <w:rPr>
          <w:lang w:eastAsia="zh-CN"/>
        </w:rPr>
      </w:pPr>
      <w:r>
        <w:rPr>
          <w:rFonts w:hint="eastAsia" w:ascii="宋体" w:hAnsi="宋体"/>
        </w:rPr>
        <w:drawing>
          <wp:inline distT="0" distB="0" distL="0" distR="0">
            <wp:extent cx="5274310" cy="3076575"/>
            <wp:effectExtent l="38100" t="19050" r="21590" b="28575"/>
            <wp:docPr id="2113241918" name="图示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p w14:paraId="49800742">
      <w:pPr>
        <w:pStyle w:val="143"/>
        <w:rPr>
          <w:lang w:eastAsia="zh-CN"/>
        </w:rPr>
      </w:pPr>
      <w:r>
        <w:rPr>
          <w:rFonts w:hint="eastAsia"/>
          <w:lang w:eastAsia="zh-CN"/>
        </w:rPr>
        <w:t>资料来源：第三方资料、新闻报道、业内专家采访及QYResearch整理研究，2024年</w:t>
      </w:r>
    </w:p>
    <w:p w14:paraId="0BA9BF5E">
      <w:pPr>
        <w:pStyle w:val="148"/>
        <w:rPr>
          <w:lang w:val="en-IN" w:eastAsia="zh-CN"/>
        </w:rPr>
      </w:pPr>
      <w:r>
        <w:rPr>
          <w:rFonts w:hint="eastAsia"/>
          <w:lang w:eastAsia="zh-CN"/>
        </w:rPr>
        <w:t>裸片晶圆储存装置生产流程分析</w:t>
      </w:r>
    </w:p>
    <w:p w14:paraId="6875CE01">
      <w:pPr>
        <w:pStyle w:val="145"/>
        <w:jc w:val="center"/>
        <w:rPr>
          <w:lang w:eastAsia="zh-CN"/>
        </w:rPr>
      </w:pPr>
      <w:r>
        <w:drawing>
          <wp:inline distT="0" distB="0" distL="0" distR="0">
            <wp:extent cx="5380355" cy="3199765"/>
            <wp:effectExtent l="0" t="0" r="0" b="635"/>
            <wp:docPr id="208063716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0637167" name="图片 1"/>
                    <pic:cNvPicPr>
                      <a:picLocks noChangeAspect="1"/>
                    </pic:cNvPicPr>
                  </pic:nvPicPr>
                  <pic:blipFill>
                    <a:blip r:embed="rId19"/>
                    <a:stretch>
                      <a:fillRect/>
                    </a:stretch>
                  </pic:blipFill>
                  <pic:spPr>
                    <a:xfrm>
                      <a:off x="0" y="0"/>
                      <a:ext cx="5380952" cy="3200000"/>
                    </a:xfrm>
                    <a:prstGeom prst="rect">
                      <a:avLst/>
                    </a:prstGeom>
                  </pic:spPr>
                </pic:pic>
              </a:graphicData>
            </a:graphic>
          </wp:inline>
        </w:drawing>
      </w:r>
      <w:bookmarkStart w:id="14" w:name="_GoBack"/>
      <w:bookmarkEnd w:id="14"/>
    </w:p>
    <w:p w14:paraId="09B8F33C">
      <w:pPr>
        <w:pStyle w:val="143"/>
        <w:rPr>
          <w:lang w:eastAsia="zh-CN"/>
        </w:rPr>
      </w:pPr>
      <w:r>
        <w:rPr>
          <w:rFonts w:hint="eastAsia"/>
          <w:lang w:eastAsia="zh-CN"/>
        </w:rPr>
        <w:t>资料来源：第三方资料、新闻报道、业内专家采访及QYResearch整理研究，2024年</w:t>
      </w:r>
    </w:p>
    <w:p w14:paraId="45046781">
      <w:pPr>
        <w:pStyle w:val="145"/>
        <w:rPr>
          <w:lang w:eastAsia="zh-CN"/>
        </w:rPr>
      </w:pPr>
    </w:p>
    <w:p w14:paraId="4FEDD4B5">
      <w:pPr>
        <w:pStyle w:val="145"/>
        <w:rPr>
          <w:lang w:eastAsia="zh-CN"/>
        </w:rPr>
      </w:pPr>
      <w:r>
        <w:rPr>
          <w:rFonts w:hint="eastAsia"/>
          <w:lang w:eastAsia="zh-CN"/>
        </w:rPr>
        <w:t>市场未来的发展可能会集中在配备物联网集成、实时监控和人工智能驱动的预测性维护功能的更智能、自动化的储存器上。这些进步将确保半导体生产线的产量、运营效率和停机时间的减少。此外，对更小、更强大的芯片和先进半导体节点的需求将推动更紧凑、高性能的晶圆存储解决方案的开发。对半导体制造的不断增加的投资以及对可持续性和能源效率的推动将进一步促进裸晶圆储存器市场的增长和创新。</w:t>
      </w:r>
    </w:p>
    <w:bookmarkEnd w:id="0"/>
    <w:bookmarkEnd w:id="1"/>
    <w:bookmarkEnd w:id="2"/>
    <w:bookmarkEnd w:id="3"/>
    <w:bookmarkEnd w:id="4"/>
    <w:bookmarkEnd w:id="5"/>
    <w:bookmarkEnd w:id="6"/>
    <w:bookmarkEnd w:id="7"/>
    <w:bookmarkEnd w:id="8"/>
    <w:bookmarkEnd w:id="9"/>
    <w:bookmarkEnd w:id="10"/>
    <w:bookmarkEnd w:id="11"/>
    <w:bookmarkEnd w:id="12"/>
    <w:p w14:paraId="07A95001">
      <w:pPr>
        <w:pStyle w:val="145"/>
        <w:rPr>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173"/>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921"/>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8C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2B2"/>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4EAB"/>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2FA0"/>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BC8"/>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7E5"/>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6C97"/>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CB4"/>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3C"/>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37"/>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3CE"/>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15D"/>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B4"/>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08"/>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650"/>
    <w:rsid w:val="00482E22"/>
    <w:rsid w:val="00483026"/>
    <w:rsid w:val="004830F4"/>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DDB"/>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A34"/>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B93"/>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DC5"/>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CF5"/>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7C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9AE"/>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5A"/>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7E0"/>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2CF1"/>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44"/>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879"/>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52D"/>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2D70"/>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A20"/>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58"/>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1B"/>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D37"/>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D6E"/>
    <w:rsid w:val="00C32E70"/>
    <w:rsid w:val="00C33106"/>
    <w:rsid w:val="00C33390"/>
    <w:rsid w:val="00C33837"/>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7CB"/>
    <w:rsid w:val="00C878B8"/>
    <w:rsid w:val="00C879CC"/>
    <w:rsid w:val="00C87A80"/>
    <w:rsid w:val="00C87BDE"/>
    <w:rsid w:val="00C87F2B"/>
    <w:rsid w:val="00C87F70"/>
    <w:rsid w:val="00C902FB"/>
    <w:rsid w:val="00C906F4"/>
    <w:rsid w:val="00C90A77"/>
    <w:rsid w:val="00C90B01"/>
    <w:rsid w:val="00C90C54"/>
    <w:rsid w:val="00C90E65"/>
    <w:rsid w:val="00C90E6E"/>
    <w:rsid w:val="00C91002"/>
    <w:rsid w:val="00C91179"/>
    <w:rsid w:val="00C91286"/>
    <w:rsid w:val="00C9130F"/>
    <w:rsid w:val="00C914A2"/>
    <w:rsid w:val="00C91596"/>
    <w:rsid w:val="00C91670"/>
    <w:rsid w:val="00C916A9"/>
    <w:rsid w:val="00C91810"/>
    <w:rsid w:val="00C91F20"/>
    <w:rsid w:val="00C91F73"/>
    <w:rsid w:val="00C92853"/>
    <w:rsid w:val="00C92AFA"/>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98E"/>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5DC"/>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AED"/>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1F3A"/>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1A"/>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776730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uiPriority w:val="99"/>
    <w:rPr>
      <w:sz w:val="18"/>
      <w:szCs w:val="18"/>
    </w:rPr>
  </w:style>
  <w:style w:type="character" w:customStyle="1" w:styleId="75">
    <w:name w:val="标题 1 字符"/>
    <w:basedOn w:val="67"/>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uiPriority w:val="99"/>
    <w:rPr>
      <w:color w:val="605E5C"/>
      <w:shd w:val="clear" w:color="auto" w:fill="E1DFDD"/>
    </w:rPr>
  </w:style>
  <w:style w:type="table" w:customStyle="1" w:styleId="195">
    <w:name w:val="List Table 2 Accent 2"/>
    <w:basedOn w:val="34"/>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uiPriority w:val="99"/>
  </w:style>
  <w:style w:type="table" w:customStyle="1" w:styleId="201">
    <w:name w:val="List Table 2 Accent 5"/>
    <w:basedOn w:val="34"/>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8.png"/><Relationship Id="rId18" Type="http://schemas.microsoft.com/office/2007/relationships/diagramDrawing" Target="diagrams/drawing1.xml"/><Relationship Id="rId17" Type="http://schemas.openxmlformats.org/officeDocument/2006/relationships/diagramColors" Target="diagrams/colors1.xml"/><Relationship Id="rId16" Type="http://schemas.openxmlformats.org/officeDocument/2006/relationships/diagramQuickStyle" Target="diagrams/quickStyle1.xml"/><Relationship Id="rId15" Type="http://schemas.openxmlformats.org/officeDocument/2006/relationships/diagramLayout" Target="diagrams/layout1.xml"/><Relationship Id="rId14" Type="http://schemas.openxmlformats.org/officeDocument/2006/relationships/diagramData" Target="diagrams/data1.xml"/><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AE7EFBF1-457F-459B-BA3A-451077C74B26}" type="doc">
      <dgm:prSet loTypeId="urn:microsoft.com/office/officeart/2005/8/layout/hList6" loCatId="list" qsTypeId="urn:microsoft.com/office/officeart/2005/8/quickstyle/simple1" qsCatId="simple" csTypeId="urn:microsoft.com/office/officeart/2005/8/colors/colorful1" csCatId="colorful" phldr="1"/>
      <dgm:spPr/>
      <dgm:t>
        <a:bodyPr/>
        <a:p>
          <a:endParaRPr lang="zh-CN" altLang="en-US"/>
        </a:p>
      </dgm:t>
    </dgm:pt>
    <dgm:pt modelId="{71022491-A01B-47CE-8189-BE8AA31A7E03}">
      <dgm:prSet phldrT="[文本]"/>
      <dgm:spPr/>
      <dgm:t>
        <a:bodyPr/>
        <a:p>
          <a:r>
            <a:rPr lang="zh-CN" altLang="en-US"/>
            <a:t>驱动因素</a:t>
          </a:r>
        </a:p>
      </dgm:t>
    </dgm:pt>
    <dgm:pt modelId="{F5ECA3C4-42DA-4289-8773-9FE77361980C}" cxnId="{A2AD2A0A-E658-4CC6-8EAC-F79A00512449}" type="parTrans">
      <dgm:prSet/>
      <dgm:spPr/>
      <dgm:t>
        <a:bodyPr/>
        <a:p>
          <a:endParaRPr lang="zh-CN" altLang="en-US"/>
        </a:p>
      </dgm:t>
    </dgm:pt>
    <dgm:pt modelId="{903A65F3-4A5F-4E2F-AE62-A8339332BBD4}" cxnId="{A2AD2A0A-E658-4CC6-8EAC-F79A00512449}" type="sibTrans">
      <dgm:prSet/>
      <dgm:spPr/>
      <dgm:t>
        <a:bodyPr/>
        <a:p>
          <a:endParaRPr lang="zh-CN" altLang="en-US"/>
        </a:p>
      </dgm:t>
    </dgm:pt>
    <dgm:pt modelId="{526C6889-57FA-48A3-9764-E818F78950FC}">
      <dgm:prSet phldrT="[文本]"/>
      <dgm:spPr/>
      <dgm:t>
        <a:bodyPr/>
        <a:p>
          <a:r>
            <a:rPr lang="zh-CN" altLang="en-US"/>
            <a:t>先进芯片技术的崛起
半导体晶圆厂和代工厂的扩张
政府支持和半导体投资</a:t>
          </a:r>
        </a:p>
      </dgm:t>
    </dgm:pt>
    <dgm:pt modelId="{11A56830-22C8-4290-B327-1B8F61C4782D}" cxnId="{1B71358F-812F-4FE4-BB37-68532DD8CCF4}" type="parTrans">
      <dgm:prSet/>
      <dgm:spPr/>
      <dgm:t>
        <a:bodyPr/>
        <a:p>
          <a:endParaRPr lang="zh-CN" altLang="en-US"/>
        </a:p>
      </dgm:t>
    </dgm:pt>
    <dgm:pt modelId="{934329F0-C53D-4963-8102-AD3B654A5B83}" cxnId="{1B71358F-812F-4FE4-BB37-68532DD8CCF4}" type="sibTrans">
      <dgm:prSet/>
      <dgm:spPr/>
      <dgm:t>
        <a:bodyPr/>
        <a:p>
          <a:endParaRPr lang="zh-CN" altLang="en-US"/>
        </a:p>
      </dgm:t>
    </dgm:pt>
    <dgm:pt modelId="{50D6E598-9DA0-479B-9C82-F19AD1F11C7B}">
      <dgm:prSet phldrT="[文本]"/>
      <dgm:spPr/>
      <dgm:t>
        <a:bodyPr/>
        <a:p>
          <a:r>
            <a:rPr lang="zh-CN" altLang="en-US"/>
            <a:t>阻碍因素</a:t>
          </a:r>
        </a:p>
      </dgm:t>
    </dgm:pt>
    <dgm:pt modelId="{BAE81CB0-5369-471A-9F6B-B5CC7505342D}" cxnId="{58D285C3-B68C-4527-AA76-CF9FB67F3283}" type="parTrans">
      <dgm:prSet/>
      <dgm:spPr/>
      <dgm:t>
        <a:bodyPr/>
        <a:p>
          <a:endParaRPr lang="zh-CN" altLang="en-US"/>
        </a:p>
      </dgm:t>
    </dgm:pt>
    <dgm:pt modelId="{C40E4460-24B8-4965-87BE-9D4F9520AA10}" cxnId="{58D285C3-B68C-4527-AA76-CF9FB67F3283}" type="sibTrans">
      <dgm:prSet/>
      <dgm:spPr/>
      <dgm:t>
        <a:bodyPr/>
        <a:p>
          <a:endParaRPr lang="zh-CN" altLang="en-US"/>
        </a:p>
      </dgm:t>
    </dgm:pt>
    <dgm:pt modelId="{AE93C24F-CFBF-4C6A-8A6C-8B5A4EB36AC1}">
      <dgm:prSet phldrT="[文本]"/>
      <dgm:spPr/>
      <dgm:t>
        <a:bodyPr/>
        <a:p>
          <a:r>
            <a:rPr lang="zh-CN" altLang="en-US"/>
            <a:t>维护和运营成本高
小型制造商采用率有限
现有工厂空间受限</a:t>
          </a:r>
        </a:p>
      </dgm:t>
    </dgm:pt>
    <dgm:pt modelId="{FE9AFFD8-8FFD-4AFB-85A9-ABC6479C5BA4}" cxnId="{F9BC252B-1249-489F-BE25-6A7021A2F7C6}" type="parTrans">
      <dgm:prSet/>
      <dgm:spPr/>
      <dgm:t>
        <a:bodyPr/>
        <a:p>
          <a:endParaRPr lang="zh-CN" altLang="en-US"/>
        </a:p>
      </dgm:t>
    </dgm:pt>
    <dgm:pt modelId="{74E21728-58F4-4BE2-8F11-FBEF4823FBD9}" cxnId="{F9BC252B-1249-489F-BE25-6A7021A2F7C6}" type="sibTrans">
      <dgm:prSet/>
      <dgm:spPr/>
      <dgm:t>
        <a:bodyPr/>
        <a:p>
          <a:endParaRPr lang="zh-CN" altLang="en-US"/>
        </a:p>
      </dgm:t>
    </dgm:pt>
    <dgm:pt modelId="{8CAD0422-0687-4FFD-B544-3CF8296A8BB9}">
      <dgm:prSet phldrT="[文本]"/>
      <dgm:spPr/>
      <dgm:t>
        <a:bodyPr/>
        <a:p>
          <a:r>
            <a:rPr lang="zh-CN" altLang="en-US"/>
            <a:t>挑战</a:t>
          </a:r>
        </a:p>
      </dgm:t>
    </dgm:pt>
    <dgm:pt modelId="{60D75305-F8A0-44F2-8C61-0FD4CB2DA208}" cxnId="{B4FE2F47-A5DA-4B3B-A00C-486B0B23FB51}" type="parTrans">
      <dgm:prSet/>
      <dgm:spPr/>
      <dgm:t>
        <a:bodyPr/>
        <a:p>
          <a:endParaRPr lang="zh-CN" altLang="en-US"/>
        </a:p>
      </dgm:t>
    </dgm:pt>
    <dgm:pt modelId="{C98BA357-F272-4613-A1BF-D7D8A4CA8BA8}" cxnId="{B4FE2F47-A5DA-4B3B-A00C-486B0B23FB51}" type="sibTrans">
      <dgm:prSet/>
      <dgm:spPr/>
      <dgm:t>
        <a:bodyPr/>
        <a:p>
          <a:endParaRPr lang="zh-CN" altLang="en-US"/>
        </a:p>
      </dgm:t>
    </dgm:pt>
    <dgm:pt modelId="{19EA03CC-E545-439D-B358-739631383342}">
      <dgm:prSet phldrT="[文本]"/>
      <dgm:spPr/>
      <dgm:t>
        <a:bodyPr/>
        <a:p>
          <a:r>
            <a:rPr lang="zh-CN" altLang="en-US"/>
            <a:t>初始投资成本高
定制和集成复杂
供应链中断和原材料短缺</a:t>
          </a:r>
        </a:p>
      </dgm:t>
    </dgm:pt>
    <dgm:pt modelId="{F7185A1C-EC7C-44E8-8435-7087E69127E5}" cxnId="{D57D0D34-35BE-49DA-A7E2-941B6C595A04}" type="parTrans">
      <dgm:prSet/>
      <dgm:spPr/>
      <dgm:t>
        <a:bodyPr/>
        <a:p>
          <a:endParaRPr lang="zh-CN" altLang="en-US"/>
        </a:p>
      </dgm:t>
    </dgm:pt>
    <dgm:pt modelId="{1AFE92BE-E580-4D19-A355-0C4EC3CA96EC}" cxnId="{D57D0D34-35BE-49DA-A7E2-941B6C595A04}" type="sibTrans">
      <dgm:prSet/>
      <dgm:spPr/>
      <dgm:t>
        <a:bodyPr/>
        <a:p>
          <a:endParaRPr lang="zh-CN" altLang="en-US"/>
        </a:p>
      </dgm:t>
    </dgm:pt>
    <dgm:pt modelId="{DB344A5A-6DD0-4C54-B5CB-340719511482}" type="pres">
      <dgm:prSet presAssocID="{AE7EFBF1-457F-459B-BA3A-451077C74B26}" presName="Name0" presStyleCnt="0">
        <dgm:presLayoutVars>
          <dgm:dir/>
          <dgm:resizeHandles val="exact"/>
        </dgm:presLayoutVars>
      </dgm:prSet>
      <dgm:spPr/>
    </dgm:pt>
    <dgm:pt modelId="{15FDDFDF-078F-446C-BBFF-571C8EA857D3}" type="pres">
      <dgm:prSet presAssocID="{71022491-A01B-47CE-8189-BE8AA31A7E03}" presName="node" presStyleLbl="node1" presStyleIdx="0" presStyleCnt="3">
        <dgm:presLayoutVars>
          <dgm:bulletEnabled val="1"/>
        </dgm:presLayoutVars>
      </dgm:prSet>
      <dgm:spPr/>
    </dgm:pt>
    <dgm:pt modelId="{6777CE52-EC1B-462B-A0B8-4A782093D46C}" type="pres">
      <dgm:prSet presAssocID="{903A65F3-4A5F-4E2F-AE62-A8339332BBD4}" presName="sibTrans" presStyleCnt="0"/>
      <dgm:spPr/>
    </dgm:pt>
    <dgm:pt modelId="{784D50E2-AE78-4321-9533-E2C00EF2AEF8}" type="pres">
      <dgm:prSet presAssocID="{50D6E598-9DA0-479B-9C82-F19AD1F11C7B}" presName="node" presStyleLbl="node1" presStyleIdx="1" presStyleCnt="3">
        <dgm:presLayoutVars>
          <dgm:bulletEnabled val="1"/>
        </dgm:presLayoutVars>
      </dgm:prSet>
      <dgm:spPr/>
    </dgm:pt>
    <dgm:pt modelId="{F3DAB7A1-194C-4280-AD92-272591DA0B56}" type="pres">
      <dgm:prSet presAssocID="{C40E4460-24B8-4965-87BE-9D4F9520AA10}" presName="sibTrans" presStyleCnt="0"/>
      <dgm:spPr/>
    </dgm:pt>
    <dgm:pt modelId="{9AD8799E-BAF2-40FE-8B58-DC73BF9088D3}" type="pres">
      <dgm:prSet presAssocID="{8CAD0422-0687-4FFD-B544-3CF8296A8BB9}" presName="node" presStyleLbl="node1" presStyleIdx="2" presStyleCnt="3">
        <dgm:presLayoutVars>
          <dgm:bulletEnabled val="1"/>
        </dgm:presLayoutVars>
      </dgm:prSet>
      <dgm:spPr/>
    </dgm:pt>
  </dgm:ptLst>
  <dgm:cxnLst>
    <dgm:cxn modelId="{A2AD2A0A-E658-4CC6-8EAC-F79A00512449}" srcId="{AE7EFBF1-457F-459B-BA3A-451077C74B26}" destId="{71022491-A01B-47CE-8189-BE8AA31A7E03}" srcOrd="0" destOrd="0" parTransId="{F5ECA3C4-42DA-4289-8773-9FE77361980C}" sibTransId="{903A65F3-4A5F-4E2F-AE62-A8339332BBD4}"/>
    <dgm:cxn modelId="{74D57918-8DD3-470C-801E-98DCD49E90AF}" type="presOf" srcId="{19EA03CC-E545-439D-B358-739631383342}" destId="{9AD8799E-BAF2-40FE-8B58-DC73BF9088D3}" srcOrd="0" destOrd="1" presId="urn:microsoft.com/office/officeart/2005/8/layout/hList6"/>
    <dgm:cxn modelId="{F9BC252B-1249-489F-BE25-6A7021A2F7C6}" srcId="{50D6E598-9DA0-479B-9C82-F19AD1F11C7B}" destId="{AE93C24F-CFBF-4C6A-8A6C-8B5A4EB36AC1}" srcOrd="0" destOrd="0" parTransId="{FE9AFFD8-8FFD-4AFB-85A9-ABC6479C5BA4}" sibTransId="{74E21728-58F4-4BE2-8F11-FBEF4823FBD9}"/>
    <dgm:cxn modelId="{D57D0D34-35BE-49DA-A7E2-941B6C595A04}" srcId="{8CAD0422-0687-4FFD-B544-3CF8296A8BB9}" destId="{19EA03CC-E545-439D-B358-739631383342}" srcOrd="0" destOrd="0" parTransId="{F7185A1C-EC7C-44E8-8435-7087E69127E5}" sibTransId="{1AFE92BE-E580-4D19-A355-0C4EC3CA96EC}"/>
    <dgm:cxn modelId="{26B11B40-58F0-46BE-87B6-3A69F4F5B9C3}" type="presOf" srcId="{AE93C24F-CFBF-4C6A-8A6C-8B5A4EB36AC1}" destId="{784D50E2-AE78-4321-9533-E2C00EF2AEF8}" srcOrd="0" destOrd="1" presId="urn:microsoft.com/office/officeart/2005/8/layout/hList6"/>
    <dgm:cxn modelId="{B4FE2F47-A5DA-4B3B-A00C-486B0B23FB51}" srcId="{AE7EFBF1-457F-459B-BA3A-451077C74B26}" destId="{8CAD0422-0687-4FFD-B544-3CF8296A8BB9}" srcOrd="2" destOrd="0" parTransId="{60D75305-F8A0-44F2-8C61-0FD4CB2DA208}" sibTransId="{C98BA357-F272-4613-A1BF-D7D8A4CA8BA8}"/>
    <dgm:cxn modelId="{3C133C4C-2B35-4875-8869-8C5F2BF88B5F}" type="presOf" srcId="{AE7EFBF1-457F-459B-BA3A-451077C74B26}" destId="{DB344A5A-6DD0-4C54-B5CB-340719511482}" srcOrd="0" destOrd="0" presId="urn:microsoft.com/office/officeart/2005/8/layout/hList6"/>
    <dgm:cxn modelId="{1B71358F-812F-4FE4-BB37-68532DD8CCF4}" srcId="{71022491-A01B-47CE-8189-BE8AA31A7E03}" destId="{526C6889-57FA-48A3-9764-E818F78950FC}" srcOrd="0" destOrd="0" parTransId="{11A56830-22C8-4290-B327-1B8F61C4782D}" sibTransId="{934329F0-C53D-4963-8102-AD3B654A5B83}"/>
    <dgm:cxn modelId="{A71125AD-4DAB-4210-8ACA-73CA23FE9974}" type="presOf" srcId="{50D6E598-9DA0-479B-9C82-F19AD1F11C7B}" destId="{784D50E2-AE78-4321-9533-E2C00EF2AEF8}" srcOrd="0" destOrd="0" presId="urn:microsoft.com/office/officeart/2005/8/layout/hList6"/>
    <dgm:cxn modelId="{60DB88AE-764A-47AF-9146-D4E759953D94}" type="presOf" srcId="{8CAD0422-0687-4FFD-B544-3CF8296A8BB9}" destId="{9AD8799E-BAF2-40FE-8B58-DC73BF9088D3}" srcOrd="0" destOrd="0" presId="urn:microsoft.com/office/officeart/2005/8/layout/hList6"/>
    <dgm:cxn modelId="{9B3DD4B2-2F2E-4659-B841-5BABAE9FF0B1}" type="presOf" srcId="{71022491-A01B-47CE-8189-BE8AA31A7E03}" destId="{15FDDFDF-078F-446C-BBFF-571C8EA857D3}" srcOrd="0" destOrd="0" presId="urn:microsoft.com/office/officeart/2005/8/layout/hList6"/>
    <dgm:cxn modelId="{70ECF6B8-E6BF-4EE9-82FA-55AFDF37ACAF}" type="presOf" srcId="{526C6889-57FA-48A3-9764-E818F78950FC}" destId="{15FDDFDF-078F-446C-BBFF-571C8EA857D3}" srcOrd="0" destOrd="1" presId="urn:microsoft.com/office/officeart/2005/8/layout/hList6"/>
    <dgm:cxn modelId="{58D285C3-B68C-4527-AA76-CF9FB67F3283}" srcId="{AE7EFBF1-457F-459B-BA3A-451077C74B26}" destId="{50D6E598-9DA0-479B-9C82-F19AD1F11C7B}" srcOrd="1" destOrd="0" parTransId="{BAE81CB0-5369-471A-9F6B-B5CC7505342D}" sibTransId="{C40E4460-24B8-4965-87BE-9D4F9520AA10}"/>
    <dgm:cxn modelId="{103B989C-24F7-46A5-AB39-03E7E65FA166}" type="presParOf" srcId="{DB344A5A-6DD0-4C54-B5CB-340719511482}" destId="{15FDDFDF-078F-446C-BBFF-571C8EA857D3}" srcOrd="0" destOrd="0" presId="urn:microsoft.com/office/officeart/2005/8/layout/hList6"/>
    <dgm:cxn modelId="{E4F8E365-E5B9-489D-A79F-9E3B057263E6}" type="presParOf" srcId="{DB344A5A-6DD0-4C54-B5CB-340719511482}" destId="{6777CE52-EC1B-462B-A0B8-4A782093D46C}" srcOrd="1" destOrd="0" presId="urn:microsoft.com/office/officeart/2005/8/layout/hList6"/>
    <dgm:cxn modelId="{17573489-700E-4E42-88B3-6A268ED5F16B}" type="presParOf" srcId="{DB344A5A-6DD0-4C54-B5CB-340719511482}" destId="{784D50E2-AE78-4321-9533-E2C00EF2AEF8}" srcOrd="2" destOrd="0" presId="urn:microsoft.com/office/officeart/2005/8/layout/hList6"/>
    <dgm:cxn modelId="{98F8A10E-FE6C-47D2-8E02-9F6DAB0759EB}" type="presParOf" srcId="{DB344A5A-6DD0-4C54-B5CB-340719511482}" destId="{F3DAB7A1-194C-4280-AD92-272591DA0B56}" srcOrd="3" destOrd="0" presId="urn:microsoft.com/office/officeart/2005/8/layout/hList6"/>
    <dgm:cxn modelId="{7C271ADD-36EB-4859-8F99-9574304E864C}" type="presParOf" srcId="{DB344A5A-6DD0-4C54-B5CB-340719511482}" destId="{9AD8799E-BAF2-40FE-8B58-DC73BF9088D3}" srcOrd="4" destOrd="0" presId="urn:microsoft.com/office/officeart/2005/8/layout/hList6"/>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xmlns:r="http://schemas.openxmlformats.org/officeDocument/2006/relationships">
  <dsp:spTree>
    <dsp:nvGrpSpPr>
      <dsp:cNvPr id="2" name="组合 1"/>
      <dsp:cNvGrpSpPr/>
    </dsp:nvGrpSpPr>
    <dsp:grpSpPr>
      <a:xfrm>
        <a:off x="0" y="0"/>
        <a:ext cx="5274310" cy="3076575"/>
        <a:chOff x="0" y="0"/>
        <a:chExt cx="5274310" cy="3076575"/>
      </a:xfrm>
    </dsp:grpSpPr>
    <dsp:sp modelId="{15FDDFDF-078F-446C-BBFF-571C8EA857D3}">
      <dsp:nvSpPr>
        <dsp:cNvPr id="3" name="流程图: 手动操作 2"/>
        <dsp:cNvSpPr/>
      </dsp:nvSpPr>
      <dsp:spPr bwMode="white">
        <a:xfrm rot="-5400000">
          <a:off x="-701095" y="701095"/>
          <a:ext cx="3076575" cy="1674384"/>
        </a:xfrm>
        <a:prstGeom prst="flowChartManualOperation">
          <a:avLst/>
        </a:prstGeom>
      </dsp:spPr>
      <dsp:style>
        <a:lnRef idx="2">
          <a:schemeClr val="lt1"/>
        </a:lnRef>
        <a:fillRef idx="1">
          <a:schemeClr val="accent2"/>
        </a:fillRef>
        <a:effectRef idx="0">
          <a:scrgbClr r="0" g="0" b="0"/>
        </a:effectRef>
        <a:fontRef idx="minor">
          <a:schemeClr val="lt1"/>
        </a:fontRef>
      </dsp:style>
      <dsp:txBody>
        <a:bodyPr rot="5400000" lIns="120650" tIns="0" rIns="120650" bIns="0" anchor="t"/>
        <a:lstStyle>
          <a:lvl1pPr algn="l">
            <a:defRPr sz="1900"/>
          </a:lvl1pPr>
          <a:lvl2pPr marL="114300" indent="-114300" algn="l">
            <a:defRPr sz="1400"/>
          </a:lvl2pPr>
          <a:lvl3pPr marL="228600" indent="-114300" algn="l">
            <a:defRPr sz="1400"/>
          </a:lvl3pPr>
          <a:lvl4pPr marL="342900" indent="-114300" algn="l">
            <a:defRPr sz="1400"/>
          </a:lvl4pPr>
          <a:lvl5pPr marL="457200" indent="-114300" algn="l">
            <a:defRPr sz="1400"/>
          </a:lvl5pPr>
          <a:lvl6pPr marL="571500" indent="-114300" algn="l">
            <a:defRPr sz="1400"/>
          </a:lvl6pPr>
          <a:lvl7pPr marL="685800" indent="-114300" algn="l">
            <a:defRPr sz="1400"/>
          </a:lvl7pPr>
          <a:lvl8pPr marL="800100" indent="-114300" algn="l">
            <a:defRPr sz="1400"/>
          </a:lvl8pPr>
          <a:lvl9pPr marL="914400" indent="-114300" algn="l">
            <a:defRPr sz="1400"/>
          </a:lvl9pPr>
        </a:lstStyle>
        <a:p>
          <a:pPr lvl="0">
            <a:lnSpc>
              <a:spcPct val="100000"/>
            </a:lnSpc>
            <a:spcBef>
              <a:spcPct val="0"/>
            </a:spcBef>
            <a:spcAft>
              <a:spcPct val="35000"/>
            </a:spcAft>
          </a:pPr>
          <a:r>
            <a:rPr lang="zh-CN" altLang="en-US"/>
            <a:t>驱动因素</a:t>
          </a:r>
          <a:endParaRPr lang="zh-CN" altLang="en-US"/>
        </a:p>
        <a:p>
          <a:pPr lvl="1">
            <a:lnSpc>
              <a:spcPct val="100000"/>
            </a:lnSpc>
            <a:spcBef>
              <a:spcPct val="0"/>
            </a:spcBef>
            <a:spcAft>
              <a:spcPct val="15000"/>
            </a:spcAft>
            <a:buChar char="•"/>
          </a:pPr>
          <a:r>
            <a:rPr lang="zh-CN" altLang="en-US"/>
            <a:t>先进芯片技术的崛起
半导体晶圆厂和代工厂的扩张
政府支持和半导体投资</a:t>
          </a:r>
        </a:p>
      </dsp:txBody>
      <dsp:txXfrm rot="-5400000">
        <a:off x="-701095" y="701095"/>
        <a:ext cx="3076575" cy="1674384"/>
      </dsp:txXfrm>
    </dsp:sp>
    <dsp:sp modelId="{784D50E2-AE78-4321-9533-E2C00EF2AEF8}">
      <dsp:nvSpPr>
        <dsp:cNvPr id="4" name="流程图: 手动操作 3"/>
        <dsp:cNvSpPr/>
      </dsp:nvSpPr>
      <dsp:spPr bwMode="white">
        <a:xfrm rot="-5400000">
          <a:off x="1098868" y="701095"/>
          <a:ext cx="3076575" cy="1674384"/>
        </a:xfrm>
        <a:prstGeom prst="flowChartManualOperation">
          <a:avLst/>
        </a:prstGeom>
      </dsp:spPr>
      <dsp:style>
        <a:lnRef idx="2">
          <a:schemeClr val="lt1"/>
        </a:lnRef>
        <a:fillRef idx="1">
          <a:schemeClr val="accent3"/>
        </a:fillRef>
        <a:effectRef idx="0">
          <a:scrgbClr r="0" g="0" b="0"/>
        </a:effectRef>
        <a:fontRef idx="minor">
          <a:schemeClr val="lt1"/>
        </a:fontRef>
      </dsp:style>
      <dsp:txBody>
        <a:bodyPr rot="5400000" lIns="120650" tIns="0" rIns="120650" bIns="0" anchor="t"/>
        <a:lstStyle>
          <a:lvl1pPr algn="l">
            <a:defRPr sz="1900"/>
          </a:lvl1pPr>
          <a:lvl2pPr marL="114300" indent="-114300" algn="l">
            <a:defRPr sz="1400"/>
          </a:lvl2pPr>
          <a:lvl3pPr marL="228600" indent="-114300" algn="l">
            <a:defRPr sz="1400"/>
          </a:lvl3pPr>
          <a:lvl4pPr marL="342900" indent="-114300" algn="l">
            <a:defRPr sz="1400"/>
          </a:lvl4pPr>
          <a:lvl5pPr marL="457200" indent="-114300" algn="l">
            <a:defRPr sz="1400"/>
          </a:lvl5pPr>
          <a:lvl6pPr marL="571500" indent="-114300" algn="l">
            <a:defRPr sz="1400"/>
          </a:lvl6pPr>
          <a:lvl7pPr marL="685800" indent="-114300" algn="l">
            <a:defRPr sz="1400"/>
          </a:lvl7pPr>
          <a:lvl8pPr marL="800100" indent="-114300" algn="l">
            <a:defRPr sz="1400"/>
          </a:lvl8pPr>
          <a:lvl9pPr marL="914400" indent="-114300" algn="l">
            <a:defRPr sz="1400"/>
          </a:lvl9pPr>
        </a:lstStyle>
        <a:p>
          <a:pPr lvl="0">
            <a:lnSpc>
              <a:spcPct val="100000"/>
            </a:lnSpc>
            <a:spcBef>
              <a:spcPct val="0"/>
            </a:spcBef>
            <a:spcAft>
              <a:spcPct val="35000"/>
            </a:spcAft>
          </a:pPr>
          <a:r>
            <a:rPr lang="zh-CN" altLang="en-US"/>
            <a:t>阻碍因素</a:t>
          </a:r>
          <a:endParaRPr lang="zh-CN" altLang="en-US"/>
        </a:p>
        <a:p>
          <a:pPr lvl="1">
            <a:lnSpc>
              <a:spcPct val="100000"/>
            </a:lnSpc>
            <a:spcBef>
              <a:spcPct val="0"/>
            </a:spcBef>
            <a:spcAft>
              <a:spcPct val="15000"/>
            </a:spcAft>
            <a:buChar char="•"/>
          </a:pPr>
          <a:r>
            <a:rPr lang="zh-CN" altLang="en-US"/>
            <a:t>维护和运营成本高
小型制造商采用率有限
现有工厂空间受限</a:t>
          </a:r>
        </a:p>
      </dsp:txBody>
      <dsp:txXfrm rot="-5400000">
        <a:off x="1098868" y="701095"/>
        <a:ext cx="3076575" cy="1674384"/>
      </dsp:txXfrm>
    </dsp:sp>
    <dsp:sp modelId="{9AD8799E-BAF2-40FE-8B58-DC73BF9088D3}">
      <dsp:nvSpPr>
        <dsp:cNvPr id="5" name="流程图: 手动操作 4"/>
        <dsp:cNvSpPr/>
      </dsp:nvSpPr>
      <dsp:spPr bwMode="white">
        <a:xfrm rot="-5400000">
          <a:off x="2898830" y="701095"/>
          <a:ext cx="3076575" cy="1674384"/>
        </a:xfrm>
        <a:prstGeom prst="flowChartManualOperation">
          <a:avLst/>
        </a:prstGeom>
      </dsp:spPr>
      <dsp:style>
        <a:lnRef idx="2">
          <a:schemeClr val="lt1"/>
        </a:lnRef>
        <a:fillRef idx="1">
          <a:schemeClr val="accent4"/>
        </a:fillRef>
        <a:effectRef idx="0">
          <a:scrgbClr r="0" g="0" b="0"/>
        </a:effectRef>
        <a:fontRef idx="minor">
          <a:schemeClr val="lt1"/>
        </a:fontRef>
      </dsp:style>
      <dsp:txBody>
        <a:bodyPr rot="5400000" lIns="120650" tIns="0" rIns="120650" bIns="0" anchor="t"/>
        <a:lstStyle>
          <a:lvl1pPr algn="l">
            <a:defRPr sz="1900"/>
          </a:lvl1pPr>
          <a:lvl2pPr marL="114300" indent="-114300" algn="l">
            <a:defRPr sz="1400"/>
          </a:lvl2pPr>
          <a:lvl3pPr marL="228600" indent="-114300" algn="l">
            <a:defRPr sz="1400"/>
          </a:lvl3pPr>
          <a:lvl4pPr marL="342900" indent="-114300" algn="l">
            <a:defRPr sz="1400"/>
          </a:lvl4pPr>
          <a:lvl5pPr marL="457200" indent="-114300" algn="l">
            <a:defRPr sz="1400"/>
          </a:lvl5pPr>
          <a:lvl6pPr marL="571500" indent="-114300" algn="l">
            <a:defRPr sz="1400"/>
          </a:lvl6pPr>
          <a:lvl7pPr marL="685800" indent="-114300" algn="l">
            <a:defRPr sz="1400"/>
          </a:lvl7pPr>
          <a:lvl8pPr marL="800100" indent="-114300" algn="l">
            <a:defRPr sz="1400"/>
          </a:lvl8pPr>
          <a:lvl9pPr marL="914400" indent="-114300" algn="l">
            <a:defRPr sz="1400"/>
          </a:lvl9pPr>
        </a:lstStyle>
        <a:p>
          <a:pPr lvl="0">
            <a:lnSpc>
              <a:spcPct val="100000"/>
            </a:lnSpc>
            <a:spcBef>
              <a:spcPct val="0"/>
            </a:spcBef>
            <a:spcAft>
              <a:spcPct val="35000"/>
            </a:spcAft>
          </a:pPr>
          <a:r>
            <a:rPr lang="zh-CN" altLang="en-US"/>
            <a:t>挑战</a:t>
          </a:r>
          <a:endParaRPr lang="zh-CN" altLang="en-US"/>
        </a:p>
        <a:p>
          <a:pPr lvl="1">
            <a:lnSpc>
              <a:spcPct val="100000"/>
            </a:lnSpc>
            <a:spcBef>
              <a:spcPct val="0"/>
            </a:spcBef>
            <a:spcAft>
              <a:spcPct val="15000"/>
            </a:spcAft>
            <a:buChar char="•"/>
          </a:pPr>
          <a:r>
            <a:rPr lang="zh-CN" altLang="en-US"/>
            <a:t>初始投资成本高
定制和集成复杂
供应链中断和原材料短缺</a:t>
          </a:r>
        </a:p>
      </dsp:txBody>
      <dsp:txXfrm rot="-5400000">
        <a:off x="2898830" y="701095"/>
        <a:ext cx="3076575" cy="1674384"/>
      </dsp:txXfrm>
    </dsp:sp>
  </dsp:spTree>
</dsp:drawing>
</file>

<file path=word/diagrams/layout1.xml><?xml version="1.0" encoding="utf-8"?>
<dgm:layoutDef xmlns:dgm="http://schemas.openxmlformats.org/drawingml/2006/diagram" xmlns:a="http://schemas.openxmlformats.org/drawingml/2006/main" uniqueId="urn:microsoft.com/office/officeart/2005/8/layout/hList6">
  <dgm:title val=""/>
  <dgm:desc val=""/>
  <dgm:catLst>
    <dgm:cat type="list" pri="18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h" for="ch" ptType="node" refType="h"/>
      <dgm:constr type="w" for="ch" ptType="node" refType="w"/>
      <dgm:constr type="primFontSz" for="ch" ptType="node" op="equ"/>
      <dgm:constr type="w" for="ch" forName="sibTrans" refType="w" fact="0.075"/>
    </dgm:constrLst>
    <dgm:ruleLst/>
    <dgm:forEach name="nodesForEach" axis="ch" ptType="node">
      <dgm:layoutNode name="node">
        <dgm:varLst>
          <dgm:bulletEnabled val="1"/>
        </dgm:varLst>
        <dgm:alg type="tx"/>
        <dgm:choose name="Name4">
          <dgm:if name="Name5" func="var" arg="dir" op="equ" val="norm">
            <dgm:shape xmlns:r="http://schemas.openxmlformats.org/officeDocument/2006/relationships" type="flowChartManualOperation" r:blip="" rot="-90">
              <dgm:adjLst/>
            </dgm:shape>
          </dgm:if>
          <dgm:else name="Name6">
            <dgm:shape xmlns:r="http://schemas.openxmlformats.org/officeDocument/2006/relationships" type="flowChartManualOperation" r:blip="" rot="90">
              <dgm:adjLst/>
            </dgm:shape>
          </dgm:else>
        </dgm:choose>
        <dgm:presOf axis="desOrSelf" ptType="node"/>
        <dgm:constrLst>
          <dgm:constr type="primFontSz" val="65"/>
          <dgm:constr type="tMarg"/>
          <dgm:constr type="bMarg"/>
          <dgm:constr type="lMarg" refType="primFontSz" fact="0.5"/>
          <dgm:constr type="rMarg" refType="lMarg"/>
        </dgm:constrLst>
        <dgm:ruleLst>
          <dgm:rule type="primFontSz" val="5" fact="NaN" max="NaN"/>
        </dgm:ruleLst>
      </dgm:layoutNode>
      <dgm:forEach name="sibTransForEach"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7</Pages>
  <Words>2889</Words>
  <Characters>3246</Characters>
  <Lines>23</Lines>
  <Paragraphs>6</Paragraphs>
  <TotalTime>46</TotalTime>
  <ScaleCrop>false</ScaleCrop>
  <LinksUpToDate>false</LinksUpToDate>
  <CharactersWithSpaces>3280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2024-09-03T07:45:00Z</dcterms:created>
  <dc:creator>yangj</dc:creator>
  <cp:lastModifiedBy>鼕鼕</cp:lastModifiedBy>
  <dcterms:modified xsi:type="dcterms:W3CDTF">2025-08-06T10:40:01Z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2052-12.1.0.21915</vt:lpwstr>
  </property>
  <property fmtid="{D5CDD505-2E9C-101B-9397-08002B2CF9AE}" pid="4" name="ICV">
    <vt:lpwstr>8DAA7CA5A9074A20BCC235BF6ACC296A_12</vt:lpwstr>
  </property>
</Properties>
</file>