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tabs>
          <w:tab w:pos="561" w:val="left" w:leader="none"/>
        </w:tabs>
        <w:spacing w:before="34"/>
        <w:ind w:left="0" w:right="357" w:firstLine="0"/>
        <w:jc w:val="center"/>
        <w:rPr>
          <w:rFonts w:ascii="仿宋" w:eastAsia="仿宋" w:hint="eastAsia"/>
          <w:b/>
          <w:sz w:val="28"/>
        </w:rPr>
      </w:pPr>
      <w:r>
        <w:rPr>
          <w:rFonts w:ascii="仿宋" w:eastAsia="仿宋" w:hint="eastAsia"/>
          <w:b/>
          <w:sz w:val="28"/>
        </w:rPr>
        <w:t>目</w:t>
        <w:tab/>
        <w:t>录</w:t>
      </w:r>
    </w:p>
    <w:sdt>
      <w:sdtPr>
        <w:docPartObj>
          <w:docPartGallery w:val="Table of Contents"/>
          <w:docPartUnique/>
        </w:docPartObj>
      </w:sdtPr>
      <w:sdtEndPr/>
      <w:sdtContent>
        <w:p>
          <w:pPr>
            <w:pStyle w:val="TOC1"/>
            <w:tabs>
              <w:tab w:pos="8167" w:val="left" w:leader="dot"/>
            </w:tabs>
          </w:pPr>
          <w:hyperlink w:history="true" w:anchor="_TOC_250011">
            <w:r>
              <w:rPr/>
              <w:t>第一章</w:t>
            </w:r>
            <w:r>
              <w:rPr>
                <w:spacing w:val="3"/>
              </w:rPr>
              <w:t> </w:t>
            </w:r>
            <w:r>
              <w:rPr/>
              <w:t>居家上门服务管理流程</w:t>
              <w:tab/>
              <w:t>2</w:t>
            </w:r>
          </w:hyperlink>
        </w:p>
        <w:p>
          <w:pPr>
            <w:pStyle w:val="TOC2"/>
            <w:tabs>
              <w:tab w:pos="8408" w:val="left" w:leader="dot"/>
            </w:tabs>
            <w:spacing w:before="266"/>
          </w:pPr>
          <w:hyperlink w:history="true" w:anchor="_TOC_250010">
            <w:r>
              <w:rPr/>
              <w:t>一、总目标</w:t>
              <w:tab/>
              <w:t>2</w:t>
            </w:r>
          </w:hyperlink>
        </w:p>
        <w:p>
          <w:pPr>
            <w:pStyle w:val="TOC2"/>
            <w:tabs>
              <w:tab w:pos="8408" w:val="left" w:leader="dot"/>
            </w:tabs>
          </w:pPr>
          <w:hyperlink w:history="true" w:anchor="_TOC_250009">
            <w:r>
              <w:rPr/>
              <w:t>二、各类居家上门服务流程及标准</w:t>
              <w:tab/>
              <w:t>2</w:t>
            </w:r>
          </w:hyperlink>
        </w:p>
        <w:p>
          <w:pPr>
            <w:pStyle w:val="TOC1"/>
            <w:tabs>
              <w:tab w:pos="1120" w:val="left" w:leader="none"/>
              <w:tab w:pos="8167" w:val="left" w:leader="dot"/>
            </w:tabs>
          </w:pPr>
          <w:hyperlink w:history="true" w:anchor="_TOC_250008">
            <w:r>
              <w:rPr/>
              <w:t>第二章</w:t>
              <w:tab/>
              <w:t>优惠承诺</w:t>
              <w:tab/>
              <w:t>8</w:t>
            </w:r>
          </w:hyperlink>
        </w:p>
        <w:p>
          <w:pPr>
            <w:pStyle w:val="TOC2"/>
            <w:tabs>
              <w:tab w:pos="8408" w:val="left" w:leader="dot"/>
            </w:tabs>
          </w:pPr>
          <w:hyperlink w:history="true" w:anchor="_TOC_250007">
            <w:r>
              <w:rPr/>
              <w:t>一、爱心理发服务承诺</w:t>
              <w:tab/>
              <w:t>8</w:t>
            </w:r>
          </w:hyperlink>
        </w:p>
        <w:p>
          <w:pPr>
            <w:pStyle w:val="TOC2"/>
            <w:tabs>
              <w:tab w:pos="8408" w:val="left" w:leader="dot"/>
            </w:tabs>
            <w:spacing w:before="266"/>
          </w:pPr>
          <w:hyperlink w:history="true" w:anchor="_TOC_250006">
            <w:r>
              <w:rPr/>
              <w:t>二、爱心志愿者服务</w:t>
              <w:tab/>
              <w:t>8</w:t>
            </w:r>
          </w:hyperlink>
        </w:p>
        <w:p>
          <w:pPr>
            <w:pStyle w:val="TOC2"/>
            <w:tabs>
              <w:tab w:pos="8408" w:val="left" w:leader="dot"/>
            </w:tabs>
          </w:pPr>
          <w:hyperlink w:history="true" w:anchor="_TOC_250005">
            <w:r>
              <w:rPr/>
              <w:t>三、健康筛查</w:t>
              <w:tab/>
              <w:t>8</w:t>
            </w:r>
          </w:hyperlink>
        </w:p>
        <w:p>
          <w:pPr>
            <w:pStyle w:val="TOC2"/>
            <w:tabs>
              <w:tab w:pos="8408" w:val="left" w:leader="dot"/>
            </w:tabs>
          </w:pPr>
          <w:hyperlink w:history="true" w:anchor="_TOC_250004">
            <w:r>
              <w:rPr/>
              <w:t>四、免费用餐</w:t>
              <w:tab/>
              <w:t>8</w:t>
            </w:r>
          </w:hyperlink>
        </w:p>
        <w:p>
          <w:pPr>
            <w:pStyle w:val="TOC2"/>
            <w:tabs>
              <w:tab w:pos="8408" w:val="left" w:leader="dot"/>
            </w:tabs>
          </w:pPr>
          <w:hyperlink w:history="true" w:anchor="_TOC_250003">
            <w:r>
              <w:rPr/>
              <w:t>五、免费讲座培训</w:t>
              <w:tab/>
              <w:t>9</w:t>
            </w:r>
          </w:hyperlink>
        </w:p>
        <w:p>
          <w:pPr>
            <w:pStyle w:val="TOC1"/>
            <w:tabs>
              <w:tab w:pos="1120" w:val="left" w:leader="none"/>
              <w:tab w:pos="8026" w:val="left" w:leader="dot"/>
            </w:tabs>
            <w:spacing w:before="266"/>
            <w:ind w:right="355"/>
          </w:pPr>
          <w:hyperlink w:history="true" w:anchor="_TOC_250002">
            <w:r>
              <w:rPr/>
              <w:t>第三章</w:t>
              <w:tab/>
              <w:t>投标人优势分析及合理化建议</w:t>
              <w:tab/>
              <w:t>10</w:t>
            </w:r>
          </w:hyperlink>
        </w:p>
        <w:p>
          <w:pPr>
            <w:pStyle w:val="TOC2"/>
            <w:tabs>
              <w:tab w:pos="8266" w:val="left" w:leader="dot"/>
            </w:tabs>
          </w:pPr>
          <w:hyperlink w:history="true" w:anchor="_TOC_250001">
            <w:r>
              <w:rPr/>
              <w:t>一、优势分析</w:t>
              <w:tab/>
              <w:t>10</w:t>
            </w:r>
          </w:hyperlink>
        </w:p>
        <w:p>
          <w:pPr>
            <w:pStyle w:val="TOC2"/>
            <w:tabs>
              <w:tab w:pos="8266" w:val="left" w:leader="dot"/>
            </w:tabs>
          </w:pPr>
          <w:hyperlink w:history="true" w:anchor="_TOC_250000">
            <w:r>
              <w:rPr/>
              <w:t>二、合理化建议</w:t>
              <w:tab/>
              <w:t>15</w:t>
            </w:r>
          </w:hyperlink>
        </w:p>
        <w:p>
          <w:pPr>
            <w:pStyle w:val="TOC2"/>
            <w:tabs>
              <w:tab w:pos="8266" w:val="left" w:leader="dot"/>
            </w:tabs>
            <w:spacing w:before="266"/>
          </w:pPr>
          <w:r>
            <w:rPr/>
            <w:t>（一）、政府推动，初始动力行政化。</w:t>
            <w:tab/>
            <w:t>15</w:t>
          </w:r>
        </w:p>
        <w:p>
          <w:pPr>
            <w:pStyle w:val="TOC2"/>
            <w:tabs>
              <w:tab w:pos="8266" w:val="left" w:leader="dot"/>
            </w:tabs>
          </w:pPr>
          <w:r>
            <w:rPr/>
            <w:t>（二）、社会参与，服务内容广泛化。</w:t>
            <w:tab/>
            <w:t>16</w:t>
          </w:r>
        </w:p>
        <w:p>
          <w:pPr>
            <w:pStyle w:val="TOC2"/>
            <w:tabs>
              <w:tab w:pos="8266" w:val="left" w:leader="dot"/>
            </w:tabs>
          </w:pPr>
          <w:r>
            <w:rPr/>
            <w:t>（三）、家庭支持，提倡亲情关怀</w:t>
            <w:tab/>
            <w:t>17</w:t>
          </w:r>
        </w:p>
      </w:sdtContent>
    </w:sdt>
    <w:p>
      <w:pPr>
        <w:spacing w:after="0"/>
        <w:sectPr>
          <w:footerReference w:type="default" r:id="rId5"/>
          <w:type w:val="continuous"/>
          <w:pgSz w:w="11910" w:h="16840"/>
          <w:pgMar w:footer="1125" w:top="1280" w:bottom="1320" w:left="1560" w:right="1200"/>
          <w:pgNumType w:start="1"/>
        </w:sectPr>
      </w:pPr>
    </w:p>
    <w:p>
      <w:pPr>
        <w:pStyle w:val="Heading1"/>
        <w:spacing w:before="8"/>
      </w:pPr>
      <w:bookmarkStart w:name="_TOC_250011" w:id="1"/>
      <w:bookmarkEnd w:id="1"/>
      <w:r>
        <w:rPr/>
        <w:t>第一章 居家上门服务管理流程</w:t>
      </w:r>
    </w:p>
    <w:p>
      <w:pPr>
        <w:pStyle w:val="BodyText"/>
        <w:spacing w:before="5"/>
        <w:rPr>
          <w:b/>
          <w:sz w:val="49"/>
        </w:rPr>
      </w:pPr>
    </w:p>
    <w:p>
      <w:pPr>
        <w:pStyle w:val="Heading2"/>
        <w:spacing w:before="1"/>
        <w:rPr>
          <w:rFonts w:ascii="黑体" w:eastAsia="黑体" w:hint="eastAsia"/>
        </w:rPr>
      </w:pPr>
      <w:bookmarkStart w:name="_TOC_250010" w:id="2"/>
      <w:bookmarkEnd w:id="2"/>
      <w:r>
        <w:rPr>
          <w:rFonts w:ascii="黑体" w:eastAsia="黑体" w:hint="eastAsia"/>
        </w:rPr>
        <w:t>一、总目标</w:t>
      </w:r>
    </w:p>
    <w:p>
      <w:pPr>
        <w:pStyle w:val="BodyText"/>
        <w:spacing w:before="4"/>
        <w:rPr>
          <w:rFonts w:ascii="黑体"/>
          <w:b/>
          <w:sz w:val="31"/>
        </w:rPr>
      </w:pPr>
    </w:p>
    <w:p>
      <w:pPr>
        <w:pStyle w:val="BodyText"/>
        <w:spacing w:line="364" w:lineRule="auto"/>
        <w:ind w:left="240" w:right="482" w:firstLine="559"/>
      </w:pPr>
      <w:r>
        <w:rPr/>
        <w:t>为规范残疾人居家服务工作，提升整体服务水平，采取标准化、程序化服务，特制定如下服务流程方案，全体服务人员遵照执行。</w:t>
      </w:r>
    </w:p>
    <w:p>
      <w:pPr>
        <w:pStyle w:val="BodyText"/>
        <w:spacing w:before="9"/>
        <w:rPr>
          <w:sz w:val="25"/>
        </w:rPr>
      </w:pPr>
    </w:p>
    <w:p>
      <w:pPr>
        <w:pStyle w:val="Heading2"/>
        <w:rPr>
          <w:rFonts w:ascii="黑体" w:eastAsia="黑体" w:hint="eastAsia"/>
        </w:rPr>
      </w:pPr>
      <w:bookmarkStart w:name="_TOC_250009" w:id="3"/>
      <w:bookmarkEnd w:id="3"/>
      <w:r>
        <w:rPr>
          <w:rFonts w:ascii="黑体" w:eastAsia="黑体" w:hint="eastAsia"/>
        </w:rPr>
        <w:t>二、各类居家上门服务流程及标准</w:t>
      </w:r>
    </w:p>
    <w:p>
      <w:pPr>
        <w:pStyle w:val="BodyText"/>
        <w:spacing w:before="8"/>
        <w:rPr>
          <w:rFonts w:ascii="黑体"/>
          <w:b/>
          <w:sz w:val="31"/>
        </w:rPr>
      </w:pPr>
    </w:p>
    <w:p>
      <w:pPr>
        <w:spacing w:before="0"/>
        <w:ind w:left="801" w:right="0" w:firstLine="0"/>
        <w:jc w:val="left"/>
        <w:rPr>
          <w:b/>
          <w:sz w:val="28"/>
        </w:rPr>
      </w:pPr>
      <w:r>
        <w:rPr>
          <w:b/>
          <w:sz w:val="28"/>
        </w:rPr>
        <w:t>（一）、助餐流程标准</w:t>
      </w:r>
    </w:p>
    <w:p>
      <w:pPr>
        <w:pStyle w:val="BodyText"/>
        <w:spacing w:before="186"/>
        <w:ind w:left="799"/>
      </w:pPr>
      <w:r>
        <w:rPr/>
        <w:t>1、符合国家食品安全法律法规的规定和食品行业标准。</w:t>
      </w:r>
    </w:p>
    <w:p>
      <w:pPr>
        <w:pStyle w:val="BodyText"/>
        <w:spacing w:line="364" w:lineRule="auto" w:before="184"/>
        <w:ind w:left="240" w:right="479" w:firstLine="559"/>
      </w:pPr>
      <w:r>
        <w:rPr/>
        <w:t>2、提供膳食服务根据营养学、卫生学要求、残疾人需求、地域特点、民族、宗教习惯制定菜谱，为残疾人提供营养丰富、全面合理的均衡饮食。</w:t>
      </w:r>
    </w:p>
    <w:p>
      <w:pPr>
        <w:pStyle w:val="BodyText"/>
        <w:spacing w:line="364" w:lineRule="auto"/>
        <w:ind w:left="240" w:right="479" w:firstLine="559"/>
      </w:pPr>
      <w:r>
        <w:rPr/>
        <w:t>3、送餐及时，饮食保温、保鲜、密闭、防止细菌滋生，提供符合保温、保鲜要求的设备及运输工具，保证及时、准确、安全地将餐饮送达。送餐运输工具保持清洁卫生，餐具做到每餐消毒。</w:t>
      </w:r>
    </w:p>
    <w:p>
      <w:pPr>
        <w:pStyle w:val="BodyText"/>
        <w:spacing w:line="364" w:lineRule="auto"/>
        <w:ind w:left="240" w:right="621" w:firstLine="559"/>
      </w:pPr>
      <w:r>
        <w:rPr/>
        <w:t>4、提供膳食服务获得卫生许证，膳食服务人员持有健康证，膳食服务转介有相关资质的第三方提供。</w:t>
      </w:r>
    </w:p>
    <w:p>
      <w:pPr>
        <w:pStyle w:val="BodyText"/>
        <w:spacing w:line="358" w:lineRule="exact"/>
        <w:ind w:left="799"/>
      </w:pPr>
      <w:r>
        <w:rPr/>
        <w:t>5、助餐服务点配置符合残疾人特点的无障碍设施。</w:t>
      </w:r>
    </w:p>
    <w:p>
      <w:pPr>
        <w:pStyle w:val="BodyText"/>
        <w:spacing w:before="183"/>
        <w:ind w:left="799"/>
      </w:pPr>
      <w:r>
        <w:rPr/>
        <w:t>6、助餐分为集中用餐、上门送餐及上门做餐。</w:t>
      </w:r>
    </w:p>
    <w:p>
      <w:pPr>
        <w:spacing w:before="186"/>
        <w:ind w:left="801" w:right="0" w:firstLine="0"/>
        <w:jc w:val="left"/>
        <w:rPr>
          <w:b/>
          <w:sz w:val="28"/>
        </w:rPr>
      </w:pPr>
      <w:r>
        <w:rPr>
          <w:b/>
          <w:sz w:val="28"/>
        </w:rPr>
        <w:t>（1）、集中用餐</w:t>
      </w:r>
    </w:p>
    <w:p>
      <w:pPr>
        <w:pStyle w:val="BodyText"/>
        <w:spacing w:line="364" w:lineRule="auto" w:before="187"/>
        <w:ind w:left="240" w:right="592" w:firstLine="559"/>
      </w:pPr>
      <w:r>
        <w:rPr>
          <w:spacing w:val="-9"/>
        </w:rPr>
        <w:t>残疾人到社区助餐点集中就餐，助餐点的设置符合《中华人民共</w:t>
      </w:r>
      <w:r>
        <w:rPr>
          <w:spacing w:val="-1"/>
        </w:rPr>
        <w:t>和国食品安全法》的相关规定;</w:t>
      </w:r>
    </w:p>
    <w:p>
      <w:pPr>
        <w:pStyle w:val="BodyText"/>
        <w:spacing w:line="364" w:lineRule="auto"/>
        <w:ind w:left="240" w:right="601" w:firstLine="559"/>
      </w:pPr>
      <w:r>
        <w:rPr/>
        <w:t>①、配备满足残疾人助餐服务需求的膳食设备(保温设备、消毒设备、必要的炊事用具和餐桌椅等) ;</w:t>
      </w:r>
    </w:p>
    <w:p>
      <w:pPr>
        <w:pStyle w:val="BodyText"/>
        <w:spacing w:line="358" w:lineRule="exact"/>
        <w:ind w:left="799"/>
      </w:pPr>
      <w:r>
        <w:rPr/>
        <w:t>②、在醒目处公示助餐服务时间、服务须知等，保持内外环境及</w:t>
      </w:r>
    </w:p>
    <w:p>
      <w:pPr>
        <w:spacing w:after="0" w:line="358" w:lineRule="exact"/>
        <w:sectPr>
          <w:pgSz w:w="11910" w:h="16840"/>
          <w:pgMar w:header="0" w:footer="1125" w:top="1140" w:bottom="1320" w:left="1560" w:right="1200"/>
        </w:sectPr>
      </w:pPr>
    </w:p>
    <w:p>
      <w:pPr>
        <w:pStyle w:val="BodyText"/>
        <w:spacing w:before="44"/>
        <w:ind w:left="240"/>
        <w:jc w:val="both"/>
      </w:pPr>
      <w:r>
        <w:rPr/>
        <w:t>餐桌整洁,餐具须每餐消毒- -次(不得使用化学消毒剂) ;</w:t>
      </w:r>
    </w:p>
    <w:p>
      <w:pPr>
        <w:pStyle w:val="BodyText"/>
        <w:spacing w:line="364" w:lineRule="auto" w:before="187"/>
        <w:ind w:left="240" w:right="575" w:firstLine="559"/>
        <w:jc w:val="both"/>
      </w:pPr>
      <w:r>
        <w:rPr>
          <w:spacing w:val="-12"/>
        </w:rPr>
        <w:t>③、助餐员须经体检合格取得健康合格证后才能从事膳食服务工</w:t>
      </w:r>
      <w:r>
        <w:rPr/>
        <w:t>作，每年定期体检一次，有记录;注意个人卫生，勤洗手、勤理发、</w:t>
      </w:r>
      <w:r>
        <w:rPr>
          <w:spacing w:val="-1"/>
        </w:rPr>
        <w:t>勤剪指甲，保持工作服清洁;</w:t>
      </w:r>
    </w:p>
    <w:p>
      <w:pPr>
        <w:pStyle w:val="BodyText"/>
        <w:spacing w:line="364" w:lineRule="auto"/>
        <w:ind w:left="240" w:right="482" w:firstLine="559"/>
      </w:pPr>
      <w:r>
        <w:rPr/>
        <w:t>④、尊重残疾人的饮食习惯，做到荤素搭配、干稀搭配、粗细搭配合理，每周有食谱;</w:t>
      </w:r>
    </w:p>
    <w:p>
      <w:pPr>
        <w:spacing w:line="358" w:lineRule="exact" w:before="0"/>
        <w:ind w:left="801" w:right="0" w:firstLine="0"/>
        <w:jc w:val="left"/>
        <w:rPr>
          <w:b/>
          <w:sz w:val="28"/>
        </w:rPr>
      </w:pPr>
      <w:r>
        <w:rPr>
          <w:b/>
          <w:sz w:val="28"/>
        </w:rPr>
        <w:t>(2)、上门送餐</w:t>
      </w:r>
    </w:p>
    <w:p>
      <w:pPr>
        <w:pStyle w:val="BodyText"/>
        <w:spacing w:line="364" w:lineRule="auto" w:before="184"/>
        <w:ind w:left="240" w:right="763" w:firstLine="559"/>
      </w:pPr>
      <w:r>
        <w:rPr/>
        <w:t>由助餐点或供餐单位派遣专人使用具有统一标识的送餐运输工具将膳食送至残疾人家中:</w:t>
      </w:r>
    </w:p>
    <w:p>
      <w:pPr>
        <w:pStyle w:val="BodyText"/>
        <w:spacing w:line="364" w:lineRule="auto"/>
        <w:ind w:left="240" w:right="446" w:firstLine="559"/>
        <w:jc w:val="both"/>
      </w:pPr>
      <w:r>
        <w:rPr/>
        <w:t>①、送餐及时，饮食保温、保鲜、密闭、防止细菌滋生，提供符</w:t>
      </w:r>
      <w:r>
        <w:rPr>
          <w:spacing w:val="-18"/>
        </w:rPr>
        <w:t>合保温、保鲜要求的设备及运输工具，保证准确、安全地将餐饮送达。</w:t>
      </w:r>
      <w:r>
        <w:rPr>
          <w:spacing w:val="-1"/>
        </w:rPr>
        <w:t>送餐运输工具保持清洁卫生，餐具做到每餐消毒;</w:t>
      </w:r>
    </w:p>
    <w:p>
      <w:pPr>
        <w:pStyle w:val="BodyText"/>
        <w:spacing w:line="364" w:lineRule="auto"/>
        <w:ind w:left="240" w:right="601" w:firstLine="559"/>
      </w:pPr>
      <w:r>
        <w:rPr/>
        <w:t>②、按照残疾人的身体状况和生活习惯，提前- -周为残疾人预定膳食，并作记录;</w:t>
      </w:r>
    </w:p>
    <w:p>
      <w:pPr>
        <w:pStyle w:val="BodyText"/>
        <w:spacing w:line="364" w:lineRule="auto"/>
        <w:ind w:left="240" w:right="479" w:firstLine="559"/>
      </w:pPr>
      <w:r>
        <w:rPr/>
        <w:t>③、送餐途中确保食物的卫生、清洁、保温;送餐时核对残疾人的姓名、菜品及数量，确定无误后签收，服务时礼貌、周到、细致。</w:t>
      </w:r>
    </w:p>
    <w:p>
      <w:pPr>
        <w:pStyle w:val="BodyText"/>
        <w:spacing w:line="358" w:lineRule="exact"/>
        <w:ind w:left="799"/>
      </w:pPr>
      <w:r>
        <w:rPr/>
        <w:t>（3）、上门做餐</w:t>
      </w:r>
    </w:p>
    <w:p>
      <w:pPr>
        <w:pStyle w:val="BodyText"/>
        <w:spacing w:line="364" w:lineRule="auto" w:before="181"/>
        <w:ind w:left="240" w:right="595" w:firstLine="559"/>
      </w:pPr>
      <w:r>
        <w:rPr/>
        <w:t>由助餐点派专人上门到残疾人家中按照残疾人的要求做餐,所用食材由残疾人家中准备齐全，服务时礼貌、周到、细致。</w:t>
      </w:r>
    </w:p>
    <w:p>
      <w:pPr>
        <w:spacing w:line="358" w:lineRule="exact" w:before="0"/>
        <w:ind w:left="801" w:right="0" w:firstLine="0"/>
        <w:jc w:val="left"/>
        <w:rPr>
          <w:b/>
          <w:sz w:val="28"/>
        </w:rPr>
      </w:pPr>
      <w:r>
        <w:rPr>
          <w:b/>
          <w:sz w:val="28"/>
        </w:rPr>
        <w:t>（二）、助浴服务流程标准</w:t>
      </w:r>
    </w:p>
    <w:p>
      <w:pPr>
        <w:pStyle w:val="BodyText"/>
        <w:spacing w:line="364" w:lineRule="auto" w:before="186"/>
        <w:ind w:left="240" w:right="621" w:firstLine="559"/>
      </w:pPr>
      <w:r>
        <w:rPr/>
        <w:t>1</w:t>
      </w:r>
      <w:r>
        <w:rPr>
          <w:spacing w:val="-1"/>
        </w:rPr>
        <w:t>、助浴前进行身体指标检查，与残疾人签订服务协议，安全措</w:t>
      </w:r>
      <w:r>
        <w:rPr/>
        <w:t>施到位后方进行助浴。</w:t>
      </w:r>
    </w:p>
    <w:p>
      <w:pPr>
        <w:pStyle w:val="BodyText"/>
        <w:spacing w:line="364" w:lineRule="auto"/>
        <w:ind w:left="240" w:right="451" w:firstLine="559"/>
      </w:pPr>
      <w:r>
        <w:rPr/>
        <w:t>2</w:t>
      </w:r>
      <w:r>
        <w:rPr>
          <w:spacing w:val="-12"/>
        </w:rPr>
        <w:t>、助浴过程中注意观察残疾人身体情况，如遇残疾人身体不适， </w:t>
      </w:r>
      <w:r>
        <w:rPr/>
        <w:t>协助采取相防护措施。</w:t>
      </w:r>
    </w:p>
    <w:p>
      <w:pPr>
        <w:pStyle w:val="BodyText"/>
        <w:spacing w:line="358" w:lineRule="exact"/>
        <w:ind w:left="799"/>
      </w:pPr>
      <w:r>
        <w:rPr/>
        <w:t>3、上门助浴时根据四季气候状况和残疾人居住条件，注意防寒</w:t>
      </w:r>
    </w:p>
    <w:p>
      <w:pPr>
        <w:spacing w:after="0" w:line="358" w:lineRule="exact"/>
        <w:sectPr>
          <w:pgSz w:w="11910" w:h="16840"/>
          <w:pgMar w:header="0" w:footer="1125" w:top="1140" w:bottom="1320" w:left="1560" w:right="1200"/>
        </w:sectPr>
      </w:pPr>
    </w:p>
    <w:p>
      <w:pPr>
        <w:pStyle w:val="BodyText"/>
        <w:spacing w:before="44"/>
        <w:ind w:left="240"/>
      </w:pPr>
      <w:r>
        <w:rPr/>
        <w:t>保暖、防暑降温及浴室内通风。居家和社区残疾人上门服务员:</w:t>
      </w:r>
    </w:p>
    <w:p>
      <w:pPr>
        <w:pStyle w:val="BodyText"/>
        <w:spacing w:line="364" w:lineRule="auto" w:before="187"/>
        <w:ind w:left="240" w:right="595" w:firstLine="559"/>
      </w:pPr>
      <w:r>
        <w:rPr>
          <w:spacing w:val="-2"/>
        </w:rPr>
        <w:t>①、根据残疾人身体状态确定助浴次数，时间以 </w:t>
      </w:r>
      <w:r>
        <w:rPr/>
        <w:t>15</w:t>
      </w:r>
      <w:r>
        <w:rPr>
          <w:spacing w:val="-10"/>
        </w:rPr>
        <w:t> 分钟</w:t>
      </w:r>
      <w:r>
        <w:rPr/>
        <w:t>~30</w:t>
      </w:r>
      <w:r>
        <w:rPr>
          <w:spacing w:val="-20"/>
        </w:rPr>
        <w:t> 分</w:t>
      </w:r>
      <w:r>
        <w:rPr>
          <w:spacing w:val="-1"/>
        </w:rPr>
        <w:t>钟为宜;</w:t>
      </w:r>
    </w:p>
    <w:p>
      <w:pPr>
        <w:pStyle w:val="BodyText"/>
        <w:spacing w:line="364" w:lineRule="auto"/>
        <w:ind w:left="240" w:right="482" w:firstLine="559"/>
      </w:pPr>
      <w:r>
        <w:rPr>
          <w:spacing w:val="-1"/>
        </w:rPr>
        <w:t>②、水温及室温控制在残疾人身体适、舒服的温度，先面部后躯体，注意观察残疾人身体情况，发现异常及时处理;</w:t>
      </w:r>
    </w:p>
    <w:p>
      <w:pPr>
        <w:pStyle w:val="BodyText"/>
        <w:spacing w:line="358" w:lineRule="exact"/>
        <w:ind w:left="799"/>
      </w:pPr>
      <w:r>
        <w:rPr>
          <w:spacing w:val="-1"/>
        </w:rPr>
        <w:t>③、不空腹或饱餐时沐浴，不突然蹲下或站立;</w:t>
      </w:r>
    </w:p>
    <w:p>
      <w:pPr>
        <w:pStyle w:val="BodyText"/>
        <w:spacing w:line="364" w:lineRule="auto" w:before="184"/>
        <w:ind w:left="240" w:right="333" w:firstLine="559"/>
      </w:pPr>
      <w:r>
        <w:rPr/>
        <w:t>④、沐浴时 取舒适的肢体功能位，沐浴后身上无异味、无污垢， 皮肤干洁;</w:t>
      </w:r>
    </w:p>
    <w:p>
      <w:pPr>
        <w:pStyle w:val="BodyText"/>
        <w:spacing w:line="358" w:lineRule="exact"/>
        <w:ind w:left="799"/>
      </w:pPr>
      <w:r>
        <w:rPr/>
        <w:t>⑤、沐浴过程中有家属或监护人在场。</w:t>
      </w:r>
    </w:p>
    <w:p>
      <w:pPr>
        <w:pStyle w:val="BodyText"/>
        <w:spacing w:line="364" w:lineRule="auto" w:before="186"/>
        <w:ind w:left="240" w:right="575" w:firstLine="559"/>
      </w:pPr>
      <w:r>
        <w:rPr>
          <w:spacing w:val="-12"/>
        </w:rPr>
        <w:t>⑥、外出助浴选择有资质的公共洗浴场所或有公用沐浴设施的残</w:t>
      </w:r>
      <w:r>
        <w:rPr>
          <w:spacing w:val="-1"/>
        </w:rPr>
        <w:t>疾人托养服务机构，与残疾人或家属签订服务协议。居家服务员应:</w:t>
      </w:r>
    </w:p>
    <w:p>
      <w:pPr>
        <w:pStyle w:val="ListParagraph"/>
        <w:numPr>
          <w:ilvl w:val="0"/>
          <w:numId w:val="1"/>
        </w:numPr>
        <w:tabs>
          <w:tab w:pos="1222" w:val="left" w:leader="none"/>
        </w:tabs>
        <w:spacing w:line="364" w:lineRule="auto" w:before="0" w:after="0"/>
        <w:ind w:left="240" w:right="621" w:firstLine="559"/>
        <w:jc w:val="left"/>
        <w:rPr>
          <w:sz w:val="28"/>
        </w:rPr>
      </w:pPr>
      <w:r>
        <w:rPr>
          <w:spacing w:val="-1"/>
          <w:sz w:val="28"/>
        </w:rPr>
        <w:t>、根据残疾人身体情况准备手杖、助行器、轮椅，或其它辅助器具;</w:t>
      </w:r>
    </w:p>
    <w:p>
      <w:pPr>
        <w:pStyle w:val="ListParagraph"/>
        <w:numPr>
          <w:ilvl w:val="0"/>
          <w:numId w:val="1"/>
        </w:numPr>
        <w:tabs>
          <w:tab w:pos="1083" w:val="left" w:leader="none"/>
        </w:tabs>
        <w:spacing w:line="364" w:lineRule="auto" w:before="0" w:after="0"/>
        <w:ind w:left="240" w:right="613" w:firstLine="559"/>
        <w:jc w:val="left"/>
        <w:rPr>
          <w:sz w:val="28"/>
        </w:rPr>
      </w:pPr>
      <w:r>
        <w:rPr>
          <w:spacing w:val="-1"/>
          <w:sz w:val="28"/>
        </w:rPr>
        <w:t>、备齐外出沐浴 需携带的洗发露、沐浴露、毛巾、换洗衣物</w:t>
      </w:r>
      <w:r>
        <w:rPr>
          <w:sz w:val="28"/>
        </w:rPr>
        <w:t>等用品。</w:t>
      </w:r>
    </w:p>
    <w:p>
      <w:pPr>
        <w:spacing w:line="364" w:lineRule="auto" w:before="0"/>
        <w:ind w:left="801" w:right="4972" w:firstLine="0"/>
        <w:jc w:val="left"/>
        <w:rPr>
          <w:b/>
          <w:sz w:val="28"/>
        </w:rPr>
      </w:pPr>
      <w:r>
        <w:rPr>
          <w:b/>
          <w:sz w:val="28"/>
        </w:rPr>
        <w:t>（三）、助洁服务流程标准1、居室保洁</w:t>
      </w:r>
    </w:p>
    <w:p>
      <w:pPr>
        <w:pStyle w:val="BodyText"/>
        <w:spacing w:line="358" w:lineRule="exact"/>
        <w:ind w:left="799"/>
      </w:pPr>
      <w:r>
        <w:rPr/>
        <w:t>居家服务员上门为残疾人提供居室清洁服务，达到标准如下：</w:t>
      </w:r>
    </w:p>
    <w:p>
      <w:pPr>
        <w:pStyle w:val="ListParagraph"/>
        <w:numPr>
          <w:ilvl w:val="0"/>
          <w:numId w:val="2"/>
        </w:numPr>
        <w:tabs>
          <w:tab w:pos="1504" w:val="left" w:leader="none"/>
        </w:tabs>
        <w:spacing w:line="364" w:lineRule="auto" w:before="181" w:after="0"/>
        <w:ind w:left="240" w:right="340" w:firstLine="559"/>
        <w:jc w:val="left"/>
        <w:rPr>
          <w:sz w:val="28"/>
        </w:rPr>
      </w:pPr>
      <w:r>
        <w:rPr>
          <w:spacing w:val="-1"/>
          <w:sz w:val="28"/>
        </w:rPr>
        <w:t>、房间整洁，地面洁净，无水渍、污渍，垃圾桶外观干净， 桶内无垃圾;</w:t>
      </w:r>
    </w:p>
    <w:p>
      <w:pPr>
        <w:pStyle w:val="ListParagraph"/>
        <w:numPr>
          <w:ilvl w:val="0"/>
          <w:numId w:val="2"/>
        </w:numPr>
        <w:tabs>
          <w:tab w:pos="1504" w:val="left" w:leader="none"/>
        </w:tabs>
        <w:spacing w:line="358" w:lineRule="exact" w:before="0" w:after="0"/>
        <w:ind w:left="1503" w:right="0" w:hanging="705"/>
        <w:jc w:val="left"/>
        <w:rPr>
          <w:sz w:val="28"/>
        </w:rPr>
      </w:pPr>
      <w:r>
        <w:rPr>
          <w:spacing w:val="-1"/>
          <w:sz w:val="28"/>
        </w:rPr>
        <w:t>、厨房洁净，抽油烟机外表无油污;</w:t>
      </w:r>
    </w:p>
    <w:p>
      <w:pPr>
        <w:pStyle w:val="ListParagraph"/>
        <w:numPr>
          <w:ilvl w:val="0"/>
          <w:numId w:val="2"/>
        </w:numPr>
        <w:tabs>
          <w:tab w:pos="1504" w:val="left" w:leader="none"/>
        </w:tabs>
        <w:spacing w:line="240" w:lineRule="auto" w:before="186" w:after="0"/>
        <w:ind w:left="1503" w:right="0" w:hanging="705"/>
        <w:jc w:val="left"/>
        <w:rPr>
          <w:sz w:val="28"/>
        </w:rPr>
      </w:pPr>
      <w:r>
        <w:rPr>
          <w:spacing w:val="-1"/>
          <w:sz w:val="28"/>
        </w:rPr>
        <w:t>、卫生间马桶、浴缸、面盆洁净无异味，镜面无水雾;</w:t>
      </w:r>
    </w:p>
    <w:p>
      <w:pPr>
        <w:pStyle w:val="ListParagraph"/>
        <w:numPr>
          <w:ilvl w:val="0"/>
          <w:numId w:val="2"/>
        </w:numPr>
        <w:tabs>
          <w:tab w:pos="1506" w:val="left" w:leader="none"/>
        </w:tabs>
        <w:spacing w:line="364" w:lineRule="auto" w:before="186" w:after="0"/>
        <w:ind w:left="240" w:right="619" w:firstLine="559"/>
        <w:jc w:val="left"/>
        <w:rPr>
          <w:sz w:val="28"/>
        </w:rPr>
      </w:pPr>
      <w:r>
        <w:rPr>
          <w:spacing w:val="-1"/>
          <w:sz w:val="28"/>
        </w:rPr>
        <w:t>、窗面无印痕，洁净光亮，阳台入室台阶、扶手、栏杆无</w:t>
      </w:r>
      <w:r>
        <w:rPr>
          <w:sz w:val="28"/>
        </w:rPr>
        <w:t>灰尘;</w:t>
      </w:r>
    </w:p>
    <w:p>
      <w:pPr>
        <w:pStyle w:val="ListParagraph"/>
        <w:numPr>
          <w:ilvl w:val="0"/>
          <w:numId w:val="2"/>
        </w:numPr>
        <w:tabs>
          <w:tab w:pos="1506" w:val="left" w:leader="none"/>
        </w:tabs>
        <w:spacing w:line="358" w:lineRule="exact" w:before="0" w:after="0"/>
        <w:ind w:left="1505" w:right="0" w:hanging="707"/>
        <w:jc w:val="left"/>
        <w:rPr>
          <w:sz w:val="28"/>
        </w:rPr>
      </w:pPr>
      <w:r>
        <w:rPr>
          <w:sz w:val="28"/>
        </w:rPr>
        <w:t>、注意操作安全，踩梯作业时防止磨损地面、碰损室内的</w:t>
      </w:r>
    </w:p>
    <w:p>
      <w:pPr>
        <w:spacing w:after="0" w:line="358" w:lineRule="exact"/>
        <w:jc w:val="left"/>
        <w:rPr>
          <w:sz w:val="28"/>
        </w:rPr>
        <w:sectPr>
          <w:pgSz w:w="11910" w:h="16840"/>
          <w:pgMar w:header="0" w:footer="1125" w:top="1140" w:bottom="1320" w:left="1560" w:right="1200"/>
        </w:sectPr>
      </w:pPr>
    </w:p>
    <w:p>
      <w:pPr>
        <w:pStyle w:val="BodyText"/>
        <w:spacing w:before="44"/>
        <w:ind w:left="240"/>
      </w:pPr>
      <w:r>
        <w:rPr/>
        <w:t>物品;</w:t>
      </w:r>
    </w:p>
    <w:p>
      <w:pPr>
        <w:pStyle w:val="ListParagraph"/>
        <w:numPr>
          <w:ilvl w:val="0"/>
          <w:numId w:val="2"/>
        </w:numPr>
        <w:tabs>
          <w:tab w:pos="1504" w:val="left" w:leader="none"/>
        </w:tabs>
        <w:spacing w:line="364" w:lineRule="auto" w:before="187" w:after="0"/>
        <w:ind w:left="240" w:right="532" w:firstLine="559"/>
        <w:jc w:val="left"/>
        <w:rPr>
          <w:sz w:val="28"/>
        </w:rPr>
      </w:pPr>
      <w:r>
        <w:rPr>
          <w:spacing w:val="-7"/>
          <w:sz w:val="28"/>
        </w:rPr>
        <w:t>、清洁时 按照由里到外，由上至下的程序完成，完工后重</w:t>
      </w:r>
      <w:r>
        <w:rPr>
          <w:sz w:val="28"/>
        </w:rPr>
        <w:t>新检查一次服务质量，防止疏漏。</w:t>
      </w:r>
    </w:p>
    <w:p>
      <w:pPr>
        <w:spacing w:line="358" w:lineRule="exact" w:before="0"/>
        <w:ind w:left="801" w:right="0" w:firstLine="0"/>
        <w:jc w:val="left"/>
        <w:rPr>
          <w:b/>
          <w:sz w:val="28"/>
        </w:rPr>
      </w:pPr>
      <w:r>
        <w:rPr>
          <w:b/>
          <w:sz w:val="28"/>
        </w:rPr>
        <w:t>2、物品清洁</w:t>
      </w:r>
    </w:p>
    <w:p>
      <w:pPr>
        <w:pStyle w:val="BodyText"/>
        <w:spacing w:before="186"/>
        <w:ind w:left="799"/>
      </w:pPr>
      <w:r>
        <w:rPr/>
        <w:t>居家服务员上门为残疾人提供物具清洁服务，具体标准如下：</w:t>
      </w:r>
    </w:p>
    <w:p>
      <w:pPr>
        <w:pStyle w:val="ListParagraph"/>
        <w:numPr>
          <w:ilvl w:val="0"/>
          <w:numId w:val="3"/>
        </w:numPr>
        <w:tabs>
          <w:tab w:pos="1506" w:val="left" w:leader="none"/>
        </w:tabs>
        <w:spacing w:line="364" w:lineRule="auto" w:before="186" w:after="0"/>
        <w:ind w:left="240" w:right="619" w:firstLine="559"/>
        <w:jc w:val="left"/>
        <w:rPr>
          <w:sz w:val="28"/>
        </w:rPr>
      </w:pPr>
      <w:r>
        <w:rPr>
          <w:spacing w:val="-1"/>
          <w:sz w:val="28"/>
        </w:rPr>
        <w:t>、整理被褥、枕头、床单等床上用品，按季节及时更换被褥且翻晒;</w:t>
      </w:r>
    </w:p>
    <w:p>
      <w:pPr>
        <w:pStyle w:val="ListParagraph"/>
        <w:numPr>
          <w:ilvl w:val="0"/>
          <w:numId w:val="3"/>
        </w:numPr>
        <w:tabs>
          <w:tab w:pos="1506" w:val="left" w:leader="none"/>
        </w:tabs>
        <w:spacing w:line="364" w:lineRule="auto" w:before="0" w:after="0"/>
        <w:ind w:left="240" w:right="619" w:firstLine="559"/>
        <w:jc w:val="left"/>
        <w:rPr>
          <w:sz w:val="28"/>
        </w:rPr>
      </w:pPr>
      <w:r>
        <w:rPr>
          <w:spacing w:val="-1"/>
          <w:sz w:val="28"/>
        </w:rPr>
        <w:t>、家具表面无尘，居室物品洁净、摆放有序，沙发巾、靠枕、摆放整齐;</w:t>
      </w:r>
    </w:p>
    <w:p>
      <w:pPr>
        <w:pStyle w:val="ListParagraph"/>
        <w:numPr>
          <w:ilvl w:val="0"/>
          <w:numId w:val="3"/>
        </w:numPr>
        <w:tabs>
          <w:tab w:pos="1506" w:val="left" w:leader="none"/>
        </w:tabs>
        <w:spacing w:line="364" w:lineRule="auto" w:before="0" w:after="0"/>
        <w:ind w:left="240" w:right="619" w:firstLine="559"/>
        <w:jc w:val="left"/>
        <w:rPr>
          <w:sz w:val="28"/>
        </w:rPr>
      </w:pPr>
      <w:r>
        <w:rPr>
          <w:spacing w:val="-1"/>
          <w:sz w:val="28"/>
        </w:rPr>
        <w:t>、清洁需移动物品时，征得残疾人或家属同意后方移动， 清洁完后第一时间将物品复原位;</w:t>
      </w:r>
    </w:p>
    <w:p>
      <w:pPr>
        <w:pStyle w:val="ListParagraph"/>
        <w:numPr>
          <w:ilvl w:val="0"/>
          <w:numId w:val="3"/>
        </w:numPr>
        <w:tabs>
          <w:tab w:pos="1504" w:val="left" w:leader="none"/>
        </w:tabs>
        <w:spacing w:line="364" w:lineRule="auto" w:before="0" w:after="0"/>
        <w:ind w:left="801" w:right="2454" w:hanging="3"/>
        <w:jc w:val="left"/>
        <w:rPr>
          <w:b/>
          <w:sz w:val="28"/>
        </w:rPr>
      </w:pPr>
      <w:r>
        <w:rPr>
          <w:spacing w:val="-1"/>
          <w:sz w:val="28"/>
        </w:rPr>
        <w:t>、清洁用具及时清洗、 消毒，保持清洁。</w:t>
      </w:r>
      <w:r>
        <w:rPr>
          <w:b/>
          <w:sz w:val="28"/>
        </w:rPr>
        <w:t>3、上门洗涤服务</w:t>
      </w:r>
    </w:p>
    <w:p>
      <w:pPr>
        <w:pStyle w:val="BodyText"/>
        <w:spacing w:line="358" w:lineRule="exact"/>
        <w:ind w:left="799"/>
      </w:pPr>
      <w:r>
        <w:rPr/>
        <w:t>（1）、上门清洗</w:t>
      </w:r>
    </w:p>
    <w:p>
      <w:pPr>
        <w:pStyle w:val="BodyText"/>
        <w:spacing w:before="181"/>
        <w:ind w:left="799"/>
      </w:pPr>
      <w:r>
        <w:rPr/>
        <w:t>由居家服务员上门为残疾人清洗衣物，具体要求如下：</w:t>
      </w:r>
    </w:p>
    <w:p>
      <w:pPr>
        <w:pStyle w:val="BodyText"/>
        <w:spacing w:before="186"/>
        <w:ind w:left="799"/>
      </w:pPr>
      <w:r>
        <w:rPr/>
        <w:t>①、被褥清洗及时;</w:t>
      </w:r>
    </w:p>
    <w:p>
      <w:pPr>
        <w:pStyle w:val="BodyText"/>
        <w:spacing w:before="186"/>
        <w:ind w:left="799"/>
      </w:pPr>
      <w:r>
        <w:rPr/>
        <w:t>②、分类收集衣物、被褥、尿布，污、洁衣物分开放置;</w:t>
      </w:r>
    </w:p>
    <w:p>
      <w:pPr>
        <w:pStyle w:val="BodyText"/>
        <w:spacing w:before="186"/>
        <w:ind w:left="799"/>
      </w:pPr>
      <w:r>
        <w:rPr>
          <w:spacing w:val="-18"/>
        </w:rPr>
        <w:t>③、洗涤时根据衣物的质地和颜色分类洗涤，并做到洗净、晾晒;</w:t>
      </w:r>
    </w:p>
    <w:p>
      <w:pPr>
        <w:pStyle w:val="BodyText"/>
        <w:spacing w:before="186"/>
        <w:ind w:left="799"/>
      </w:pPr>
      <w:r>
        <w:rPr/>
        <w:t>④、告知残疾 人或家属贵重衣物或不能水洗的衣物不在洗涤范</w:t>
      </w:r>
    </w:p>
    <w:p>
      <w:pPr>
        <w:pStyle w:val="BodyText"/>
        <w:spacing w:before="9"/>
        <w:rPr>
          <w:sz w:val="9"/>
        </w:rPr>
      </w:pPr>
    </w:p>
    <w:p>
      <w:pPr>
        <w:pStyle w:val="BodyText"/>
        <w:spacing w:before="62"/>
        <w:ind w:left="240"/>
      </w:pPr>
      <w:r>
        <w:rPr/>
        <w:t>围;</w:t>
      </w:r>
    </w:p>
    <w:p>
      <w:pPr>
        <w:pStyle w:val="BodyText"/>
        <w:spacing w:before="186"/>
        <w:ind w:left="799"/>
      </w:pPr>
      <w:r>
        <w:rPr/>
        <w:t>⑤、疑似传染性衣物先消毒后清洗，消毒液浓度及消毒方式、浸</w:t>
      </w:r>
    </w:p>
    <w:p>
      <w:pPr>
        <w:pStyle w:val="BodyText"/>
        <w:spacing w:before="9"/>
        <w:rPr>
          <w:sz w:val="9"/>
        </w:rPr>
      </w:pPr>
    </w:p>
    <w:p>
      <w:pPr>
        <w:pStyle w:val="BodyText"/>
        <w:spacing w:before="62"/>
        <w:ind w:left="240"/>
      </w:pPr>
      <w:r>
        <w:rPr/>
        <w:t>泡时间符合消毒隔离要求。</w:t>
      </w:r>
    </w:p>
    <w:p>
      <w:pPr>
        <w:spacing w:before="186"/>
        <w:ind w:left="801" w:right="0" w:firstLine="0"/>
        <w:jc w:val="left"/>
        <w:rPr>
          <w:b/>
          <w:sz w:val="28"/>
        </w:rPr>
      </w:pPr>
      <w:r>
        <w:rPr>
          <w:b/>
          <w:sz w:val="28"/>
        </w:rPr>
        <w:t>（四）、助急服务流程标准</w:t>
      </w:r>
    </w:p>
    <w:p>
      <w:pPr>
        <w:pStyle w:val="BodyText"/>
        <w:spacing w:before="186"/>
        <w:ind w:left="799"/>
      </w:pPr>
      <w:r>
        <w:rPr/>
        <w:t>残疾人出现紧急情况时的紧急救助，应：</w:t>
      </w:r>
    </w:p>
    <w:p>
      <w:pPr>
        <w:pStyle w:val="BodyText"/>
        <w:spacing w:before="186"/>
        <w:ind w:left="799"/>
      </w:pPr>
      <w:r>
        <w:rPr/>
        <w:t>1、在为残疾人服务过程中，并且服务员在场情况下，出现危及</w:t>
      </w:r>
    </w:p>
    <w:p>
      <w:pPr>
        <w:spacing w:after="0"/>
        <w:sectPr>
          <w:pgSz w:w="11910" w:h="16840"/>
          <w:pgMar w:header="0" w:footer="1125" w:top="1140" w:bottom="1320" w:left="1560" w:right="1200"/>
        </w:sectPr>
      </w:pPr>
    </w:p>
    <w:p>
      <w:pPr>
        <w:pStyle w:val="BodyText"/>
        <w:spacing w:line="364" w:lineRule="auto" w:before="44"/>
        <w:ind w:left="240" w:right="567"/>
        <w:jc w:val="both"/>
      </w:pPr>
      <w:r>
        <w:rPr>
          <w:spacing w:val="-6"/>
        </w:rPr>
        <w:t>残疾人生命(跌倒、噎呛、烫伤、呼吸困难、疼痛)等紧急情况，联系</w:t>
      </w:r>
      <w:r>
        <w:rPr>
          <w:spacing w:val="-1"/>
        </w:rPr>
        <w:t>家属并立即拨打公共救助服务热线</w:t>
      </w:r>
      <w:r>
        <w:rPr/>
        <w:t>(110</w:t>
      </w:r>
      <w:r>
        <w:rPr>
          <w:spacing w:val="-1"/>
        </w:rPr>
        <w:t>、 </w:t>
      </w:r>
      <w:r>
        <w:rPr/>
        <w:t>120</w:t>
      </w:r>
      <w:r>
        <w:rPr>
          <w:spacing w:val="-1"/>
        </w:rPr>
        <w:t>、 </w:t>
      </w:r>
      <w:r>
        <w:rPr/>
        <w:t>119</w:t>
      </w:r>
      <w:r>
        <w:rPr>
          <w:spacing w:val="-18"/>
        </w:rPr>
        <w:t> 等)；</w:t>
      </w:r>
    </w:p>
    <w:p>
      <w:pPr>
        <w:pStyle w:val="BodyText"/>
        <w:spacing w:line="364" w:lineRule="auto"/>
        <w:ind w:left="240" w:right="547" w:firstLine="559"/>
        <w:jc w:val="both"/>
      </w:pPr>
      <w:r>
        <w:rPr/>
        <w:t>2、呼叫器、求助门铃、远红外感器等安全防护器材符合国家规</w:t>
      </w:r>
      <w:r>
        <w:rPr>
          <w:spacing w:val="-9"/>
        </w:rPr>
        <w:t>定，质量完好，其功能符合残疾人的特点和需求，并由设备提供方或</w:t>
      </w:r>
      <w:r>
        <w:rPr/>
        <w:t>服务提供方承担相责任。</w:t>
      </w:r>
    </w:p>
    <w:p>
      <w:pPr>
        <w:spacing w:line="357" w:lineRule="exact" w:before="0"/>
        <w:ind w:left="801" w:right="0" w:firstLine="0"/>
        <w:jc w:val="left"/>
        <w:rPr>
          <w:b/>
          <w:sz w:val="28"/>
        </w:rPr>
      </w:pPr>
      <w:r>
        <w:rPr>
          <w:b/>
          <w:w w:val="95"/>
          <w:sz w:val="28"/>
        </w:rPr>
        <w:t>（五）、助行服务流程标准</w:t>
      </w:r>
    </w:p>
    <w:p>
      <w:pPr>
        <w:pStyle w:val="BodyText"/>
        <w:spacing w:line="364" w:lineRule="auto" w:before="185"/>
        <w:ind w:left="240" w:right="585" w:firstLine="559"/>
        <w:jc w:val="both"/>
      </w:pPr>
      <w:r>
        <w:rPr>
          <w:spacing w:val="-10"/>
        </w:rPr>
        <w:t>包括陪同散步和陪同外出。陪同散步由居家和社区残疾人托养服</w:t>
      </w:r>
      <w:r>
        <w:rPr>
          <w:spacing w:val="-7"/>
        </w:rPr>
        <w:t>务员陪同残疾人在住宅附近周边区域户外散步。陪同外出由居家服务</w:t>
      </w:r>
      <w:r>
        <w:rPr>
          <w:spacing w:val="-1"/>
        </w:rPr>
        <w:t>员陪同残疾人就近购物、探访等:</w:t>
      </w:r>
    </w:p>
    <w:p>
      <w:pPr>
        <w:pStyle w:val="BodyText"/>
        <w:spacing w:line="364" w:lineRule="auto"/>
        <w:ind w:left="240" w:right="621" w:firstLine="559"/>
      </w:pPr>
      <w:r>
        <w:rPr/>
        <w:t>1、根据残疾人身体情况准备手杖、助行器、轮椅，或其它辅助器具;</w:t>
      </w:r>
    </w:p>
    <w:p>
      <w:pPr>
        <w:pStyle w:val="BodyText"/>
        <w:spacing w:line="355" w:lineRule="exact"/>
        <w:ind w:left="799"/>
      </w:pPr>
      <w:r>
        <w:rPr/>
        <w:t>2、服务员掌握助行器、轮椅及其它辅助器具的正确使用方法;</w:t>
      </w:r>
    </w:p>
    <w:p>
      <w:pPr>
        <w:pStyle w:val="BodyText"/>
        <w:spacing w:before="185"/>
        <w:ind w:left="799"/>
      </w:pPr>
      <w:r>
        <w:rPr/>
        <w:t>3、告知外出时的注意事项，取得残疾人的理解和配合;</w:t>
      </w:r>
    </w:p>
    <w:p>
      <w:pPr>
        <w:pStyle w:val="BodyText"/>
        <w:spacing w:before="186"/>
        <w:ind w:left="799"/>
      </w:pPr>
      <w:r>
        <w:rPr/>
        <w:t>4、助行过程中注 意观察残疾人身体情况，发现异常情况及时处</w:t>
      </w:r>
    </w:p>
    <w:p>
      <w:pPr>
        <w:pStyle w:val="BodyText"/>
        <w:spacing w:before="10"/>
        <w:rPr>
          <w:sz w:val="9"/>
        </w:rPr>
      </w:pPr>
    </w:p>
    <w:p>
      <w:pPr>
        <w:pStyle w:val="BodyText"/>
        <w:spacing w:before="61"/>
        <w:ind w:left="240"/>
      </w:pPr>
      <w:r>
        <w:rPr/>
        <w:t>理;</w:t>
      </w:r>
    </w:p>
    <w:p>
      <w:pPr>
        <w:pStyle w:val="BodyText"/>
        <w:spacing w:before="186"/>
        <w:ind w:left="799"/>
      </w:pPr>
      <w:r>
        <w:rPr/>
        <w:t>5、服务过程中注意保护残疾人安全。</w:t>
      </w:r>
    </w:p>
    <w:p>
      <w:pPr>
        <w:spacing w:line="364" w:lineRule="auto" w:before="186"/>
        <w:ind w:left="801" w:right="4972" w:firstLine="0"/>
        <w:jc w:val="left"/>
        <w:rPr>
          <w:b/>
          <w:sz w:val="28"/>
        </w:rPr>
      </w:pPr>
      <w:r>
        <w:rPr>
          <w:b/>
          <w:sz w:val="28"/>
        </w:rPr>
        <w:t>（六）、助医服务流程标准1、陪同就诊</w:t>
      </w:r>
    </w:p>
    <w:p>
      <w:pPr>
        <w:pStyle w:val="BodyText"/>
        <w:spacing w:line="358" w:lineRule="exact"/>
        <w:ind w:left="799"/>
      </w:pPr>
      <w:r>
        <w:rPr/>
        <w:t>陪同残疾人到医院取预约号、诊疗、取药、缴费等。居家服务员</w:t>
      </w:r>
    </w:p>
    <w:p>
      <w:pPr>
        <w:pStyle w:val="BodyText"/>
        <w:spacing w:before="187"/>
        <w:ind w:left="240"/>
      </w:pPr>
      <w:r>
        <w:rPr/>
        <w:t>应:</w:t>
      </w:r>
    </w:p>
    <w:p>
      <w:pPr>
        <w:pStyle w:val="ListParagraph"/>
        <w:numPr>
          <w:ilvl w:val="0"/>
          <w:numId w:val="4"/>
        </w:numPr>
        <w:tabs>
          <w:tab w:pos="1506" w:val="left" w:leader="none"/>
        </w:tabs>
        <w:spacing w:line="240" w:lineRule="auto" w:before="186" w:after="0"/>
        <w:ind w:left="1505" w:right="0" w:hanging="707"/>
        <w:jc w:val="left"/>
        <w:rPr>
          <w:sz w:val="28"/>
        </w:rPr>
      </w:pPr>
      <w:r>
        <w:rPr>
          <w:sz w:val="28"/>
        </w:rPr>
        <w:t>、残疾人就诊前，需电话告知家属或由残疾人签字确认，</w:t>
      </w:r>
    </w:p>
    <w:p>
      <w:pPr>
        <w:pStyle w:val="BodyText"/>
        <w:spacing w:before="9"/>
        <w:rPr>
          <w:sz w:val="9"/>
        </w:rPr>
      </w:pPr>
    </w:p>
    <w:p>
      <w:pPr>
        <w:pStyle w:val="BodyText"/>
        <w:spacing w:before="62"/>
        <w:ind w:left="240"/>
      </w:pPr>
      <w:r>
        <w:rPr/>
        <w:t>原则上两人陪同就诊;</w:t>
      </w:r>
    </w:p>
    <w:p>
      <w:pPr>
        <w:pStyle w:val="ListParagraph"/>
        <w:numPr>
          <w:ilvl w:val="0"/>
          <w:numId w:val="4"/>
        </w:numPr>
        <w:tabs>
          <w:tab w:pos="1504" w:val="left" w:leader="none"/>
        </w:tabs>
        <w:spacing w:line="240" w:lineRule="auto" w:before="186" w:after="0"/>
        <w:ind w:left="1503" w:right="0" w:hanging="705"/>
        <w:jc w:val="left"/>
        <w:rPr>
          <w:sz w:val="28"/>
        </w:rPr>
      </w:pPr>
      <w:r>
        <w:rPr>
          <w:spacing w:val="-2"/>
          <w:sz w:val="28"/>
        </w:rPr>
        <w:t>、选择 合适的交通工具陪同残疾人就诊;</w:t>
      </w:r>
    </w:p>
    <w:p>
      <w:pPr>
        <w:pStyle w:val="ListParagraph"/>
        <w:numPr>
          <w:ilvl w:val="0"/>
          <w:numId w:val="4"/>
        </w:numPr>
        <w:tabs>
          <w:tab w:pos="1506" w:val="left" w:leader="none"/>
        </w:tabs>
        <w:spacing w:line="364" w:lineRule="auto" w:before="186" w:after="0"/>
        <w:ind w:left="240" w:right="619" w:firstLine="559"/>
        <w:jc w:val="left"/>
        <w:rPr>
          <w:sz w:val="28"/>
        </w:rPr>
      </w:pPr>
      <w:r>
        <w:rPr>
          <w:spacing w:val="-1"/>
          <w:sz w:val="28"/>
        </w:rPr>
        <w:t>、就诊时携带病历、就诊卡，在医疗机构挂号窗口取号， 协助检查，就诊后根据医生的医嘱划价、取药，给予用药指导等;</w:t>
      </w:r>
    </w:p>
    <w:p>
      <w:pPr>
        <w:spacing w:after="0" w:line="364" w:lineRule="auto"/>
        <w:jc w:val="left"/>
        <w:rPr>
          <w:sz w:val="28"/>
        </w:rPr>
        <w:sectPr>
          <w:pgSz w:w="11910" w:h="16840"/>
          <w:pgMar w:header="0" w:footer="1125" w:top="1140" w:bottom="1320" w:left="1560" w:right="1200"/>
        </w:sectPr>
      </w:pPr>
    </w:p>
    <w:p>
      <w:pPr>
        <w:pStyle w:val="ListParagraph"/>
        <w:numPr>
          <w:ilvl w:val="0"/>
          <w:numId w:val="4"/>
        </w:numPr>
        <w:tabs>
          <w:tab w:pos="1504" w:val="left" w:leader="none"/>
        </w:tabs>
        <w:spacing w:line="240" w:lineRule="auto" w:before="44" w:after="0"/>
        <w:ind w:left="1503" w:right="0" w:hanging="705"/>
        <w:jc w:val="left"/>
        <w:rPr>
          <w:sz w:val="28"/>
        </w:rPr>
      </w:pPr>
      <w:r>
        <w:rPr>
          <w:spacing w:val="-1"/>
          <w:sz w:val="28"/>
        </w:rPr>
        <w:t>、钱物、票据、药品当面清点，做到票据、药物相符;</w:t>
      </w:r>
    </w:p>
    <w:p>
      <w:pPr>
        <w:pStyle w:val="ListParagraph"/>
        <w:numPr>
          <w:ilvl w:val="0"/>
          <w:numId w:val="4"/>
        </w:numPr>
        <w:tabs>
          <w:tab w:pos="1506" w:val="left" w:leader="none"/>
        </w:tabs>
        <w:spacing w:line="364" w:lineRule="auto" w:before="187" w:after="0"/>
        <w:ind w:left="240" w:right="619" w:firstLine="559"/>
        <w:jc w:val="left"/>
        <w:rPr>
          <w:sz w:val="28"/>
        </w:rPr>
      </w:pPr>
      <w:r>
        <w:rPr>
          <w:spacing w:val="-1"/>
          <w:sz w:val="28"/>
        </w:rPr>
        <w:t>、注意残疾人安全，保护残疾人隐私，并通过交流缓解就医不良情绪;</w:t>
      </w:r>
    </w:p>
    <w:p>
      <w:pPr>
        <w:pStyle w:val="ListParagraph"/>
        <w:numPr>
          <w:ilvl w:val="0"/>
          <w:numId w:val="4"/>
        </w:numPr>
        <w:tabs>
          <w:tab w:pos="1504" w:val="left" w:leader="none"/>
        </w:tabs>
        <w:spacing w:line="364" w:lineRule="auto" w:before="0" w:after="0"/>
        <w:ind w:left="801" w:right="1463" w:hanging="3"/>
        <w:jc w:val="left"/>
        <w:rPr>
          <w:b/>
          <w:sz w:val="28"/>
        </w:rPr>
      </w:pPr>
      <w:r>
        <w:rPr>
          <w:spacing w:val="-1"/>
          <w:sz w:val="28"/>
        </w:rPr>
        <w:t>、及时向残疾人家属或其它监护人反馈就诊情况。</w:t>
      </w:r>
      <w:r>
        <w:rPr>
          <w:b/>
          <w:sz w:val="28"/>
        </w:rPr>
        <w:t>2、代购(取)药</w:t>
      </w:r>
    </w:p>
    <w:p>
      <w:pPr>
        <w:pStyle w:val="BodyText"/>
        <w:spacing w:line="358" w:lineRule="exact"/>
        <w:ind w:left="799"/>
      </w:pPr>
      <w:r>
        <w:rPr/>
        <w:t>到医疗机构或药房为残疾人代购(取)药，居家服务员应:</w:t>
      </w:r>
    </w:p>
    <w:p>
      <w:pPr>
        <w:pStyle w:val="ListParagraph"/>
        <w:numPr>
          <w:ilvl w:val="0"/>
          <w:numId w:val="5"/>
        </w:numPr>
        <w:tabs>
          <w:tab w:pos="1506" w:val="left" w:leader="none"/>
        </w:tabs>
        <w:spacing w:line="364" w:lineRule="auto" w:before="184" w:after="0"/>
        <w:ind w:left="240" w:right="619" w:firstLine="559"/>
        <w:jc w:val="left"/>
        <w:rPr>
          <w:sz w:val="28"/>
        </w:rPr>
      </w:pPr>
      <w:r>
        <w:rPr>
          <w:spacing w:val="-1"/>
          <w:sz w:val="28"/>
        </w:rPr>
        <w:t>、仅限于临床医师诊断明确、病情稳定、治疗方案确定的门诊慢性病;</w:t>
      </w:r>
    </w:p>
    <w:p>
      <w:pPr>
        <w:pStyle w:val="ListParagraph"/>
        <w:numPr>
          <w:ilvl w:val="0"/>
          <w:numId w:val="5"/>
        </w:numPr>
        <w:tabs>
          <w:tab w:pos="1504" w:val="left" w:leader="none"/>
        </w:tabs>
        <w:spacing w:line="358" w:lineRule="exact" w:before="0" w:after="0"/>
        <w:ind w:left="1503" w:right="0" w:hanging="705"/>
        <w:jc w:val="left"/>
        <w:rPr>
          <w:sz w:val="28"/>
        </w:rPr>
      </w:pPr>
      <w:r>
        <w:rPr>
          <w:spacing w:val="-1"/>
          <w:sz w:val="28"/>
        </w:rPr>
        <w:t>、由残疾人或家属写明代配药的药名及剂量，并签字;</w:t>
      </w:r>
    </w:p>
    <w:p>
      <w:pPr>
        <w:pStyle w:val="ListParagraph"/>
        <w:numPr>
          <w:ilvl w:val="0"/>
          <w:numId w:val="5"/>
        </w:numPr>
        <w:tabs>
          <w:tab w:pos="1504" w:val="left" w:leader="none"/>
        </w:tabs>
        <w:spacing w:line="240" w:lineRule="auto" w:before="186" w:after="0"/>
        <w:ind w:left="1503" w:right="0" w:hanging="705"/>
        <w:jc w:val="left"/>
        <w:rPr>
          <w:sz w:val="28"/>
        </w:rPr>
      </w:pPr>
      <w:r>
        <w:rPr>
          <w:spacing w:val="-6"/>
          <w:sz w:val="28"/>
        </w:rPr>
        <w:t>、在代配药定 点医疗机构挂号、配药，根据医嘱划价、取</w:t>
      </w:r>
    </w:p>
    <w:p>
      <w:pPr>
        <w:pStyle w:val="BodyText"/>
        <w:spacing w:before="10"/>
        <w:rPr>
          <w:sz w:val="9"/>
        </w:rPr>
      </w:pPr>
    </w:p>
    <w:p>
      <w:pPr>
        <w:pStyle w:val="BodyText"/>
        <w:spacing w:before="61"/>
        <w:ind w:left="240"/>
      </w:pPr>
      <w:r>
        <w:rPr/>
        <w:t>药;</w:t>
      </w:r>
    </w:p>
    <w:p>
      <w:pPr>
        <w:pStyle w:val="ListParagraph"/>
        <w:numPr>
          <w:ilvl w:val="0"/>
          <w:numId w:val="5"/>
        </w:numPr>
        <w:tabs>
          <w:tab w:pos="1504" w:val="left" w:leader="none"/>
        </w:tabs>
        <w:spacing w:line="240" w:lineRule="auto" w:before="184" w:after="0"/>
        <w:ind w:left="1503" w:right="0" w:hanging="705"/>
        <w:jc w:val="left"/>
        <w:rPr>
          <w:sz w:val="28"/>
        </w:rPr>
      </w:pPr>
      <w:r>
        <w:rPr>
          <w:sz w:val="28"/>
        </w:rPr>
        <w:t>、钱物、票据、药品当面清点，做到票据、药物相符。</w:t>
      </w:r>
    </w:p>
    <w:p>
      <w:pPr>
        <w:pStyle w:val="ListParagraph"/>
        <w:numPr>
          <w:ilvl w:val="0"/>
          <w:numId w:val="5"/>
        </w:numPr>
        <w:tabs>
          <w:tab w:pos="1504" w:val="left" w:leader="none"/>
        </w:tabs>
        <w:spacing w:line="240" w:lineRule="auto" w:before="186" w:after="0"/>
        <w:ind w:left="1503" w:right="0" w:hanging="705"/>
        <w:jc w:val="left"/>
        <w:rPr>
          <w:sz w:val="28"/>
        </w:rPr>
      </w:pPr>
      <w:r>
        <w:rPr>
          <w:sz w:val="28"/>
        </w:rPr>
        <w:t>、保护残疾人隐私。</w:t>
      </w:r>
    </w:p>
    <w:p>
      <w:pPr>
        <w:spacing w:after="0" w:line="240" w:lineRule="auto"/>
        <w:jc w:val="left"/>
        <w:rPr>
          <w:sz w:val="28"/>
        </w:rPr>
        <w:sectPr>
          <w:pgSz w:w="11910" w:h="16840"/>
          <w:pgMar w:header="0" w:footer="1125" w:top="1140" w:bottom="1320" w:left="1560" w:right="1200"/>
        </w:sectPr>
      </w:pPr>
    </w:p>
    <w:p>
      <w:pPr>
        <w:pStyle w:val="Heading1"/>
        <w:tabs>
          <w:tab w:pos="2006" w:val="left" w:leader="none"/>
        </w:tabs>
      </w:pPr>
      <w:bookmarkStart w:name="_TOC_250008" w:id="4"/>
      <w:bookmarkEnd w:id="4"/>
      <w:r>
        <w:rPr/>
        <w:t>第二章</w:t>
        <w:tab/>
        <w:t>优惠承诺</w:t>
      </w:r>
    </w:p>
    <w:p>
      <w:pPr>
        <w:pStyle w:val="BodyText"/>
        <w:spacing w:before="3"/>
        <w:rPr>
          <w:b/>
          <w:sz w:val="49"/>
        </w:rPr>
      </w:pPr>
    </w:p>
    <w:p>
      <w:pPr>
        <w:pStyle w:val="Heading2"/>
      </w:pPr>
      <w:bookmarkStart w:name="_TOC_250007" w:id="5"/>
      <w:bookmarkEnd w:id="5"/>
      <w:r>
        <w:rPr/>
        <w:t>一、爱心理发服务承诺</w:t>
      </w:r>
    </w:p>
    <w:p>
      <w:pPr>
        <w:pStyle w:val="BodyText"/>
        <w:spacing w:before="5"/>
        <w:rPr>
          <w:rFonts w:ascii="幼圆"/>
          <w:b/>
          <w:sz w:val="31"/>
        </w:rPr>
      </w:pPr>
    </w:p>
    <w:p>
      <w:pPr>
        <w:pStyle w:val="BodyText"/>
        <w:ind w:left="799"/>
      </w:pPr>
      <w:r>
        <w:rPr/>
        <w:t>1、享受对象：60 周岁及以上的残疾人；</w:t>
      </w:r>
    </w:p>
    <w:p>
      <w:pPr>
        <w:pStyle w:val="BodyText"/>
        <w:spacing w:before="186"/>
        <w:ind w:left="799"/>
      </w:pPr>
      <w:r>
        <w:rPr/>
        <w:t>2、承诺内容：免费理发；</w:t>
      </w:r>
    </w:p>
    <w:p>
      <w:pPr>
        <w:pStyle w:val="BodyText"/>
        <w:spacing w:line="364" w:lineRule="auto" w:before="186"/>
        <w:ind w:left="240" w:right="621" w:firstLine="559"/>
        <w:jc w:val="both"/>
      </w:pPr>
      <w:r>
        <w:rPr/>
        <w:t>3</w:t>
      </w:r>
      <w:r>
        <w:rPr>
          <w:spacing w:val="-1"/>
        </w:rPr>
        <w:t>、具体服务：根据服务区域的划分，由项目实施方每月安排专门的理发人员到社区集中服务点进行爱心理发，</w:t>
      </w:r>
      <w:r>
        <w:rPr>
          <w:spacing w:val="-6"/>
        </w:rPr>
        <w:t>60</w:t>
      </w:r>
      <w:r>
        <w:rPr>
          <w:spacing w:val="-9"/>
        </w:rPr>
        <w:t> 周岁及以上的残疾人凭身份证到场享受。</w:t>
      </w:r>
    </w:p>
    <w:p>
      <w:pPr>
        <w:spacing w:line="358" w:lineRule="exact" w:before="0"/>
        <w:ind w:left="801" w:right="0" w:firstLine="0"/>
        <w:jc w:val="left"/>
        <w:rPr>
          <w:b/>
          <w:sz w:val="28"/>
        </w:rPr>
      </w:pPr>
      <w:bookmarkStart w:name="_TOC_250006" w:id="6"/>
      <w:bookmarkEnd w:id="6"/>
      <w:r>
        <w:rPr>
          <w:b/>
          <w:w w:val="95"/>
          <w:sz w:val="28"/>
        </w:rPr>
        <w:t>二、爱心志愿者服务</w:t>
      </w:r>
    </w:p>
    <w:p>
      <w:pPr>
        <w:pStyle w:val="BodyText"/>
        <w:spacing w:before="186"/>
        <w:ind w:left="799"/>
      </w:pPr>
      <w:r>
        <w:rPr/>
        <w:t>1、享受对象：享受残疾人居家上门服务的残疾人；</w:t>
      </w:r>
    </w:p>
    <w:p>
      <w:pPr>
        <w:pStyle w:val="BodyText"/>
        <w:spacing w:before="186"/>
        <w:ind w:left="799"/>
      </w:pPr>
      <w:r>
        <w:rPr/>
        <w:t>2、承诺内容：免费享受；</w:t>
      </w:r>
    </w:p>
    <w:p>
      <w:pPr>
        <w:pStyle w:val="BodyText"/>
        <w:spacing w:line="364" w:lineRule="auto" w:before="186"/>
        <w:ind w:left="240" w:right="479" w:firstLine="559"/>
      </w:pPr>
      <w:r>
        <w:rPr/>
        <w:t>3、具体服务：在各类节日由项目实施方组织志愿者队伍到服务区域的社区为服务对象提供爱心缝补、修补鞋伞、磨剪刀、修日常家电、管道疏通、空调清洗等；</w:t>
      </w:r>
    </w:p>
    <w:p>
      <w:pPr>
        <w:spacing w:line="358" w:lineRule="exact" w:before="0"/>
        <w:ind w:left="801" w:right="0" w:firstLine="0"/>
        <w:jc w:val="left"/>
        <w:rPr>
          <w:b/>
          <w:sz w:val="28"/>
        </w:rPr>
      </w:pPr>
      <w:bookmarkStart w:name="_TOC_250005" w:id="7"/>
      <w:bookmarkEnd w:id="7"/>
      <w:r>
        <w:rPr>
          <w:b/>
          <w:sz w:val="28"/>
        </w:rPr>
        <w:t>三、健康筛查</w:t>
      </w:r>
    </w:p>
    <w:p>
      <w:pPr>
        <w:pStyle w:val="BodyText"/>
        <w:spacing w:before="186"/>
        <w:ind w:left="799"/>
      </w:pPr>
      <w:r>
        <w:rPr/>
        <w:t>1、享受对象：享受残疾人居家上门服务的残疾人；</w:t>
      </w:r>
    </w:p>
    <w:p>
      <w:pPr>
        <w:pStyle w:val="BodyText"/>
        <w:spacing w:before="186"/>
        <w:ind w:left="799"/>
      </w:pPr>
      <w:r>
        <w:rPr/>
        <w:t>2、承诺内容：免费参加；</w:t>
      </w:r>
    </w:p>
    <w:p>
      <w:pPr>
        <w:pStyle w:val="BodyText"/>
        <w:spacing w:line="364" w:lineRule="auto" w:before="186"/>
        <w:ind w:left="240" w:right="621" w:firstLine="559"/>
      </w:pPr>
      <w:r>
        <w:rPr/>
        <w:t>3、具体服务：由项目实施方调动各类医疗、康复机构等资源， 定期到服务区域的社区为服务对象提供健康筛查，包括免费测量血压、血氧、血糖、视力筛查、听力筛查、口腔保健等服务；</w:t>
      </w:r>
    </w:p>
    <w:p>
      <w:pPr>
        <w:spacing w:line="358" w:lineRule="exact" w:before="0"/>
        <w:ind w:left="801" w:right="0" w:firstLine="0"/>
        <w:jc w:val="left"/>
        <w:rPr>
          <w:b/>
          <w:sz w:val="28"/>
        </w:rPr>
      </w:pPr>
      <w:bookmarkStart w:name="_TOC_250004" w:id="8"/>
      <w:bookmarkEnd w:id="8"/>
      <w:r>
        <w:rPr>
          <w:b/>
          <w:sz w:val="28"/>
        </w:rPr>
        <w:t>四、免费用餐</w:t>
      </w:r>
    </w:p>
    <w:p>
      <w:pPr>
        <w:pStyle w:val="BodyText"/>
        <w:spacing w:line="364" w:lineRule="auto" w:before="186"/>
        <w:ind w:left="240" w:right="501" w:firstLine="559"/>
      </w:pPr>
      <w:r>
        <w:rPr/>
        <w:t>1、享受对象：90 周岁及以上的残疾人（含不在服务范围内的残疾人）；</w:t>
      </w:r>
    </w:p>
    <w:p>
      <w:pPr>
        <w:pStyle w:val="BodyText"/>
        <w:spacing w:line="358" w:lineRule="exact"/>
        <w:ind w:left="799"/>
      </w:pPr>
      <w:r>
        <w:rPr/>
        <w:t>2、承诺内容：免费用餐；</w:t>
      </w:r>
    </w:p>
    <w:p>
      <w:pPr>
        <w:spacing w:after="0" w:line="358" w:lineRule="exact"/>
        <w:sectPr>
          <w:pgSz w:w="11910" w:h="16840"/>
          <w:pgMar w:header="0" w:footer="1125" w:top="1460" w:bottom="1320" w:left="1560" w:right="1200"/>
        </w:sectPr>
      </w:pPr>
    </w:p>
    <w:p>
      <w:pPr>
        <w:pStyle w:val="BodyText"/>
        <w:spacing w:line="364" w:lineRule="auto" w:before="44"/>
        <w:ind w:left="240" w:right="597" w:firstLine="559"/>
        <w:jc w:val="both"/>
      </w:pPr>
      <w:r>
        <w:rPr/>
        <w:t>3、具体服务：凭身份证只要满足用餐条件的残疾人，可执行前</w:t>
      </w:r>
      <w:r>
        <w:rPr>
          <w:spacing w:val="-6"/>
        </w:rPr>
        <w:t>往或委托他人前去项目实施方运营的老年食堂享受免费用餐，用餐标</w:t>
      </w:r>
      <w:r>
        <w:rPr/>
        <w:t>准为一荤两素（</w:t>
      </w:r>
      <w:r>
        <w:rPr>
          <w:spacing w:val="-20"/>
        </w:rPr>
        <w:t>市场价 </w:t>
      </w:r>
      <w:r>
        <w:rPr/>
        <w:t>12</w:t>
      </w:r>
      <w:r>
        <w:rPr>
          <w:spacing w:val="-36"/>
        </w:rPr>
        <w:t> 元</w:t>
      </w:r>
      <w:r>
        <w:rPr/>
        <w:t>）。</w:t>
      </w:r>
    </w:p>
    <w:p>
      <w:pPr>
        <w:spacing w:line="358" w:lineRule="exact" w:before="0"/>
        <w:ind w:left="801" w:right="0" w:firstLine="0"/>
        <w:jc w:val="left"/>
        <w:rPr>
          <w:b/>
          <w:sz w:val="28"/>
        </w:rPr>
      </w:pPr>
      <w:bookmarkStart w:name="_TOC_250003" w:id="9"/>
      <w:bookmarkEnd w:id="9"/>
      <w:r>
        <w:rPr>
          <w:b/>
          <w:sz w:val="28"/>
        </w:rPr>
        <w:t>五、免费讲座培训</w:t>
      </w:r>
    </w:p>
    <w:p>
      <w:pPr>
        <w:pStyle w:val="BodyText"/>
        <w:spacing w:before="186"/>
        <w:ind w:left="799"/>
      </w:pPr>
      <w:r>
        <w:rPr/>
        <w:t>1、享受对象：享受残疾人居家上门服务的残疾人；</w:t>
      </w:r>
    </w:p>
    <w:p>
      <w:pPr>
        <w:pStyle w:val="BodyText"/>
        <w:spacing w:before="186"/>
        <w:ind w:left="799"/>
      </w:pPr>
      <w:r>
        <w:rPr/>
        <w:t>2、承诺内容：免费参加；</w:t>
      </w:r>
    </w:p>
    <w:p>
      <w:pPr>
        <w:pStyle w:val="BodyText"/>
        <w:spacing w:line="364" w:lineRule="auto" w:before="186"/>
        <w:ind w:left="240" w:right="479" w:firstLine="559"/>
      </w:pPr>
      <w:r>
        <w:rPr/>
        <w:t>3、具体服务：由项目实施方调动各类金融机构、医疗机构、法律、心理服务领域专家、技能培训机构等各类资源，定期到服务区域的社区为服务对象集中提供关于金融、法律、医疗保健、心理慰藉、残疾人技能培训等方面的讲座。</w:t>
      </w:r>
    </w:p>
    <w:p>
      <w:pPr>
        <w:spacing w:after="0" w:line="364" w:lineRule="auto"/>
        <w:sectPr>
          <w:pgSz w:w="11910" w:h="16840"/>
          <w:pgMar w:header="0" w:footer="1125" w:top="1140" w:bottom="1320" w:left="1560" w:right="1200"/>
        </w:sectPr>
      </w:pPr>
    </w:p>
    <w:p>
      <w:pPr>
        <w:pStyle w:val="Heading1"/>
        <w:tabs>
          <w:tab w:pos="2006" w:val="left" w:leader="none"/>
        </w:tabs>
      </w:pPr>
      <w:bookmarkStart w:name="_TOC_250002" w:id="10"/>
      <w:bookmarkEnd w:id="10"/>
      <w:r>
        <w:rPr/>
        <w:t>第三章</w:t>
        <w:tab/>
        <w:t>投标人优势分析及合理化建议</w:t>
      </w:r>
    </w:p>
    <w:p>
      <w:pPr>
        <w:pStyle w:val="BodyText"/>
        <w:spacing w:before="3"/>
        <w:rPr>
          <w:b/>
          <w:sz w:val="49"/>
        </w:rPr>
      </w:pPr>
    </w:p>
    <w:p>
      <w:pPr>
        <w:pStyle w:val="Heading2"/>
      </w:pPr>
      <w:bookmarkStart w:name="_TOC_250001" w:id="11"/>
      <w:bookmarkEnd w:id="11"/>
      <w:r>
        <w:rPr/>
        <w:t>一、优势分析</w:t>
      </w:r>
    </w:p>
    <w:p>
      <w:pPr>
        <w:pStyle w:val="BodyText"/>
        <w:spacing w:before="5"/>
        <w:rPr>
          <w:rFonts w:ascii="幼圆"/>
          <w:b/>
          <w:sz w:val="31"/>
        </w:rPr>
      </w:pPr>
    </w:p>
    <w:p>
      <w:pPr>
        <w:spacing w:before="0"/>
        <w:ind w:left="801" w:right="0" w:firstLine="0"/>
        <w:jc w:val="left"/>
        <w:rPr>
          <w:b/>
          <w:sz w:val="28"/>
        </w:rPr>
      </w:pPr>
      <w:r>
        <w:rPr>
          <w:b/>
          <w:sz w:val="28"/>
        </w:rPr>
        <w:t>（一）、标准化管理优势</w:t>
      </w:r>
    </w:p>
    <w:p>
      <w:pPr>
        <w:pStyle w:val="BodyText"/>
        <w:spacing w:line="364" w:lineRule="auto" w:before="186"/>
        <w:ind w:left="240" w:right="594" w:firstLine="559"/>
      </w:pPr>
      <w:r>
        <w:rPr/>
        <w:t>1</w:t>
      </w:r>
      <w:r>
        <w:rPr>
          <w:spacing w:val="-18"/>
        </w:rPr>
        <w:t>、公司董事长 </w:t>
      </w:r>
      <w:r>
        <w:rPr/>
        <w:t>XXXX</w:t>
      </w:r>
      <w:r>
        <w:rPr>
          <w:spacing w:val="-13"/>
        </w:rPr>
        <w:t> 被聘为国家标准化管理委员会委员，参与家</w:t>
      </w:r>
      <w:r>
        <w:rPr/>
        <w:t>政服务领域国家标准修订。</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21"/>
        </w:rPr>
      </w:pPr>
    </w:p>
    <w:p>
      <w:pPr>
        <w:pStyle w:val="BodyText"/>
        <w:spacing w:line="364" w:lineRule="auto" w:before="1"/>
        <w:ind w:left="240" w:right="567" w:firstLine="559"/>
      </w:pPr>
      <w:r>
        <w:rPr/>
        <w:t>2</w:t>
      </w:r>
      <w:r>
        <w:rPr>
          <w:spacing w:val="14"/>
        </w:rPr>
        <w:t>、导入</w:t>
      </w:r>
      <w:r>
        <w:rPr/>
        <w:t>ISO9001</w:t>
      </w:r>
      <w:r>
        <w:rPr>
          <w:spacing w:val="-17"/>
        </w:rPr>
        <w:t> 质量体系、</w:t>
      </w:r>
      <w:r>
        <w:rPr/>
        <w:t>24001</w:t>
      </w:r>
      <w:r>
        <w:rPr>
          <w:spacing w:val="-24"/>
        </w:rPr>
        <w:t> 体系、</w:t>
      </w:r>
      <w:r>
        <w:rPr/>
        <w:t>28001</w:t>
      </w:r>
      <w:r>
        <w:rPr>
          <w:spacing w:val="-12"/>
        </w:rPr>
        <w:t> 体系、卓越绩效</w:t>
      </w:r>
      <w:r>
        <w:rPr/>
        <w:t>模式等标准化管理。</w:t>
      </w:r>
    </w:p>
    <w:p>
      <w:pPr>
        <w:spacing w:after="0" w:line="364" w:lineRule="auto"/>
        <w:sectPr>
          <w:pgSz w:w="11910" w:h="16840"/>
          <w:pgMar w:header="0" w:footer="1125" w:top="1460" w:bottom="1320" w:left="1560" w:right="120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6"/>
        </w:rPr>
      </w:pPr>
    </w:p>
    <w:p>
      <w:pPr>
        <w:spacing w:before="61"/>
        <w:ind w:left="1365" w:right="0" w:firstLine="0"/>
        <w:jc w:val="left"/>
        <w:rPr>
          <w:b/>
          <w:sz w:val="28"/>
        </w:rPr>
      </w:pPr>
      <w:r>
        <w:rPr>
          <w:b/>
          <w:sz w:val="28"/>
        </w:rPr>
        <w:t>（二）、全国首创员工制管理模式</w:t>
      </w:r>
    </w:p>
    <w:p>
      <w:pPr>
        <w:pStyle w:val="BodyText"/>
        <w:spacing w:line="364" w:lineRule="auto" w:before="187"/>
        <w:ind w:left="240" w:right="482" w:firstLine="559"/>
      </w:pPr>
      <w:r>
        <w:rPr/>
        <w:t>员工制家政企业，是指直接与消费者（客户）签订服务合同，与家政服务人员依法签订劳动合同或服务协议并缴纳社会保险费（已参加城镇职工社会保险或城乡居民社会保险均认可为缴纳社会保险</w:t>
      </w:r>
    </w:p>
    <w:p>
      <w:pPr>
        <w:pStyle w:val="BodyText"/>
        <w:spacing w:line="364" w:lineRule="auto"/>
        <w:ind w:left="240" w:right="479"/>
      </w:pPr>
      <w:r>
        <w:rPr/>
        <w:t>费），统一安排服务人员为消费者（客户）提供服务，直接支付或代发服务人员不低于当地最低工资标准的劳动报酬，并对服务人员进行持续培训管理的企业。</w:t>
      </w:r>
    </w:p>
    <w:p>
      <w:pPr>
        <w:spacing w:after="0" w:line="364" w:lineRule="auto"/>
        <w:sectPr>
          <w:footerReference w:type="default" r:id="rId6"/>
          <w:pgSz w:w="11910" w:h="16840"/>
          <w:pgMar w:footer="1125" w:header="0" w:top="1580" w:bottom="1320" w:left="1560" w:right="1200"/>
        </w:sectPr>
      </w:pPr>
    </w:p>
    <w:p>
      <w:pPr>
        <w:spacing w:line="269" w:lineRule="exact" w:before="114"/>
        <w:ind w:left="1255" w:right="0" w:firstLine="0"/>
        <w:jc w:val="left"/>
        <w:rPr>
          <w:sz w:val="23"/>
        </w:rPr>
      </w:pPr>
      <w:r>
        <w:rPr>
          <w:color w:val="DA3636"/>
          <w:sz w:val="23"/>
        </w:rPr>
        <w:t>中华人民共和国中央人民政府</w:t>
      </w:r>
    </w:p>
    <w:p>
      <w:pPr>
        <w:spacing w:line="56" w:lineRule="exact" w:before="0"/>
        <w:ind w:left="1285" w:right="0" w:firstLine="0"/>
        <w:jc w:val="left"/>
        <w:rPr>
          <w:rFonts w:ascii="Times New Roman"/>
          <w:sz w:val="15"/>
        </w:rPr>
      </w:pPr>
      <w:r>
        <w:rPr>
          <w:rFonts w:ascii="Times New Roman"/>
          <w:color w:val="AAAAAC"/>
          <w:sz w:val="15"/>
        </w:rPr>
        <w:t>www</w:t>
      </w:r>
      <w:r>
        <w:rPr>
          <w:rFonts w:ascii="Times New Roman"/>
          <w:color w:val="E15959"/>
          <w:sz w:val="15"/>
        </w:rPr>
        <w:t>gov </w:t>
      </w:r>
      <w:r>
        <w:rPr>
          <w:rFonts w:ascii="Times New Roman"/>
          <w:color w:val="AAAAAC"/>
          <w:sz w:val="15"/>
        </w:rPr>
        <w:t>en</w:t>
      </w:r>
    </w:p>
    <w:p>
      <w:pPr>
        <w:tabs>
          <w:tab w:pos="1966" w:val="left" w:leader="none"/>
        </w:tabs>
        <w:spacing w:before="41"/>
        <w:ind w:left="1255" w:right="0" w:firstLine="0"/>
        <w:jc w:val="left"/>
        <w:rPr>
          <w:sz w:val="10"/>
        </w:rPr>
      </w:pPr>
      <w:r>
        <w:rPr/>
        <w:br w:type="column"/>
      </w:r>
      <w:r>
        <w:rPr>
          <w:rFonts w:ascii="Times New Roman" w:hAnsi="Times New Roman" w:eastAsia="Times New Roman"/>
          <w:color w:val="709EC4"/>
          <w:w w:val="95"/>
          <w:sz w:val="20"/>
        </w:rPr>
        <w:t>EO</w:t>
        <w:tab/>
      </w:r>
      <w:r>
        <w:rPr>
          <w:color w:val="6EC626"/>
          <w:spacing w:val="-33"/>
          <w:w w:val="95"/>
          <w:sz w:val="25"/>
        </w:rPr>
        <w:t>·，</w:t>
      </w:r>
      <w:r>
        <w:rPr>
          <w:color w:val="AAAAAC"/>
          <w:spacing w:val="-30"/>
          <w:w w:val="75"/>
          <w:sz w:val="25"/>
        </w:rPr>
        <w:t>诵 </w:t>
      </w:r>
      <w:r>
        <w:rPr>
          <w:rFonts w:ascii="Arial" w:hAnsi="Arial" w:eastAsia="Arial"/>
          <w:color w:val="709EC4"/>
          <w:w w:val="75"/>
          <w:sz w:val="14"/>
        </w:rPr>
        <w:t>I</w:t>
      </w:r>
      <w:r>
        <w:rPr>
          <w:rFonts w:ascii="Arial" w:hAnsi="Arial" w:eastAsia="Arial"/>
          <w:color w:val="709EC4"/>
          <w:spacing w:val="15"/>
          <w:w w:val="75"/>
          <w:sz w:val="14"/>
        </w:rPr>
        <w:t> </w:t>
      </w:r>
      <w:r>
        <w:rPr>
          <w:color w:val="709EC4"/>
          <w:w w:val="75"/>
          <w:sz w:val="10"/>
        </w:rPr>
        <w:t>贾 </w:t>
      </w:r>
      <w:r>
        <w:rPr>
          <w:rFonts w:ascii="Arial" w:hAnsi="Arial" w:eastAsia="Arial"/>
          <w:color w:val="858385"/>
          <w:w w:val="75"/>
          <w:sz w:val="14"/>
        </w:rPr>
        <w:t>I</w:t>
      </w:r>
      <w:r>
        <w:rPr>
          <w:rFonts w:ascii="Arial" w:hAnsi="Arial" w:eastAsia="Arial"/>
          <w:color w:val="858385"/>
          <w:spacing w:val="17"/>
          <w:w w:val="75"/>
          <w:sz w:val="14"/>
        </w:rPr>
        <w:t> </w:t>
      </w:r>
      <w:r>
        <w:rPr>
          <w:rFonts w:ascii="Arial" w:hAnsi="Arial" w:eastAsia="Arial"/>
          <w:color w:val="709EC4"/>
          <w:w w:val="95"/>
          <w:sz w:val="10"/>
        </w:rPr>
        <w:t>Er.i</w:t>
      </w:r>
      <w:r>
        <w:rPr>
          <w:rFonts w:ascii="Arial" w:hAnsi="Arial" w:eastAsia="Arial"/>
          <w:color w:val="709EC4"/>
          <w:spacing w:val="1"/>
          <w:w w:val="95"/>
          <w:sz w:val="10"/>
        </w:rPr>
        <w:t> </w:t>
      </w:r>
      <w:r>
        <w:rPr>
          <w:rFonts w:ascii="Arial" w:hAnsi="Arial" w:eastAsia="Arial"/>
          <w:color w:val="858385"/>
          <w:w w:val="95"/>
          <w:sz w:val="14"/>
        </w:rPr>
        <w:t>I</w:t>
      </w:r>
      <w:r>
        <w:rPr>
          <w:rFonts w:ascii="Arial" w:hAnsi="Arial" w:eastAsia="Arial"/>
          <w:color w:val="858385"/>
          <w:spacing w:val="-19"/>
          <w:w w:val="95"/>
          <w:sz w:val="14"/>
        </w:rPr>
        <w:t> </w:t>
      </w:r>
      <w:r>
        <w:rPr>
          <w:color w:val="AAAAAC"/>
          <w:spacing w:val="6"/>
          <w:w w:val="95"/>
          <w:sz w:val="10"/>
        </w:rPr>
        <w:t>函 </w:t>
      </w:r>
      <w:r>
        <w:rPr>
          <w:rFonts w:ascii="Times New Roman" w:hAnsi="Times New Roman" w:eastAsia="Times New Roman"/>
          <w:color w:val="BF9A79"/>
          <w:w w:val="75"/>
          <w:sz w:val="15"/>
        </w:rPr>
        <w:t>l</w:t>
      </w:r>
      <w:r>
        <w:rPr>
          <w:rFonts w:ascii="Times New Roman" w:hAnsi="Times New Roman" w:eastAsia="Times New Roman"/>
          <w:color w:val="BF9A79"/>
          <w:spacing w:val="12"/>
          <w:w w:val="75"/>
          <w:sz w:val="15"/>
        </w:rPr>
        <w:t> </w:t>
      </w:r>
      <w:r>
        <w:rPr>
          <w:color w:val="709EC4"/>
          <w:w w:val="75"/>
          <w:sz w:val="10"/>
        </w:rPr>
        <w:t>纽</w:t>
      </w:r>
    </w:p>
    <w:p>
      <w:pPr>
        <w:spacing w:line="26" w:lineRule="exact" w:before="52"/>
        <w:ind w:left="0" w:right="279" w:firstLine="0"/>
        <w:jc w:val="right"/>
        <w:rPr>
          <w:sz w:val="7"/>
        </w:rPr>
      </w:pPr>
      <w:r>
        <w:rPr>
          <w:color w:val="AAAAAC"/>
          <w:w w:val="68"/>
          <w:sz w:val="7"/>
        </w:rPr>
        <w:t>夕</w:t>
      </w:r>
    </w:p>
    <w:p>
      <w:pPr>
        <w:spacing w:after="0" w:line="26" w:lineRule="exact"/>
        <w:jc w:val="right"/>
        <w:rPr>
          <w:sz w:val="7"/>
        </w:rPr>
        <w:sectPr>
          <w:footerReference w:type="default" r:id="rId7"/>
          <w:pgSz w:w="11910" w:h="16840"/>
          <w:pgMar w:footer="1045" w:header="0" w:top="1440" w:bottom="1240" w:left="1560" w:right="1200"/>
          <w:pgNumType w:start="12"/>
          <w:cols w:num="2" w:equalWidth="0">
            <w:col w:w="4352" w:space="979"/>
            <w:col w:w="3819"/>
          </w:cols>
        </w:sectPr>
      </w:pPr>
    </w:p>
    <w:p>
      <w:pPr>
        <w:tabs>
          <w:tab w:pos="1640" w:val="left" w:leader="none"/>
          <w:tab w:pos="2547" w:val="left" w:leader="none"/>
          <w:tab w:pos="3300" w:val="left" w:leader="none"/>
          <w:tab w:pos="4045" w:val="left" w:leader="none"/>
          <w:tab w:pos="4793" w:val="left" w:leader="none"/>
          <w:tab w:pos="5540" w:val="left" w:leader="none"/>
          <w:tab w:pos="6290" w:val="left" w:leader="none"/>
          <w:tab w:pos="7026" w:val="left" w:leader="none"/>
          <w:tab w:pos="7771" w:val="left" w:leader="none"/>
        </w:tabs>
        <w:spacing w:line="526" w:lineRule="exact" w:before="0"/>
        <w:ind w:left="781" w:right="0" w:firstLine="0"/>
        <w:jc w:val="left"/>
        <w:rPr>
          <w:rFonts w:ascii="Times New Roman" w:eastAsia="Times New Roman"/>
          <w:sz w:val="47"/>
        </w:rPr>
      </w:pPr>
      <w:r>
        <w:rPr/>
        <w:pict>
          <v:rect style="position:absolute;margin-left:498.872131pt;margin-top:14.521349pt;width:7.212528pt;height:7.537609pt;mso-position-horizontal-relative:page;mso-position-vertical-relative:paragraph;z-index:-252138496" filled="true" fillcolor="#4280b1" stroked="false">
            <v:fill type="solid"/>
            <w10:wrap type="none"/>
          </v:rect>
        </w:pict>
      </w:r>
      <w:r>
        <w:rPr>
          <w:color w:val="E4EBEF"/>
          <w:w w:val="85"/>
          <w:sz w:val="38"/>
          <w:shd w:fill="286BA3" w:color="auto" w:val="clear"/>
        </w:rPr>
        <w:t>至</w:t>
      </w:r>
      <w:r>
        <w:rPr>
          <w:color w:val="E4EBEF"/>
          <w:w w:val="85"/>
          <w:sz w:val="38"/>
        </w:rPr>
        <w:tab/>
      </w:r>
      <w:r>
        <w:rPr>
          <w:color w:val="E4EBEF"/>
          <w:w w:val="105"/>
          <w:sz w:val="15"/>
          <w:shd w:fill="4280B1" w:color="auto" w:val="clear"/>
        </w:rPr>
        <w:t>国务院</w:t>
      </w:r>
      <w:r>
        <w:rPr>
          <w:color w:val="E4EBEF"/>
          <w:w w:val="105"/>
          <w:sz w:val="15"/>
        </w:rPr>
        <w:tab/>
      </w:r>
      <w:r>
        <w:rPr>
          <w:color w:val="E4EBEF"/>
          <w:w w:val="105"/>
          <w:sz w:val="15"/>
          <w:shd w:fill="286BA3" w:color="auto" w:val="clear"/>
        </w:rPr>
        <w:t>总理</w:t>
      </w:r>
      <w:r>
        <w:rPr>
          <w:color w:val="E4EBEF"/>
          <w:w w:val="105"/>
          <w:sz w:val="15"/>
        </w:rPr>
        <w:tab/>
      </w:r>
      <w:r>
        <w:rPr>
          <w:color w:val="E4EBEF"/>
          <w:w w:val="105"/>
          <w:sz w:val="15"/>
          <w:shd w:fill="286BA3" w:color="auto" w:val="clear"/>
        </w:rPr>
        <w:t>舫间</w:t>
      </w:r>
      <w:r>
        <w:rPr>
          <w:color w:val="E4EBEF"/>
          <w:w w:val="105"/>
          <w:sz w:val="15"/>
        </w:rPr>
        <w:tab/>
      </w:r>
      <w:r>
        <w:rPr>
          <w:color w:val="E4EBEF"/>
          <w:w w:val="105"/>
          <w:sz w:val="15"/>
          <w:shd w:fill="286BA3" w:color="auto" w:val="clear"/>
        </w:rPr>
        <w:t>政策</w:t>
      </w:r>
      <w:r>
        <w:rPr>
          <w:color w:val="E4EBEF"/>
          <w:w w:val="105"/>
          <w:sz w:val="15"/>
        </w:rPr>
        <w:tab/>
      </w:r>
      <w:r>
        <w:rPr>
          <w:color w:val="E4EBEF"/>
          <w:w w:val="105"/>
          <w:sz w:val="15"/>
          <w:shd w:fill="286BA3" w:color="auto" w:val="clear"/>
        </w:rPr>
        <w:t>互动</w:t>
      </w:r>
      <w:r>
        <w:rPr>
          <w:color w:val="E4EBEF"/>
          <w:w w:val="105"/>
          <w:sz w:val="15"/>
        </w:rPr>
        <w:tab/>
      </w:r>
      <w:r>
        <w:rPr>
          <w:color w:val="E4EBEF"/>
          <w:w w:val="105"/>
          <w:sz w:val="15"/>
          <w:shd w:fill="286BA3" w:color="auto" w:val="clear"/>
        </w:rPr>
        <w:t>服务</w:t>
      </w:r>
      <w:r>
        <w:rPr>
          <w:color w:val="E4EBEF"/>
          <w:w w:val="105"/>
          <w:sz w:val="15"/>
        </w:rPr>
        <w:tab/>
      </w:r>
      <w:r>
        <w:rPr>
          <w:color w:val="E4EBEF"/>
          <w:w w:val="105"/>
          <w:sz w:val="15"/>
          <w:shd w:fill="286BA3" w:color="auto" w:val="clear"/>
        </w:rPr>
        <w:t>致拐</w:t>
      </w:r>
      <w:r>
        <w:rPr>
          <w:color w:val="E4EBEF"/>
          <w:w w:val="105"/>
          <w:sz w:val="15"/>
        </w:rPr>
        <w:tab/>
      </w:r>
      <w:r>
        <w:rPr>
          <w:color w:val="E4EBEF"/>
          <w:w w:val="105"/>
          <w:sz w:val="15"/>
          <w:shd w:fill="4280B1" w:color="auto" w:val="clear"/>
        </w:rPr>
        <w:t>国恬</w:t>
      </w:r>
      <w:r>
        <w:rPr>
          <w:color w:val="E4EBEF"/>
          <w:w w:val="105"/>
          <w:sz w:val="15"/>
        </w:rPr>
        <w:tab/>
      </w:r>
      <w:r>
        <w:rPr>
          <w:color w:val="E4EBEF"/>
          <w:spacing w:val="16"/>
          <w:sz w:val="15"/>
          <w:shd w:fill="4280B1" w:color="auto" w:val="clear"/>
        </w:rPr>
        <w:t>国</w:t>
      </w:r>
      <w:r>
        <w:rPr>
          <w:color w:val="E4EBEF"/>
          <w:sz w:val="15"/>
          <w:shd w:fill="4280B1" w:color="auto" w:val="clear"/>
        </w:rPr>
        <w:t>家政</w:t>
      </w:r>
      <w:r>
        <w:rPr>
          <w:color w:val="E4EBEF"/>
          <w:spacing w:val="27"/>
          <w:sz w:val="15"/>
          <w:shd w:fill="4280B1" w:color="auto" w:val="clear"/>
        </w:rPr>
        <w:t>务</w:t>
      </w:r>
      <w:r>
        <w:rPr>
          <w:color w:val="E4EBEF"/>
          <w:spacing w:val="-3"/>
          <w:sz w:val="15"/>
        </w:rPr>
        <w:t>痰</w:t>
      </w:r>
      <w:r>
        <w:rPr>
          <w:color w:val="E4EBEF"/>
          <w:sz w:val="15"/>
          <w:shd w:fill="286BA3" w:color="auto" w:val="clear"/>
        </w:rPr>
        <w:t>务</w:t>
      </w:r>
      <w:r>
        <w:rPr>
          <w:color w:val="E4EBEF"/>
          <w:spacing w:val="17"/>
          <w:sz w:val="15"/>
          <w:shd w:fill="286BA3" w:color="auto" w:val="clear"/>
        </w:rPr>
        <w:t>平</w:t>
      </w:r>
      <w:r>
        <w:rPr>
          <w:rFonts w:ascii="Times New Roman" w:eastAsia="Times New Roman"/>
          <w:color w:val="E4EBEF"/>
          <w:w w:val="85"/>
          <w:sz w:val="47"/>
          <w:shd w:fill="286BA3" w:color="auto" w:val="clear"/>
        </w:rPr>
        <w:t>4</w:t>
      </w:r>
    </w:p>
    <w:p>
      <w:pPr>
        <w:spacing w:before="74"/>
        <w:ind w:left="811" w:right="0" w:firstLine="0"/>
        <w:jc w:val="left"/>
        <w:rPr>
          <w:sz w:val="11"/>
        </w:rPr>
      </w:pPr>
      <w:r>
        <w:rPr>
          <w:color w:val="545459"/>
          <w:w w:val="86"/>
          <w:sz w:val="10"/>
        </w:rPr>
        <w:t>言丙</w:t>
      </w:r>
      <w:r>
        <w:rPr>
          <w:color w:val="545459"/>
          <w:sz w:val="10"/>
        </w:rPr>
        <w:t>  </w:t>
      </w:r>
      <w:r>
        <w:rPr>
          <w:color w:val="859AB3"/>
          <w:spacing w:val="-54"/>
          <w:w w:val="102"/>
          <w:sz w:val="12"/>
        </w:rPr>
        <w:t>，</w:t>
      </w:r>
      <w:r>
        <w:rPr>
          <w:color w:val="66676D"/>
          <w:w w:val="102"/>
          <w:sz w:val="11"/>
        </w:rPr>
        <w:t>；</w:t>
      </w:r>
      <w:r>
        <w:rPr>
          <w:color w:val="858385"/>
          <w:w w:val="85"/>
          <w:sz w:val="11"/>
        </w:rPr>
        <w:t>打司</w:t>
      </w:r>
      <w:r>
        <w:rPr>
          <w:color w:val="858385"/>
          <w:spacing w:val="4"/>
          <w:sz w:val="11"/>
        </w:rPr>
        <w:t> </w:t>
      </w:r>
      <w:r>
        <w:rPr>
          <w:color w:val="9C9597"/>
          <w:w w:val="102"/>
          <w:sz w:val="12"/>
        </w:rPr>
        <w:t>，</w:t>
      </w:r>
      <w:r>
        <w:rPr>
          <w:color w:val="9C9597"/>
          <w:spacing w:val="-40"/>
          <w:sz w:val="12"/>
        </w:rPr>
        <w:t> </w:t>
      </w:r>
      <w:r>
        <w:rPr>
          <w:color w:val="66676D"/>
          <w:w w:val="83"/>
          <w:sz w:val="12"/>
        </w:rPr>
        <w:t>直片</w:t>
      </w:r>
      <w:r>
        <w:rPr>
          <w:color w:val="66676D"/>
          <w:spacing w:val="28"/>
          <w:sz w:val="12"/>
        </w:rPr>
        <w:t> </w:t>
      </w:r>
      <w:r>
        <w:rPr>
          <w:color w:val="BFBDBC"/>
          <w:w w:val="62"/>
          <w:sz w:val="12"/>
          <w:vertAlign w:val="subscript"/>
        </w:rPr>
        <w:t>）</w:t>
      </w:r>
      <w:r>
        <w:rPr>
          <w:color w:val="BFBDBC"/>
          <w:spacing w:val="25"/>
          <w:sz w:val="12"/>
          <w:vertAlign w:val="baseline"/>
        </w:rPr>
        <w:t> </w:t>
      </w:r>
      <w:r>
        <w:rPr>
          <w:rFonts w:ascii="Arial" w:eastAsia="Arial"/>
          <w:color w:val="858385"/>
          <w:spacing w:val="-1"/>
          <w:w w:val="99"/>
          <w:sz w:val="13"/>
          <w:vertAlign w:val="baseline"/>
        </w:rPr>
        <w:t>l!</w:t>
      </w:r>
      <w:r>
        <w:rPr>
          <w:rFonts w:ascii="Arial" w:eastAsia="Arial"/>
          <w:color w:val="858385"/>
          <w:spacing w:val="-7"/>
          <w:w w:val="99"/>
          <w:sz w:val="13"/>
          <w:vertAlign w:val="baseline"/>
        </w:rPr>
        <w:t>I</w:t>
      </w:r>
      <w:r>
        <w:rPr>
          <w:color w:val="858385"/>
          <w:w w:val="82"/>
          <w:sz w:val="12"/>
          <w:vertAlign w:val="baseline"/>
        </w:rPr>
        <w:t>务片症</w:t>
      </w:r>
      <w:r>
        <w:rPr>
          <w:color w:val="858385"/>
          <w:spacing w:val="-13"/>
          <w:sz w:val="12"/>
          <w:vertAlign w:val="baseline"/>
        </w:rPr>
        <w:t>  </w:t>
      </w:r>
      <w:r>
        <w:rPr>
          <w:color w:val="858385"/>
          <w:spacing w:val="4"/>
          <w:w w:val="72"/>
          <w:sz w:val="12"/>
          <w:vertAlign w:val="baseline"/>
        </w:rPr>
        <w:t>饮</w:t>
      </w:r>
      <w:r>
        <w:rPr>
          <w:color w:val="858385"/>
          <w:w w:val="90"/>
          <w:sz w:val="12"/>
          <w:vertAlign w:val="baseline"/>
        </w:rPr>
        <w:t>风会</w:t>
      </w:r>
      <w:r>
        <w:rPr>
          <w:color w:val="858385"/>
          <w:sz w:val="12"/>
          <w:vertAlign w:val="baseline"/>
        </w:rPr>
        <w:t>  </w:t>
      </w:r>
      <w:r>
        <w:rPr>
          <w:color w:val="859AB3"/>
          <w:w w:val="102"/>
          <w:sz w:val="12"/>
          <w:vertAlign w:val="baseline"/>
        </w:rPr>
        <w:t>，</w:t>
      </w:r>
      <w:r>
        <w:rPr>
          <w:color w:val="859AB3"/>
          <w:spacing w:val="-40"/>
          <w:sz w:val="12"/>
          <w:vertAlign w:val="baseline"/>
        </w:rPr>
        <w:t> </w:t>
      </w:r>
      <w:r>
        <w:rPr>
          <w:color w:val="66676D"/>
          <w:spacing w:val="-21"/>
          <w:w w:val="90"/>
          <w:sz w:val="11"/>
          <w:vertAlign w:val="baseline"/>
        </w:rPr>
        <w:t>总</w:t>
      </w:r>
      <w:r>
        <w:rPr>
          <w:color w:val="AAAAAC"/>
          <w:spacing w:val="-77"/>
          <w:w w:val="91"/>
          <w:sz w:val="11"/>
          <w:vertAlign w:val="baseline"/>
        </w:rPr>
        <w:t>．</w:t>
      </w:r>
      <w:r>
        <w:rPr>
          <w:color w:val="858385"/>
          <w:w w:val="89"/>
          <w:sz w:val="11"/>
          <w:vertAlign w:val="baseline"/>
        </w:rPr>
        <w:t>性欢阮</w:t>
      </w:r>
    </w:p>
    <w:p>
      <w:pPr>
        <w:pStyle w:val="BodyText"/>
        <w:rPr>
          <w:sz w:val="14"/>
        </w:rPr>
      </w:pPr>
    </w:p>
    <w:p>
      <w:pPr>
        <w:pStyle w:val="BodyText"/>
        <w:rPr>
          <w:sz w:val="14"/>
        </w:rPr>
      </w:pPr>
    </w:p>
    <w:p>
      <w:pPr>
        <w:spacing w:before="110"/>
        <w:ind w:left="1837" w:right="0" w:firstLine="0"/>
        <w:jc w:val="left"/>
        <w:rPr>
          <w:sz w:val="29"/>
        </w:rPr>
      </w:pPr>
      <w:r>
        <w:rPr>
          <w:color w:val="545459"/>
          <w:w w:val="105"/>
          <w:sz w:val="29"/>
        </w:rPr>
        <w:t>《意见》明确多项措施支持员工制家政企业发展</w:t>
      </w:r>
    </w:p>
    <w:p>
      <w:pPr>
        <w:tabs>
          <w:tab w:pos="2383" w:val="left" w:leader="none"/>
          <w:tab w:pos="5818" w:val="left" w:leader="none"/>
          <w:tab w:pos="7768" w:val="left" w:leader="none"/>
        </w:tabs>
        <w:spacing w:before="75"/>
        <w:ind w:left="1324" w:right="0" w:firstLine="0"/>
        <w:jc w:val="left"/>
        <w:rPr>
          <w:rFonts w:ascii="Arial" w:eastAsia="Arial"/>
          <w:sz w:val="34"/>
        </w:rPr>
      </w:pPr>
      <w:r>
        <w:rPr>
          <w:color w:val="AAAAAC"/>
          <w:position w:val="1"/>
          <w:sz w:val="9"/>
        </w:rPr>
        <w:t>匀</w:t>
      </w:r>
      <w:r>
        <w:rPr>
          <w:color w:val="AAAAAC"/>
          <w:spacing w:val="-25"/>
          <w:position w:val="1"/>
          <w:sz w:val="9"/>
        </w:rPr>
        <w:t> </w:t>
      </w:r>
      <w:r>
        <w:rPr>
          <w:rFonts w:ascii="Times New Roman" w:eastAsia="Times New Roman"/>
          <w:color w:val="AAAAAC"/>
          <w:spacing w:val="3"/>
          <w:position w:val="1"/>
          <w:sz w:val="12"/>
        </w:rPr>
        <w:t>IP</w:t>
      </w:r>
      <w:r>
        <w:rPr>
          <w:color w:val="AAAAAC"/>
          <w:position w:val="1"/>
          <w:sz w:val="8"/>
        </w:rPr>
        <w:t>如</w:t>
      </w:r>
      <w:r>
        <w:rPr>
          <w:color w:val="AAAAAC"/>
          <w:spacing w:val="24"/>
          <w:position w:val="1"/>
          <w:sz w:val="8"/>
        </w:rPr>
        <w:t> </w:t>
      </w:r>
      <w:r>
        <w:rPr>
          <w:color w:val="AAAAAC"/>
          <w:position w:val="1"/>
          <w:sz w:val="8"/>
        </w:rPr>
        <w:t>－</w:t>
      </w:r>
      <w:r>
        <w:rPr>
          <w:color w:val="AAAAAC"/>
          <w:spacing w:val="-29"/>
          <w:position w:val="1"/>
          <w:sz w:val="8"/>
        </w:rPr>
        <w:t> </w:t>
      </w:r>
      <w:r>
        <w:rPr>
          <w:rFonts w:ascii="Times New Roman" w:eastAsia="Times New Roman"/>
          <w:color w:val="AAAAAC"/>
          <w:w w:val="75"/>
          <w:position w:val="1"/>
          <w:sz w:val="12"/>
        </w:rPr>
        <w:t>OS </w:t>
      </w:r>
      <w:r>
        <w:rPr>
          <w:rFonts w:ascii="Times New Roman" w:eastAsia="Times New Roman"/>
          <w:color w:val="AAAAAC"/>
          <w:spacing w:val="12"/>
          <w:w w:val="75"/>
          <w:position w:val="1"/>
          <w:sz w:val="12"/>
        </w:rPr>
        <w:t> </w:t>
      </w:r>
      <w:r>
        <w:rPr>
          <w:rFonts w:ascii="Times New Roman" w:eastAsia="Times New Roman"/>
          <w:color w:val="BFBDBC"/>
          <w:w w:val="75"/>
          <w:position w:val="1"/>
          <w:sz w:val="12"/>
        </w:rPr>
        <w:t>1</w:t>
      </w:r>
      <w:r>
        <w:rPr>
          <w:rFonts w:ascii="Times New Roman" w:eastAsia="Times New Roman"/>
          <w:color w:val="BFBDBC"/>
          <w:spacing w:val="-4"/>
          <w:w w:val="75"/>
          <w:position w:val="1"/>
          <w:sz w:val="12"/>
        </w:rPr>
        <w:t> </w:t>
      </w:r>
      <w:r>
        <w:rPr>
          <w:rFonts w:ascii="Times New Roman" w:eastAsia="Times New Roman"/>
          <w:color w:val="BFBDBC"/>
          <w:spacing w:val="-4"/>
          <w:position w:val="1"/>
          <w:sz w:val="12"/>
        </w:rPr>
        <w:t>2</w:t>
      </w:r>
      <w:r>
        <w:rPr>
          <w:color w:val="D8D4CF"/>
          <w:spacing w:val="-4"/>
          <w:position w:val="1"/>
          <w:sz w:val="9"/>
        </w:rPr>
        <w:t>：</w:t>
      </w:r>
      <w:r>
        <w:rPr>
          <w:color w:val="AAAAAC"/>
          <w:w w:val="75"/>
          <w:position w:val="1"/>
          <w:sz w:val="9"/>
        </w:rPr>
        <w:t>招</w:t>
        <w:tab/>
      </w:r>
      <w:r>
        <w:rPr>
          <w:color w:val="AAAAAC"/>
          <w:position w:val="1"/>
          <w:sz w:val="11"/>
        </w:rPr>
        <w:t>农</w:t>
      </w:r>
      <w:r>
        <w:rPr>
          <w:rFonts w:ascii="Arial" w:eastAsia="Arial"/>
          <w:color w:val="AAAAAC"/>
          <w:position w:val="1"/>
          <w:sz w:val="12"/>
        </w:rPr>
        <w:t>iv,- </w:t>
      </w:r>
      <w:r>
        <w:rPr>
          <w:rFonts w:ascii="Arial" w:eastAsia="Arial"/>
          <w:color w:val="AAAAAC"/>
          <w:spacing w:val="19"/>
          <w:position w:val="1"/>
          <w:sz w:val="12"/>
        </w:rPr>
        <w:t> </w:t>
      </w:r>
      <w:r>
        <w:rPr>
          <w:color w:val="AAAAAC"/>
          <w:position w:val="1"/>
          <w:sz w:val="12"/>
        </w:rPr>
        <w:t>中</w:t>
      </w:r>
      <w:r>
        <w:rPr>
          <w:rFonts w:ascii="Arial" w:eastAsia="Arial"/>
          <w:color w:val="AAAAAC"/>
          <w:spacing w:val="-15"/>
          <w:w w:val="75"/>
          <w:position w:val="1"/>
          <w:sz w:val="14"/>
        </w:rPr>
        <w:t>1</w:t>
      </w:r>
      <w:r>
        <w:rPr>
          <w:color w:val="AAAAAC"/>
          <w:position w:val="1"/>
          <w:sz w:val="11"/>
        </w:rPr>
        <w:t>申政</w:t>
      </w:r>
      <w:r>
        <w:rPr>
          <w:color w:val="AAAAAC"/>
          <w:spacing w:val="-27"/>
          <w:position w:val="1"/>
          <w:sz w:val="11"/>
        </w:rPr>
        <w:t> </w:t>
      </w:r>
      <w:r>
        <w:rPr>
          <w:color w:val="AAAAAC"/>
          <w:position w:val="1"/>
          <w:sz w:val="11"/>
        </w:rPr>
        <w:t>府</w:t>
      </w:r>
      <w:r>
        <w:rPr>
          <w:rFonts w:ascii="Times New Roman" w:eastAsia="Times New Roman"/>
          <w:color w:val="AAAAAC"/>
          <w:position w:val="1"/>
          <w:sz w:val="12"/>
        </w:rPr>
        <w:t>M</w:t>
        <w:tab/>
      </w:r>
      <w:r>
        <w:rPr>
          <w:rFonts w:ascii="Arial" w:eastAsia="Arial"/>
          <w:color w:val="858385"/>
          <w:sz w:val="18"/>
        </w:rPr>
        <w:t>r</w:t>
      </w:r>
      <w:r>
        <w:rPr>
          <w:rFonts w:ascii="Arial" w:eastAsia="Arial"/>
          <w:color w:val="858385"/>
          <w:spacing w:val="-21"/>
          <w:sz w:val="18"/>
        </w:rPr>
        <w:t> </w:t>
      </w:r>
      <w:r>
        <w:rPr>
          <w:color w:val="AAAAAC"/>
          <w:sz w:val="11"/>
        </w:rPr>
        <w:t>，</w:t>
      </w:r>
      <w:r>
        <w:rPr>
          <w:color w:val="AAAAAC"/>
          <w:spacing w:val="-25"/>
          <w:sz w:val="11"/>
        </w:rPr>
        <w:t>飞</w:t>
      </w:r>
      <w:r>
        <w:rPr>
          <w:color w:val="AAAAAC"/>
          <w:w w:val="75"/>
          <w:sz w:val="11"/>
        </w:rPr>
        <w:t>－</w:t>
      </w:r>
      <w:r>
        <w:rPr>
          <w:color w:val="AAAAAC"/>
          <w:spacing w:val="28"/>
          <w:w w:val="75"/>
          <w:sz w:val="11"/>
        </w:rPr>
        <w:t> </w:t>
      </w:r>
      <w:r>
        <w:rPr>
          <w:rFonts w:ascii="Times New Roman" w:eastAsia="Times New Roman"/>
          <w:color w:val="BFBDBC"/>
          <w:sz w:val="15"/>
        </w:rPr>
        <w:t>J.. </w:t>
      </w:r>
      <w:r>
        <w:rPr>
          <w:color w:val="BFBDBC"/>
          <w:sz w:val="12"/>
        </w:rPr>
        <w:t>中</w:t>
      </w:r>
      <w:r>
        <w:rPr>
          <w:color w:val="BFBDBC"/>
          <w:spacing w:val="-15"/>
          <w:sz w:val="12"/>
        </w:rPr>
        <w:t> </w:t>
      </w:r>
      <w:r>
        <w:rPr>
          <w:color w:val="BFBDBC"/>
          <w:spacing w:val="-5"/>
          <w:sz w:val="12"/>
        </w:rPr>
        <w:t>小</w:t>
      </w:r>
      <w:r>
        <w:rPr>
          <w:color w:val="858385"/>
          <w:sz w:val="12"/>
        </w:rPr>
        <w:t>］ </w:t>
      </w:r>
      <w:r>
        <w:rPr>
          <w:color w:val="858385"/>
          <w:spacing w:val="18"/>
          <w:sz w:val="12"/>
        </w:rPr>
        <w:t> </w:t>
      </w:r>
      <w:r>
        <w:rPr>
          <w:color w:val="858385"/>
          <w:sz w:val="11"/>
        </w:rPr>
        <w:t>令</w:t>
      </w:r>
      <w:r>
        <w:rPr>
          <w:color w:val="858385"/>
          <w:spacing w:val="17"/>
          <w:sz w:val="11"/>
        </w:rPr>
        <w:t> </w:t>
      </w:r>
      <w:r>
        <w:rPr>
          <w:color w:val="AAAAAC"/>
          <w:sz w:val="11"/>
        </w:rPr>
        <w:t>打印</w:t>
        <w:tab/>
      </w:r>
      <w:r>
        <w:rPr>
          <w:rFonts w:ascii="Arial" w:eastAsia="Arial"/>
          <w:color w:val="52C159"/>
          <w:sz w:val="34"/>
        </w:rPr>
        <w:t>c </w:t>
      </w:r>
      <w:r>
        <w:rPr>
          <w:rFonts w:ascii="Arial" w:eastAsia="Arial"/>
          <w:color w:val="F28579"/>
          <w:sz w:val="34"/>
        </w:rPr>
        <w:t>c</w:t>
      </w:r>
      <w:r>
        <w:rPr>
          <w:rFonts w:ascii="Arial" w:eastAsia="Arial"/>
          <w:color w:val="F28579"/>
          <w:spacing w:val="-37"/>
          <w:sz w:val="34"/>
        </w:rPr>
        <w:t> </w:t>
      </w:r>
      <w:r>
        <w:rPr>
          <w:rFonts w:ascii="Arial" w:eastAsia="Arial"/>
          <w:color w:val="AAAAAC"/>
          <w:w w:val="75"/>
          <w:sz w:val="34"/>
        </w:rPr>
        <w:t>+</w:t>
      </w:r>
    </w:p>
    <w:p>
      <w:pPr>
        <w:pStyle w:val="BodyText"/>
        <w:spacing w:before="6"/>
        <w:rPr>
          <w:rFonts w:ascii="Arial"/>
          <w:sz w:val="50"/>
        </w:rPr>
      </w:pPr>
    </w:p>
    <w:p>
      <w:pPr>
        <w:spacing w:line="360" w:lineRule="auto" w:before="1"/>
        <w:ind w:left="1325" w:right="754" w:firstLine="255"/>
        <w:jc w:val="left"/>
        <w:rPr>
          <w:sz w:val="12"/>
        </w:rPr>
      </w:pPr>
      <w:r>
        <w:rPr>
          <w:color w:val="AAAAAC"/>
          <w:spacing w:val="1"/>
          <w:w w:val="85"/>
          <w:sz w:val="12"/>
        </w:rPr>
        <w:t>目 </w:t>
      </w:r>
      <w:r>
        <w:rPr>
          <w:color w:val="AAAAAC"/>
          <w:w w:val="105"/>
          <w:sz w:val="12"/>
        </w:rPr>
        <w:t>务戊谕陌办公室于</w:t>
      </w:r>
      <w:r>
        <w:rPr>
          <w:rFonts w:ascii="Times New Roman" w:eastAsia="Times New Roman"/>
          <w:color w:val="AAAAAC"/>
          <w:w w:val="105"/>
          <w:sz w:val="13"/>
        </w:rPr>
        <w:t>2019</w:t>
      </w:r>
      <w:r>
        <w:rPr>
          <w:color w:val="AAAAAC"/>
          <w:w w:val="105"/>
          <w:sz w:val="12"/>
        </w:rPr>
        <w:t>阜</w:t>
      </w:r>
      <w:r>
        <w:rPr>
          <w:rFonts w:ascii="Times New Roman" w:eastAsia="Times New Roman"/>
          <w:color w:val="AAAAAC"/>
          <w:w w:val="105"/>
          <w:sz w:val="13"/>
        </w:rPr>
        <w:t>7</w:t>
      </w:r>
      <w:r>
        <w:rPr>
          <w:rFonts w:ascii="Times New Roman" w:eastAsia="Times New Roman"/>
          <w:color w:val="AAAAAC"/>
          <w:spacing w:val="-26"/>
          <w:w w:val="105"/>
          <w:sz w:val="13"/>
        </w:rPr>
        <w:t> </w:t>
      </w:r>
      <w:r>
        <w:rPr>
          <w:color w:val="AAAAAC"/>
          <w:w w:val="105"/>
          <w:sz w:val="13"/>
        </w:rPr>
        <w:t>月</w:t>
      </w:r>
      <w:r>
        <w:rPr>
          <w:rFonts w:ascii="Times New Roman" w:eastAsia="Times New Roman"/>
          <w:color w:val="AAAAAC"/>
          <w:spacing w:val="11"/>
          <w:w w:val="105"/>
          <w:sz w:val="13"/>
        </w:rPr>
        <w:t>5</w:t>
      </w:r>
      <w:r>
        <w:rPr>
          <w:color w:val="AAAAAC"/>
          <w:w w:val="105"/>
          <w:sz w:val="12"/>
        </w:rPr>
        <w:t>日（王办五）</w:t>
      </w:r>
      <w:r>
        <w:rPr>
          <w:color w:val="AAAAAC"/>
          <w:spacing w:val="3"/>
          <w:w w:val="105"/>
          <w:sz w:val="12"/>
        </w:rPr>
        <w:t>上午 </w:t>
      </w:r>
      <w:r>
        <w:rPr>
          <w:rFonts w:ascii="Times New Roman" w:eastAsia="Times New Roman"/>
          <w:color w:val="AAAAAC"/>
          <w:w w:val="105"/>
          <w:sz w:val="13"/>
        </w:rPr>
        <w:t>10</w:t>
      </w:r>
      <w:r>
        <w:rPr>
          <w:color w:val="AAAAAC"/>
          <w:spacing w:val="2"/>
          <w:w w:val="105"/>
          <w:sz w:val="12"/>
        </w:rPr>
        <w:t>叶牵行日务</w:t>
      </w:r>
      <w:r>
        <w:rPr>
          <w:rFonts w:ascii="Times New Roman" w:eastAsia="Times New Roman"/>
          <w:color w:val="AAAAAC"/>
          <w:spacing w:val="-4"/>
          <w:w w:val="105"/>
          <w:sz w:val="13"/>
        </w:rPr>
        <w:t>l't.</w:t>
      </w:r>
      <w:r>
        <w:rPr>
          <w:color w:val="AAAAAC"/>
          <w:spacing w:val="-7"/>
          <w:w w:val="105"/>
          <w:sz w:val="12"/>
        </w:rPr>
        <w:t>政策们行吹风会，讨皮 展改车委副主任忐嫁良 和教育坏人力贵谒社会译障坏，万务扒企国妇联有关负责人介焙（吴千优志家败犀青业拢屡扩容的老见）布炎计况，井冬记者</w:t>
      </w:r>
    </w:p>
    <w:p>
      <w:pPr>
        <w:spacing w:before="34"/>
        <w:ind w:left="1321" w:right="0" w:firstLine="0"/>
        <w:jc w:val="left"/>
        <w:rPr>
          <w:sz w:val="12"/>
        </w:rPr>
      </w:pPr>
      <w:r>
        <w:rPr>
          <w:color w:val="AAAAAC"/>
          <w:w w:val="110"/>
          <w:sz w:val="12"/>
        </w:rPr>
        <w:t>问－</w:t>
      </w:r>
    </w:p>
    <w:p>
      <w:pPr>
        <w:pStyle w:val="BodyText"/>
        <w:rPr>
          <w:sz w:val="13"/>
        </w:rPr>
      </w:pPr>
    </w:p>
    <w:p>
      <w:pPr>
        <w:spacing w:before="0"/>
        <w:ind w:left="1571" w:right="0" w:firstLine="0"/>
        <w:jc w:val="left"/>
        <w:rPr>
          <w:rFonts w:ascii="Times New Roman" w:eastAsia="Times New Roman"/>
          <w:sz w:val="15"/>
        </w:rPr>
      </w:pPr>
      <w:r>
        <w:rPr>
          <w:color w:val="545459"/>
          <w:w w:val="105"/>
          <w:sz w:val="12"/>
        </w:rPr>
        <w:t>［</w:t>
      </w:r>
      <w:r>
        <w:rPr>
          <w:color w:val="858385"/>
          <w:w w:val="105"/>
          <w:sz w:val="12"/>
        </w:rPr>
        <w:t>中央广播见视总台央忱</w:t>
      </w:r>
      <w:r>
        <w:rPr>
          <w:rFonts w:ascii="Times New Roman" w:eastAsia="Times New Roman"/>
          <w:color w:val="66676D"/>
          <w:w w:val="105"/>
          <w:sz w:val="15"/>
        </w:rPr>
        <w:t>i</w:t>
      </w:r>
      <w:r>
        <w:rPr>
          <w:rFonts w:ascii="Times New Roman" w:eastAsia="Times New Roman"/>
          <w:color w:val="858385"/>
          <w:w w:val="105"/>
          <w:sz w:val="15"/>
        </w:rPr>
        <w:t>d R </w:t>
      </w:r>
      <w:r>
        <w:rPr>
          <w:rFonts w:ascii="Times New Roman" w:eastAsia="Times New Roman"/>
          <w:color w:val="66676D"/>
          <w:w w:val="105"/>
          <w:sz w:val="15"/>
        </w:rPr>
        <w:t>]</w:t>
      </w:r>
    </w:p>
    <w:p>
      <w:pPr>
        <w:spacing w:after="0"/>
        <w:jc w:val="left"/>
        <w:rPr>
          <w:rFonts w:ascii="Times New Roman" w:eastAsia="Times New Roman"/>
          <w:sz w:val="15"/>
        </w:rPr>
        <w:sectPr>
          <w:type w:val="continuous"/>
          <w:pgSz w:w="11910" w:h="16840"/>
          <w:pgMar w:top="1280" w:bottom="1320" w:left="1560" w:right="1200"/>
        </w:sectPr>
      </w:pPr>
    </w:p>
    <w:p>
      <w:pPr>
        <w:pStyle w:val="BodyText"/>
        <w:rPr>
          <w:rFonts w:ascii="Times New Roman"/>
          <w:sz w:val="12"/>
        </w:rPr>
      </w:pPr>
    </w:p>
    <w:p>
      <w:pPr>
        <w:spacing w:before="74"/>
        <w:ind w:left="0" w:right="0" w:firstLine="0"/>
        <w:jc w:val="right"/>
        <w:rPr>
          <w:sz w:val="12"/>
        </w:rPr>
      </w:pPr>
      <w:r>
        <w:rPr>
          <w:color w:val="AAAAAC"/>
          <w:w w:val="90"/>
          <w:sz w:val="12"/>
        </w:rPr>
        <w:t>在｛心见｝中找</w:t>
      </w:r>
    </w:p>
    <w:p>
      <w:pPr>
        <w:pStyle w:val="BodyText"/>
        <w:spacing w:before="3"/>
        <w:rPr>
          <w:sz w:val="14"/>
        </w:rPr>
      </w:pPr>
      <w:r>
        <w:rPr/>
        <w:br w:type="column"/>
      </w:r>
      <w:r>
        <w:rPr>
          <w:sz w:val="14"/>
        </w:rPr>
      </w:r>
    </w:p>
    <w:p>
      <w:pPr>
        <w:spacing w:before="0"/>
        <w:ind w:left="64" w:right="0" w:firstLine="0"/>
        <w:jc w:val="left"/>
        <w:rPr>
          <w:sz w:val="14"/>
        </w:rPr>
      </w:pPr>
      <w:r>
        <w:rPr>
          <w:color w:val="AAAAAC"/>
          <w:spacing w:val="-112"/>
          <w:w w:val="90"/>
          <w:sz w:val="12"/>
        </w:rPr>
        <w:t>「</w:t>
      </w:r>
      <w:r>
        <w:rPr>
          <w:rFonts w:ascii="Times New Roman" w:eastAsia="Times New Roman"/>
          <w:color w:val="AAAAAC"/>
          <w:w w:val="90"/>
          <w:sz w:val="16"/>
        </w:rPr>
        <w:t>1</w:t>
      </w:r>
      <w:r>
        <w:rPr>
          <w:rFonts w:ascii="Times New Roman" w:eastAsia="Times New Roman"/>
          <w:color w:val="AAAAAC"/>
          <w:spacing w:val="-14"/>
          <w:w w:val="90"/>
          <w:sz w:val="16"/>
        </w:rPr>
        <w:t> </w:t>
      </w:r>
      <w:r>
        <w:rPr>
          <w:rFonts w:ascii="Times New Roman" w:eastAsia="Times New Roman"/>
          <w:color w:val="AAAAAC"/>
          <w:w w:val="90"/>
          <w:sz w:val="15"/>
        </w:rPr>
        <w:t>J</w:t>
      </w:r>
      <w:r>
        <w:rPr>
          <w:rFonts w:ascii="Times New Roman" w:eastAsia="Times New Roman"/>
          <w:color w:val="AAAAAC"/>
          <w:spacing w:val="-23"/>
          <w:w w:val="90"/>
          <w:sz w:val="15"/>
        </w:rPr>
        <w:t> </w:t>
      </w:r>
      <w:r>
        <w:rPr>
          <w:color w:val="AAAAAC"/>
          <w:spacing w:val="-9"/>
          <w:w w:val="90"/>
          <w:sz w:val="12"/>
        </w:rPr>
        <w:t>石另员 </w:t>
      </w:r>
      <w:r>
        <w:rPr>
          <w:rFonts w:ascii="Times New Roman" w:eastAsia="Times New Roman"/>
          <w:color w:val="AAAAAC"/>
          <w:spacing w:val="-20"/>
          <w:w w:val="90"/>
          <w:sz w:val="16"/>
        </w:rPr>
        <w:t>t1</w:t>
      </w:r>
      <w:r>
        <w:rPr>
          <w:color w:val="AAAAAC"/>
          <w:spacing w:val="-4"/>
          <w:w w:val="90"/>
          <w:sz w:val="14"/>
        </w:rPr>
        <w:t>卤 妇 切 如 凶</w:t>
      </w:r>
    </w:p>
    <w:p>
      <w:pPr>
        <w:pStyle w:val="BodyText"/>
        <w:spacing w:before="3"/>
        <w:rPr>
          <w:sz w:val="14"/>
        </w:rPr>
      </w:pPr>
      <w:r>
        <w:rPr/>
        <w:br w:type="column"/>
      </w:r>
      <w:r>
        <w:rPr>
          <w:sz w:val="14"/>
        </w:rPr>
      </w:r>
    </w:p>
    <w:p>
      <w:pPr>
        <w:spacing w:before="0"/>
        <w:ind w:left="125" w:right="0" w:firstLine="0"/>
        <w:jc w:val="left"/>
        <w:rPr>
          <w:sz w:val="12"/>
        </w:rPr>
      </w:pPr>
      <w:r>
        <w:rPr>
          <w:color w:val="AAAAAC"/>
          <w:spacing w:val="-79"/>
          <w:w w:val="67"/>
          <w:sz w:val="12"/>
        </w:rPr>
        <w:t>；</w:t>
      </w:r>
      <w:r>
        <w:rPr>
          <w:rFonts w:ascii="Times New Roman" w:eastAsia="Times New Roman"/>
          <w:color w:val="AAAAAC"/>
          <w:w w:val="67"/>
          <w:sz w:val="16"/>
        </w:rPr>
        <w:t>I.</w:t>
      </w:r>
      <w:r>
        <w:rPr>
          <w:rFonts w:ascii="Times New Roman" w:eastAsia="Times New Roman"/>
          <w:color w:val="AAAAAC"/>
          <w:spacing w:val="-12"/>
          <w:sz w:val="16"/>
        </w:rPr>
        <w:t> </w:t>
      </w:r>
      <w:r>
        <w:rPr>
          <w:color w:val="AAAAAC"/>
          <w:w w:val="94"/>
          <w:sz w:val="12"/>
        </w:rPr>
        <w:t>印们忒收企</w:t>
      </w:r>
      <w:r>
        <w:rPr>
          <w:color w:val="AAAAAC"/>
          <w:spacing w:val="5"/>
          <w:sz w:val="12"/>
        </w:rPr>
        <w:t> </w:t>
      </w:r>
      <w:r>
        <w:rPr>
          <w:color w:val="AAAAAC"/>
          <w:spacing w:val="-8"/>
          <w:w w:val="110"/>
          <w:sz w:val="12"/>
        </w:rPr>
        <w:t>业</w:t>
      </w:r>
      <w:r>
        <w:rPr>
          <w:color w:val="AAAAAC"/>
          <w:w w:val="72"/>
          <w:sz w:val="12"/>
        </w:rPr>
        <w:t>，唯浏</w:t>
      </w:r>
      <w:r>
        <w:rPr>
          <w:color w:val="AAAAAC"/>
          <w:spacing w:val="14"/>
          <w:sz w:val="12"/>
        </w:rPr>
        <w:t>  </w:t>
      </w:r>
      <w:r>
        <w:rPr>
          <w:color w:val="AAAAAC"/>
          <w:w w:val="72"/>
          <w:sz w:val="12"/>
        </w:rPr>
        <w:t>秘</w:t>
      </w:r>
      <w:r>
        <w:rPr>
          <w:color w:val="AAAAAC"/>
          <w:spacing w:val="-9"/>
          <w:sz w:val="12"/>
        </w:rPr>
        <w:t>   </w:t>
      </w:r>
      <w:r>
        <w:rPr>
          <w:color w:val="AAAAAC"/>
          <w:w w:val="72"/>
          <w:sz w:val="12"/>
        </w:rPr>
        <w:t>却</w:t>
      </w:r>
      <w:r>
        <w:rPr>
          <w:color w:val="AAAAAC"/>
          <w:spacing w:val="-5"/>
          <w:sz w:val="12"/>
        </w:rPr>
        <w:t>   </w:t>
      </w:r>
      <w:r>
        <w:rPr>
          <w:rFonts w:ascii="Times New Roman" w:eastAsia="Times New Roman"/>
          <w:color w:val="AAAAAC"/>
          <w:spacing w:val="-10"/>
          <w:w w:val="91"/>
          <w:sz w:val="16"/>
        </w:rPr>
        <w:t>l</w:t>
      </w:r>
      <w:r>
        <w:rPr>
          <w:color w:val="AAAAAC"/>
          <w:w w:val="91"/>
          <w:sz w:val="12"/>
        </w:rPr>
        <w:t>斗</w:t>
      </w:r>
      <w:r>
        <w:rPr>
          <w:color w:val="AAAAAC"/>
          <w:spacing w:val="-3"/>
          <w:sz w:val="12"/>
        </w:rPr>
        <w:t>  </w:t>
      </w:r>
      <w:r>
        <w:rPr>
          <w:color w:val="AAAAAC"/>
          <w:spacing w:val="-2"/>
          <w:w w:val="110"/>
          <w:sz w:val="12"/>
        </w:rPr>
        <w:t>但址纾过初</w:t>
      </w:r>
      <w:r>
        <w:rPr>
          <w:color w:val="AAAAAC"/>
          <w:spacing w:val="3"/>
          <w:w w:val="100"/>
          <w:sz w:val="12"/>
        </w:rPr>
        <w:t>步伤贷</w:t>
      </w:r>
      <w:r>
        <w:rPr>
          <w:color w:val="858385"/>
          <w:spacing w:val="10"/>
          <w:w w:val="96"/>
          <w:sz w:val="12"/>
        </w:rPr>
        <w:t>．</w:t>
      </w:r>
      <w:r>
        <w:rPr>
          <w:color w:val="AAAAAC"/>
          <w:w w:val="96"/>
          <w:sz w:val="12"/>
        </w:rPr>
        <w:t>现在</w:t>
      </w:r>
      <w:r>
        <w:rPr>
          <w:color w:val="AAAAAC"/>
          <w:spacing w:val="-15"/>
          <w:sz w:val="12"/>
        </w:rPr>
        <w:t> </w:t>
      </w:r>
      <w:r>
        <w:rPr>
          <w:rFonts w:ascii="Arial" w:eastAsia="Arial"/>
          <w:color w:val="AAAAAC"/>
          <w:spacing w:val="-1"/>
          <w:w w:val="108"/>
          <w:sz w:val="13"/>
        </w:rPr>
        <w:t>l,</w:t>
      </w:r>
      <w:r>
        <w:rPr>
          <w:rFonts w:ascii="Arial" w:eastAsia="Arial"/>
          <w:color w:val="AAAAAC"/>
          <w:w w:val="108"/>
          <w:sz w:val="13"/>
        </w:rPr>
        <w:t>l</w:t>
      </w:r>
      <w:r>
        <w:rPr>
          <w:rFonts w:ascii="Arial" w:eastAsia="Arial"/>
          <w:color w:val="AAAAAC"/>
          <w:spacing w:val="14"/>
          <w:sz w:val="13"/>
        </w:rPr>
        <w:t> </w:t>
      </w:r>
      <w:r>
        <w:rPr>
          <w:rFonts w:ascii="Arial" w:eastAsia="Arial"/>
          <w:color w:val="9C9597"/>
          <w:spacing w:val="-1"/>
          <w:w w:val="108"/>
          <w:sz w:val="14"/>
        </w:rPr>
        <w:t>1</w:t>
      </w:r>
      <w:r>
        <w:rPr>
          <w:rFonts w:ascii="Arial" w:eastAsia="Arial"/>
          <w:color w:val="9C9597"/>
          <w:spacing w:val="-18"/>
          <w:w w:val="108"/>
          <w:sz w:val="14"/>
        </w:rPr>
        <w:t>;</w:t>
      </w:r>
      <w:r>
        <w:rPr>
          <w:color w:val="9C9597"/>
          <w:spacing w:val="16"/>
          <w:w w:val="83"/>
          <w:sz w:val="12"/>
        </w:rPr>
        <w:t>叶</w:t>
      </w:r>
      <w:r>
        <w:rPr>
          <w:color w:val="9C9597"/>
          <w:w w:val="100"/>
          <w:sz w:val="12"/>
        </w:rPr>
        <w:t>企业在整</w:t>
      </w:r>
    </w:p>
    <w:p>
      <w:pPr>
        <w:spacing w:after="0"/>
        <w:jc w:val="left"/>
        <w:rPr>
          <w:sz w:val="12"/>
        </w:rPr>
        <w:sectPr>
          <w:type w:val="continuous"/>
          <w:pgSz w:w="11910" w:h="16840"/>
          <w:pgMar w:top="1280" w:bottom="1320" w:left="1560" w:right="1200"/>
          <w:cols w:num="3" w:equalWidth="0">
            <w:col w:w="2357" w:space="40"/>
            <w:col w:w="1513" w:space="39"/>
            <w:col w:w="5201"/>
          </w:cols>
        </w:sectPr>
      </w:pPr>
    </w:p>
    <w:p>
      <w:pPr>
        <w:spacing w:before="46"/>
        <w:ind w:left="1335" w:right="0" w:firstLine="0"/>
        <w:jc w:val="left"/>
        <w:rPr>
          <w:rFonts w:ascii="Arial" w:eastAsia="Arial"/>
          <w:sz w:val="14"/>
        </w:rPr>
      </w:pPr>
      <w:r>
        <w:rPr/>
        <w:pict>
          <v:line style="position:absolute;mso-position-horizontal-relative:page;mso-position-vertical-relative:paragraph;z-index:-252137472" from="204.063446pt,2.755036pt" to="204.063446pt,12.079283pt" stroked="true" strokeweight=".721253pt" strokecolor="#f9e4d8">
            <v:stroke dashstyle="solid"/>
            <w10:wrap type="none"/>
          </v:line>
        </w:pict>
      </w:r>
      <w:r>
        <w:rPr>
          <w:color w:val="9C9597"/>
          <w:spacing w:val="-108"/>
          <w:w w:val="108"/>
          <w:sz w:val="11"/>
        </w:rPr>
        <w:t>个</w:t>
      </w:r>
      <w:r>
        <w:rPr>
          <w:rFonts w:ascii="Arial" w:eastAsia="Arial"/>
          <w:color w:val="BFBDBC"/>
          <w:w w:val="83"/>
          <w:sz w:val="14"/>
        </w:rPr>
        <w:t>,</w:t>
      </w:r>
      <w:r>
        <w:rPr>
          <w:rFonts w:ascii="Arial" w:eastAsia="Arial"/>
          <w:color w:val="BFBDBC"/>
          <w:spacing w:val="-4"/>
          <w:sz w:val="14"/>
        </w:rPr>
        <w:t>   </w:t>
      </w:r>
      <w:r>
        <w:rPr>
          <w:rFonts w:ascii="Arial" w:eastAsia="Arial"/>
          <w:color w:val="BFBDBC"/>
          <w:spacing w:val="-36"/>
          <w:w w:val="89"/>
          <w:sz w:val="14"/>
        </w:rPr>
        <w:t>1</w:t>
      </w:r>
      <w:r>
        <w:rPr>
          <w:color w:val="BFBDBC"/>
          <w:w w:val="89"/>
          <w:sz w:val="12"/>
        </w:rPr>
        <w:t>，场</w:t>
      </w:r>
      <w:r>
        <w:rPr>
          <w:color w:val="BFBDBC"/>
          <w:spacing w:val="-33"/>
          <w:w w:val="86"/>
          <w:sz w:val="12"/>
        </w:rPr>
        <w:t>甩，</w:t>
      </w:r>
      <w:r>
        <w:rPr>
          <w:color w:val="BFBDBC"/>
          <w:spacing w:val="-7"/>
          <w:w w:val="68"/>
          <w:sz w:val="12"/>
        </w:rPr>
        <w:t>片仆</w:t>
      </w:r>
      <w:r>
        <w:rPr>
          <w:rFonts w:ascii="Times New Roman" w:eastAsia="Times New Roman"/>
          <w:color w:val="BFBDBC"/>
          <w:spacing w:val="8"/>
          <w:w w:val="54"/>
          <w:sz w:val="14"/>
        </w:rPr>
        <w:t>'</w:t>
      </w:r>
      <w:r>
        <w:rPr>
          <w:rFonts w:ascii="Times New Roman" w:eastAsia="Times New Roman"/>
          <w:color w:val="859AB3"/>
          <w:spacing w:val="7"/>
          <w:w w:val="74"/>
          <w:sz w:val="14"/>
        </w:rPr>
        <w:t>J</w:t>
      </w:r>
      <w:r>
        <w:rPr>
          <w:color w:val="AAAAAC"/>
          <w:w w:val="99"/>
          <w:sz w:val="12"/>
        </w:rPr>
        <w:t>比</w:t>
      </w:r>
      <w:r>
        <w:rPr>
          <w:color w:val="AAAAAC"/>
          <w:spacing w:val="-14"/>
          <w:sz w:val="12"/>
        </w:rPr>
        <w:t>  </w:t>
      </w:r>
      <w:r>
        <w:rPr>
          <w:rFonts w:ascii="Times New Roman" w:eastAsia="Times New Roman"/>
          <w:color w:val="AAAAAC"/>
          <w:spacing w:val="6"/>
          <w:w w:val="64"/>
          <w:sz w:val="14"/>
        </w:rPr>
        <w:t>J</w:t>
      </w:r>
      <w:r>
        <w:rPr>
          <w:color w:val="AAAAAC"/>
          <w:w w:val="64"/>
          <w:sz w:val="12"/>
        </w:rPr>
        <w:t>丛</w:t>
      </w:r>
      <w:r>
        <w:rPr>
          <w:color w:val="AAAAAC"/>
          <w:spacing w:val="23"/>
          <w:sz w:val="12"/>
        </w:rPr>
        <w:t> </w:t>
      </w:r>
      <w:r>
        <w:rPr>
          <w:rFonts w:ascii="Arial" w:eastAsia="Arial"/>
          <w:color w:val="AAAAAC"/>
          <w:spacing w:val="3"/>
          <w:w w:val="64"/>
          <w:sz w:val="14"/>
        </w:rPr>
        <w:t>I</w:t>
      </w:r>
      <w:r>
        <w:rPr>
          <w:rFonts w:ascii="Arial" w:eastAsia="Arial"/>
          <w:color w:val="AAAAAC"/>
          <w:spacing w:val="-1"/>
          <w:w w:val="64"/>
          <w:sz w:val="14"/>
        </w:rPr>
        <w:t>I:</w:t>
      </w:r>
      <w:r>
        <w:rPr>
          <w:rFonts w:ascii="Arial" w:eastAsia="Arial"/>
          <w:color w:val="AAAAAC"/>
          <w:w w:val="64"/>
          <w:sz w:val="14"/>
        </w:rPr>
        <w:t>t</w:t>
      </w:r>
      <w:r>
        <w:rPr>
          <w:rFonts w:ascii="Arial" w:eastAsia="Arial"/>
          <w:color w:val="AAAAAC"/>
          <w:spacing w:val="-6"/>
          <w:sz w:val="14"/>
        </w:rPr>
        <w:t>  </w:t>
      </w:r>
      <w:r>
        <w:rPr>
          <w:color w:val="AAAAAC"/>
          <w:w w:val="27"/>
          <w:sz w:val="12"/>
        </w:rPr>
        <w:t>'，低</w:t>
      </w:r>
      <w:r>
        <w:rPr>
          <w:color w:val="AAAAAC"/>
          <w:spacing w:val="-6"/>
          <w:sz w:val="12"/>
        </w:rPr>
        <w:t>  </w:t>
      </w:r>
      <w:r>
        <w:rPr>
          <w:color w:val="AAAAAC"/>
          <w:spacing w:val="2"/>
          <w:w w:val="102"/>
          <w:sz w:val="12"/>
        </w:rPr>
        <w:t>们</w:t>
      </w:r>
      <w:r>
        <w:rPr>
          <w:color w:val="858385"/>
          <w:w w:val="57"/>
          <w:sz w:val="12"/>
        </w:rPr>
        <w:t>，</w:t>
      </w:r>
      <w:r>
        <w:rPr>
          <w:color w:val="858385"/>
          <w:spacing w:val="-5"/>
          <w:sz w:val="12"/>
        </w:rPr>
        <w:t> </w:t>
      </w:r>
      <w:r>
        <w:rPr>
          <w:rFonts w:ascii="Arial" w:eastAsia="Arial"/>
          <w:color w:val="AAAAAC"/>
          <w:spacing w:val="-15"/>
          <w:w w:val="63"/>
          <w:sz w:val="14"/>
        </w:rPr>
        <w:t>1</w:t>
      </w:r>
      <w:r>
        <w:rPr>
          <w:color w:val="AAAAAC"/>
          <w:spacing w:val="-35"/>
          <w:w w:val="57"/>
          <w:sz w:val="12"/>
        </w:rPr>
        <w:t>，</w:t>
      </w:r>
      <w:r>
        <w:rPr>
          <w:color w:val="AAAAAC"/>
          <w:spacing w:val="-17"/>
          <w:w w:val="106"/>
          <w:sz w:val="12"/>
        </w:rPr>
        <w:t>牡？术求</w:t>
      </w:r>
      <w:r>
        <w:rPr>
          <w:color w:val="AAAAAC"/>
          <w:spacing w:val="-6"/>
          <w:w w:val="85"/>
          <w:sz w:val="12"/>
        </w:rPr>
        <w:t>负</w:t>
      </w:r>
      <w:r>
        <w:rPr>
          <w:rFonts w:ascii="Arial" w:eastAsia="Arial"/>
          <w:color w:val="AAAAAC"/>
          <w:spacing w:val="-1"/>
          <w:w w:val="85"/>
          <w:sz w:val="14"/>
        </w:rPr>
        <w:t>lIil</w:t>
      </w:r>
      <w:r>
        <w:rPr>
          <w:rFonts w:ascii="Arial" w:eastAsia="Arial"/>
          <w:color w:val="AAAAAC"/>
          <w:spacing w:val="6"/>
          <w:w w:val="85"/>
          <w:sz w:val="14"/>
        </w:rPr>
        <w:t>I</w:t>
      </w:r>
      <w:r>
        <w:rPr>
          <w:color w:val="AAAAAC"/>
          <w:spacing w:val="-72"/>
          <w:w w:val="85"/>
          <w:sz w:val="12"/>
        </w:rPr>
        <w:t>；</w:t>
      </w:r>
      <w:r>
        <w:rPr>
          <w:rFonts w:ascii="Arial" w:eastAsia="Arial"/>
          <w:color w:val="AAAAAC"/>
          <w:w w:val="85"/>
          <w:sz w:val="14"/>
        </w:rPr>
        <w:t>l</w:t>
      </w:r>
      <w:r>
        <w:rPr>
          <w:rFonts w:ascii="Arial" w:eastAsia="Arial"/>
          <w:color w:val="AAAAAC"/>
          <w:spacing w:val="7"/>
          <w:sz w:val="14"/>
        </w:rPr>
        <w:t>  </w:t>
      </w:r>
      <w:r>
        <w:rPr>
          <w:color w:val="AAAAAC"/>
          <w:spacing w:val="7"/>
          <w:w w:val="103"/>
          <w:sz w:val="12"/>
        </w:rPr>
        <w:t>促进从」时</w:t>
      </w:r>
      <w:r>
        <w:rPr>
          <w:rFonts w:ascii="Arial" w:eastAsia="Arial"/>
          <w:color w:val="AAAAAC"/>
          <w:spacing w:val="11"/>
          <w:w w:val="103"/>
          <w:sz w:val="16"/>
        </w:rPr>
        <w:t>8</w:t>
      </w:r>
      <w:r>
        <w:rPr>
          <w:color w:val="AAAAAC"/>
          <w:spacing w:val="13"/>
          <w:w w:val="103"/>
          <w:sz w:val="12"/>
        </w:rPr>
        <w:t>收企</w:t>
      </w:r>
      <w:r>
        <w:rPr>
          <w:rFonts w:ascii="Times New Roman" w:eastAsia="Times New Roman"/>
          <w:color w:val="AAAAAC"/>
          <w:spacing w:val="-11"/>
          <w:w w:val="93"/>
          <w:sz w:val="14"/>
        </w:rPr>
        <w:t>J</w:t>
      </w:r>
      <w:r>
        <w:rPr>
          <w:color w:val="AAAAAC"/>
          <w:spacing w:val="-17"/>
          <w:w w:val="110"/>
          <w:sz w:val="12"/>
        </w:rPr>
        <w:t>叮</w:t>
      </w:r>
      <w:r>
        <w:rPr>
          <w:rFonts w:ascii="Arial" w:eastAsia="Arial"/>
          <w:color w:val="AAAAAC"/>
          <w:spacing w:val="-8"/>
          <w:w w:val="108"/>
          <w:sz w:val="14"/>
        </w:rPr>
        <w:t>0</w:t>
      </w:r>
      <w:r>
        <w:rPr>
          <w:color w:val="AAAAAC"/>
          <w:w w:val="108"/>
          <w:sz w:val="12"/>
        </w:rPr>
        <w:t>丸战？人</w:t>
      </w:r>
      <w:r>
        <w:rPr>
          <w:color w:val="AAAAAC"/>
          <w:spacing w:val="-28"/>
          <w:sz w:val="12"/>
        </w:rPr>
        <w:t> </w:t>
      </w:r>
      <w:r>
        <w:rPr>
          <w:color w:val="AAAAAC"/>
          <w:w w:val="70"/>
          <w:sz w:val="12"/>
        </w:rPr>
        <w:t>于令政进</w:t>
      </w:r>
      <w:r>
        <w:rPr>
          <w:color w:val="AAAAAC"/>
          <w:spacing w:val="-10"/>
          <w:sz w:val="12"/>
        </w:rPr>
        <w:t>  </w:t>
      </w:r>
      <w:r>
        <w:rPr>
          <w:color w:val="AAAAAC"/>
          <w:spacing w:val="-10"/>
          <w:w w:val="87"/>
          <w:sz w:val="12"/>
        </w:rPr>
        <w:t>升</w:t>
      </w:r>
      <w:r>
        <w:rPr>
          <w:rFonts w:ascii="Arial" w:eastAsia="Arial"/>
          <w:color w:val="AAAAAC"/>
          <w:w w:val="87"/>
          <w:sz w:val="14"/>
        </w:rPr>
        <w:t>H</w:t>
      </w:r>
    </w:p>
    <w:p>
      <w:pPr>
        <w:pStyle w:val="BodyText"/>
        <w:rPr>
          <w:rFonts w:ascii="Arial"/>
          <w:sz w:val="17"/>
        </w:rPr>
      </w:pPr>
    </w:p>
    <w:p>
      <w:pPr>
        <w:spacing w:before="0"/>
        <w:ind w:left="1571" w:right="0" w:firstLine="0"/>
        <w:jc w:val="left"/>
        <w:rPr>
          <w:sz w:val="12"/>
        </w:rPr>
      </w:pPr>
      <w:r>
        <w:rPr>
          <w:smallCaps/>
          <w:color w:val="545459"/>
          <w:w w:val="87"/>
          <w:sz w:val="12"/>
        </w:rPr>
        <w:t>［</w:t>
      </w:r>
      <w:r>
        <w:rPr>
          <w:smallCaps w:val="0"/>
          <w:color w:val="545459"/>
          <w:spacing w:val="-27"/>
          <w:sz w:val="12"/>
        </w:rPr>
        <w:t> </w:t>
      </w:r>
      <w:r>
        <w:rPr>
          <w:smallCaps w:val="0"/>
          <w:color w:val="858385"/>
          <w:w w:val="87"/>
          <w:sz w:val="12"/>
        </w:rPr>
        <w:t>冈衣投展书</w:t>
      </w:r>
      <w:r>
        <w:rPr>
          <w:smallCaps w:val="0"/>
          <w:color w:val="858385"/>
          <w:sz w:val="12"/>
        </w:rPr>
        <w:t> </w:t>
      </w:r>
      <w:r>
        <w:rPr>
          <w:smallCaps w:val="0"/>
          <w:color w:val="858385"/>
          <w:spacing w:val="-18"/>
          <w:sz w:val="12"/>
        </w:rPr>
        <w:t> </w:t>
      </w:r>
      <w:r>
        <w:rPr>
          <w:rFonts w:ascii="Arial" w:eastAsia="Arial"/>
          <w:smallCaps w:val="0"/>
          <w:color w:val="545459"/>
          <w:w w:val="80"/>
          <w:sz w:val="14"/>
        </w:rPr>
        <w:t>l</w:t>
      </w:r>
      <w:r>
        <w:rPr>
          <w:rFonts w:ascii="Arial" w:eastAsia="Arial"/>
          <w:smallCaps w:val="0"/>
          <w:color w:val="545459"/>
          <w:spacing w:val="-26"/>
          <w:sz w:val="14"/>
        </w:rPr>
        <w:t> </w:t>
      </w:r>
      <w:r>
        <w:rPr>
          <w:smallCaps w:val="0"/>
          <w:color w:val="858385"/>
          <w:w w:val="102"/>
          <w:sz w:val="12"/>
        </w:rPr>
        <w:t>改午委员公均</w:t>
      </w:r>
      <w:r>
        <w:rPr>
          <w:smallCaps w:val="0"/>
          <w:color w:val="858385"/>
          <w:spacing w:val="29"/>
          <w:sz w:val="12"/>
        </w:rPr>
        <w:t> </w:t>
      </w:r>
      <w:r>
        <w:rPr>
          <w:rFonts w:ascii="Arial" w:eastAsia="Arial"/>
          <w:smallCaps w:val="0"/>
          <w:color w:val="858385"/>
          <w:spacing w:val="-1"/>
          <w:w w:val="94"/>
          <w:sz w:val="14"/>
        </w:rPr>
        <w:t>E</w:t>
      </w:r>
      <w:r>
        <w:rPr>
          <w:smallCaps w:val="0"/>
          <w:color w:val="837262"/>
          <w:w w:val="94"/>
          <w:sz w:val="12"/>
        </w:rPr>
        <w:t>仕</w:t>
      </w:r>
      <w:r>
        <w:rPr>
          <w:smallCaps w:val="0"/>
          <w:color w:val="837262"/>
          <w:spacing w:val="29"/>
          <w:sz w:val="12"/>
        </w:rPr>
        <w:t> </w:t>
      </w:r>
      <w:r>
        <w:rPr>
          <w:smallCaps w:val="0"/>
          <w:color w:val="858385"/>
          <w:w w:val="99"/>
          <w:sz w:val="12"/>
        </w:rPr>
        <w:t>迕砾</w:t>
      </w:r>
      <w:r>
        <w:rPr>
          <w:smallCaps w:val="0"/>
          <w:color w:val="858385"/>
          <w:spacing w:val="-21"/>
          <w:sz w:val="12"/>
        </w:rPr>
        <w:t> </w:t>
      </w:r>
      <w:r>
        <w:rPr>
          <w:smallCaps w:val="0"/>
          <w:color w:val="858385"/>
          <w:w w:val="86"/>
          <w:sz w:val="12"/>
        </w:rPr>
        <w:t>从］</w:t>
      </w:r>
    </w:p>
    <w:p>
      <w:pPr>
        <w:pStyle w:val="BodyText"/>
        <w:spacing w:before="8"/>
        <w:rPr>
          <w:sz w:val="15"/>
        </w:rPr>
      </w:pPr>
    </w:p>
    <w:p>
      <w:pPr>
        <w:spacing w:line="304" w:lineRule="auto" w:before="0"/>
        <w:ind w:left="1327" w:right="751" w:firstLine="254"/>
        <w:jc w:val="left"/>
        <w:rPr>
          <w:sz w:val="11"/>
        </w:rPr>
      </w:pPr>
      <w:r>
        <w:rPr>
          <w:color w:val="AAAAAC"/>
          <w:spacing w:val="-2"/>
          <w:w w:val="109"/>
          <w:sz w:val="12"/>
        </w:rPr>
        <w:t>心谢心的见</w:t>
      </w:r>
      <w:r>
        <w:rPr>
          <w:rFonts w:ascii="Arial" w:hAnsi="Arial" w:eastAsia="Arial"/>
          <w:color w:val="AAAAAC"/>
          <w:w w:val="110"/>
          <w:sz w:val="11"/>
        </w:rPr>
        <w:t>H</w:t>
      </w:r>
      <w:r>
        <w:rPr>
          <w:rFonts w:ascii="Arial" w:hAnsi="Arial" w:eastAsia="Arial"/>
          <w:color w:val="AAAAAC"/>
          <w:spacing w:val="6"/>
          <w:sz w:val="11"/>
        </w:rPr>
        <w:t> </w:t>
      </w:r>
      <w:r>
        <w:rPr>
          <w:color w:val="AAAAAC"/>
          <w:spacing w:val="-3"/>
          <w:w w:val="102"/>
          <w:sz w:val="12"/>
        </w:rPr>
        <w:t>，促进京政心访业界卜</w:t>
      </w:r>
      <w:r>
        <w:rPr>
          <w:rFonts w:ascii="Arial" w:hAnsi="Arial" w:eastAsia="Arial"/>
          <w:color w:val="AAAAAC"/>
          <w:w w:val="75"/>
          <w:sz w:val="14"/>
        </w:rPr>
        <w:t>J</w:t>
      </w:r>
      <w:r>
        <w:rPr>
          <w:rFonts w:ascii="Arial" w:hAnsi="Arial" w:eastAsia="Arial"/>
          <w:color w:val="AAAAAC"/>
          <w:spacing w:val="4"/>
          <w:w w:val="75"/>
          <w:sz w:val="14"/>
        </w:rPr>
        <w:t>i</w:t>
      </w:r>
      <w:r>
        <w:rPr>
          <w:color w:val="AAAAAC"/>
          <w:w w:val="75"/>
          <w:sz w:val="12"/>
        </w:rPr>
        <w:t>扩</w:t>
      </w:r>
      <w:r>
        <w:rPr>
          <w:color w:val="AAAAAC"/>
          <w:spacing w:val="-13"/>
          <w:sz w:val="12"/>
        </w:rPr>
        <w:t> </w:t>
      </w:r>
      <w:r>
        <w:rPr>
          <w:color w:val="AAAAAC"/>
          <w:spacing w:val="-2"/>
          <w:w w:val="109"/>
          <w:sz w:val="12"/>
        </w:rPr>
        <w:t>容</w:t>
      </w:r>
      <w:r>
        <w:rPr>
          <w:color w:val="858385"/>
          <w:spacing w:val="-5"/>
          <w:w w:val="109"/>
          <w:sz w:val="12"/>
        </w:rPr>
        <w:t>．</w:t>
      </w:r>
      <w:r>
        <w:rPr>
          <w:color w:val="858385"/>
          <w:spacing w:val="-45"/>
          <w:w w:val="45"/>
          <w:sz w:val="12"/>
        </w:rPr>
        <w:t>，</w:t>
      </w:r>
      <w:r>
        <w:rPr>
          <w:color w:val="AAAAAC"/>
          <w:w w:val="100"/>
          <w:sz w:val="12"/>
        </w:rPr>
        <w:t>店心抓仕</w:t>
      </w:r>
      <w:r>
        <w:rPr>
          <w:color w:val="AAAAAC"/>
          <w:spacing w:val="-23"/>
          <w:sz w:val="12"/>
        </w:rPr>
        <w:t> </w:t>
      </w:r>
      <w:r>
        <w:rPr>
          <w:color w:val="AAAAAC"/>
          <w:w w:val="87"/>
          <w:sz w:val="12"/>
        </w:rPr>
        <w:t>艾诅</w:t>
      </w:r>
      <w:r>
        <w:rPr>
          <w:color w:val="AAAAAC"/>
          <w:spacing w:val="-14"/>
          <w:sz w:val="12"/>
        </w:rPr>
        <w:t> </w:t>
      </w:r>
      <w:r>
        <w:rPr>
          <w:color w:val="AAAAAC"/>
          <w:w w:val="26"/>
          <w:sz w:val="12"/>
        </w:rPr>
        <w:t>气</w:t>
      </w:r>
      <w:r>
        <w:rPr>
          <w:color w:val="AAAAAC"/>
          <w:spacing w:val="8"/>
          <w:sz w:val="12"/>
        </w:rPr>
        <w:t> </w:t>
      </w:r>
      <w:r>
        <w:rPr>
          <w:rFonts w:ascii="Times New Roman" w:hAnsi="Times New Roman" w:eastAsia="Times New Roman"/>
          <w:color w:val="AAAAAC"/>
          <w:w w:val="87"/>
          <w:sz w:val="14"/>
        </w:rPr>
        <w:t>!.','</w:t>
      </w:r>
      <w:r>
        <w:rPr>
          <w:rFonts w:ascii="Times New Roman" w:hAnsi="Times New Roman" w:eastAsia="Times New Roman"/>
          <w:color w:val="AAAAAC"/>
          <w:spacing w:val="-16"/>
          <w:w w:val="87"/>
          <w:sz w:val="14"/>
        </w:rPr>
        <w:t>i</w:t>
      </w:r>
      <w:r>
        <w:rPr>
          <w:color w:val="AAAAAC"/>
          <w:w w:val="92"/>
          <w:sz w:val="12"/>
        </w:rPr>
        <w:t>作祚负</w:t>
      </w:r>
      <w:r>
        <w:rPr>
          <w:color w:val="AAAAAC"/>
          <w:spacing w:val="-5"/>
          <w:sz w:val="12"/>
        </w:rPr>
        <w:t>   </w:t>
      </w:r>
      <w:r>
        <w:rPr>
          <w:rFonts w:ascii="Arial" w:hAnsi="Arial" w:eastAsia="Arial"/>
          <w:color w:val="AAAAAC"/>
          <w:spacing w:val="-1"/>
          <w:w w:val="77"/>
          <w:sz w:val="14"/>
        </w:rPr>
        <w:t>f</w:t>
      </w:r>
      <w:r>
        <w:rPr>
          <w:rFonts w:ascii="Arial" w:hAnsi="Arial" w:eastAsia="Arial"/>
          <w:color w:val="AAAAAC"/>
          <w:w w:val="77"/>
          <w:sz w:val="14"/>
        </w:rPr>
        <w:t>t</w:t>
      </w:r>
      <w:r>
        <w:rPr>
          <w:rFonts w:ascii="Arial" w:hAnsi="Arial" w:eastAsia="Arial"/>
          <w:color w:val="AAAAAC"/>
          <w:spacing w:val="-6"/>
          <w:sz w:val="14"/>
        </w:rPr>
        <w:t>  </w:t>
      </w:r>
      <w:r>
        <w:rPr>
          <w:rFonts w:ascii="Arial" w:hAnsi="Arial" w:eastAsia="Arial"/>
          <w:color w:val="AAAAAC"/>
          <w:spacing w:val="-1"/>
          <w:w w:val="77"/>
          <w:sz w:val="14"/>
        </w:rPr>
        <w:t>l!</w:t>
      </w:r>
      <w:r>
        <w:rPr>
          <w:rFonts w:ascii="Arial" w:hAnsi="Arial" w:eastAsia="Arial"/>
          <w:color w:val="AAAAAC"/>
          <w:w w:val="77"/>
          <w:sz w:val="14"/>
        </w:rPr>
        <w:t>i</w:t>
      </w:r>
      <w:r>
        <w:rPr>
          <w:rFonts w:ascii="Arial" w:hAnsi="Arial" w:eastAsia="Arial"/>
          <w:color w:val="AAAAAC"/>
          <w:spacing w:val="10"/>
          <w:sz w:val="14"/>
        </w:rPr>
        <w:t> </w:t>
      </w:r>
      <w:r>
        <w:rPr>
          <w:color w:val="AAAAAC"/>
          <w:w w:val="96"/>
          <w:sz w:val="12"/>
        </w:rPr>
        <w:t>关心的</w:t>
      </w:r>
      <w:r>
        <w:rPr>
          <w:color w:val="AAAAAC"/>
          <w:spacing w:val="-26"/>
          <w:sz w:val="12"/>
        </w:rPr>
        <w:t> </w:t>
      </w:r>
      <w:r>
        <w:rPr>
          <w:color w:val="AAAAAC"/>
          <w:w w:val="90"/>
          <w:sz w:val="12"/>
        </w:rPr>
        <w:t>从</w:t>
      </w:r>
      <w:r>
        <w:rPr>
          <w:color w:val="AAAAAC"/>
          <w:spacing w:val="-30"/>
          <w:sz w:val="12"/>
        </w:rPr>
        <w:t> </w:t>
      </w:r>
      <w:r>
        <w:rPr>
          <w:rFonts w:ascii="Times New Roman" w:hAnsi="Times New Roman" w:eastAsia="Times New Roman"/>
          <w:color w:val="AAAAAC"/>
          <w:spacing w:val="-5"/>
          <w:w w:val="90"/>
          <w:sz w:val="14"/>
        </w:rPr>
        <w:t>1</w:t>
      </w:r>
      <w:r>
        <w:rPr>
          <w:color w:val="AAAAAC"/>
          <w:w w:val="90"/>
          <w:sz w:val="13"/>
        </w:rPr>
        <w:t>沛</w:t>
      </w:r>
      <w:r>
        <w:rPr>
          <w:color w:val="AAAAAC"/>
          <w:spacing w:val="-40"/>
          <w:sz w:val="13"/>
        </w:rPr>
        <w:t> </w:t>
      </w:r>
      <w:r>
        <w:rPr>
          <w:rFonts w:ascii="Times New Roman" w:hAnsi="Times New Roman" w:eastAsia="Times New Roman"/>
          <w:color w:val="AAAAAC"/>
          <w:w w:val="59"/>
          <w:sz w:val="13"/>
        </w:rPr>
        <w:t>J</w:t>
      </w:r>
      <w:r>
        <w:rPr>
          <w:rFonts w:ascii="Times New Roman" w:hAnsi="Times New Roman" w:eastAsia="Times New Roman"/>
          <w:color w:val="AAAAAC"/>
          <w:spacing w:val="-12"/>
          <w:sz w:val="13"/>
        </w:rPr>
        <w:t> </w:t>
      </w:r>
      <w:r>
        <w:rPr>
          <w:color w:val="AAAAAC"/>
          <w:w w:val="99"/>
          <w:sz w:val="12"/>
        </w:rPr>
        <w:t>本政扣贰政进</w:t>
      </w:r>
      <w:r>
        <w:rPr>
          <w:color w:val="AAAAAC"/>
          <w:spacing w:val="-11"/>
          <w:sz w:val="12"/>
        </w:rPr>
        <w:t> </w:t>
      </w:r>
      <w:r>
        <w:rPr>
          <w:rFonts w:ascii="Arial" w:hAnsi="Arial" w:eastAsia="Arial"/>
          <w:color w:val="AAAAAC"/>
          <w:w w:val="110"/>
          <w:sz w:val="11"/>
        </w:rPr>
        <w:t>t</w:t>
      </w:r>
      <w:r>
        <w:rPr>
          <w:rFonts w:ascii="Arial" w:hAnsi="Arial" w:eastAsia="Arial"/>
          <w:color w:val="AAAAAC"/>
          <w:spacing w:val="-6"/>
          <w:sz w:val="11"/>
        </w:rPr>
        <w:t> </w:t>
      </w:r>
      <w:r>
        <w:rPr>
          <w:rFonts w:ascii="Arial" w:hAnsi="Arial" w:eastAsia="Arial"/>
          <w:color w:val="AAAAAC"/>
          <w:w w:val="110"/>
          <w:sz w:val="11"/>
        </w:rPr>
        <w:t>|</w:t>
      </w:r>
      <w:r>
        <w:rPr>
          <w:rFonts w:ascii="Arial" w:hAnsi="Arial" w:eastAsia="Arial"/>
          <w:color w:val="AAAAAC"/>
          <w:spacing w:val="8"/>
          <w:sz w:val="11"/>
        </w:rPr>
        <w:t> </w:t>
      </w:r>
      <w:r>
        <w:rPr>
          <w:rFonts w:ascii="Arial" w:hAnsi="Arial" w:eastAsia="Arial"/>
          <w:color w:val="AAAAAC"/>
          <w:spacing w:val="-1"/>
          <w:w w:val="110"/>
          <w:sz w:val="11"/>
        </w:rPr>
        <w:t>l</w:t>
      </w:r>
      <w:r>
        <w:rPr>
          <w:rFonts w:ascii="Arial" w:hAnsi="Arial" w:eastAsia="Arial"/>
          <w:color w:val="AAAAAC"/>
          <w:w w:val="110"/>
          <w:sz w:val="11"/>
        </w:rPr>
        <w:t>{</w:t>
      </w:r>
      <w:r>
        <w:rPr>
          <w:rFonts w:ascii="Arial" w:hAnsi="Arial" w:eastAsia="Arial"/>
          <w:color w:val="AAAAAC"/>
          <w:spacing w:val="-2"/>
          <w:sz w:val="11"/>
        </w:rPr>
        <w:t>  </w:t>
      </w:r>
      <w:r>
        <w:rPr>
          <w:color w:val="AAAAAC"/>
          <w:spacing w:val="-1"/>
          <w:w w:val="110"/>
          <w:sz w:val="12"/>
        </w:rPr>
        <w:t>．从戌</w:t>
      </w:r>
      <w:r>
        <w:rPr>
          <w:color w:val="AAAAAC"/>
          <w:spacing w:val="25"/>
          <w:w w:val="98"/>
          <w:sz w:val="12"/>
        </w:rPr>
        <w:t>江</w:t>
      </w:r>
      <w:r>
        <w:rPr>
          <w:color w:val="AAAAAC"/>
          <w:spacing w:val="12"/>
          <w:w w:val="83"/>
          <w:sz w:val="12"/>
        </w:rPr>
        <w:t>行</w:t>
      </w:r>
      <w:r>
        <w:rPr>
          <w:color w:val="AAAAAC"/>
          <w:w w:val="103"/>
          <w:sz w:val="12"/>
        </w:rPr>
        <w:t>丛京蚥杻各业及</w:t>
      </w:r>
      <w:r>
        <w:rPr>
          <w:color w:val="AAAAAC"/>
          <w:spacing w:val="-24"/>
          <w:sz w:val="12"/>
        </w:rPr>
        <w:t> </w:t>
      </w:r>
      <w:r>
        <w:rPr>
          <w:rFonts w:ascii="Times New Roman" w:hAnsi="Times New Roman" w:eastAsia="Times New Roman"/>
          <w:color w:val="AAAAAC"/>
          <w:spacing w:val="-10"/>
          <w:w w:val="71"/>
          <w:sz w:val="10"/>
        </w:rPr>
        <w:t>1</w:t>
      </w:r>
      <w:r>
        <w:rPr>
          <w:color w:val="AAAAAC"/>
          <w:spacing w:val="11"/>
          <w:w w:val="78"/>
          <w:sz w:val="11"/>
        </w:rPr>
        <w:t>戍</w:t>
      </w:r>
      <w:r>
        <w:rPr>
          <w:rFonts w:ascii="Arial" w:hAnsi="Arial" w:eastAsia="Arial"/>
          <w:color w:val="AAAAAC"/>
          <w:w w:val="109"/>
          <w:sz w:val="12"/>
        </w:rPr>
        <w:t>rr</w:t>
      </w:r>
      <w:r>
        <w:rPr>
          <w:rFonts w:ascii="Arial" w:hAnsi="Arial" w:eastAsia="Arial"/>
          <w:color w:val="AAAAAC"/>
          <w:spacing w:val="5"/>
          <w:w w:val="109"/>
          <w:sz w:val="12"/>
        </w:rPr>
        <w:t>j</w:t>
      </w:r>
      <w:r>
        <w:rPr>
          <w:color w:val="AAAAAC"/>
          <w:w w:val="109"/>
          <w:sz w:val="12"/>
        </w:rPr>
        <w:t>短板</w:t>
      </w:r>
      <w:r>
        <w:rPr>
          <w:color w:val="AAAAAC"/>
          <w:spacing w:val="-9"/>
          <w:w w:val="109"/>
          <w:sz w:val="12"/>
        </w:rPr>
        <w:t>·</w:t>
      </w:r>
      <w:r>
        <w:rPr>
          <w:color w:val="AAAAAC"/>
          <w:w w:val="108"/>
          <w:sz w:val="12"/>
        </w:rPr>
        <w:t>从＊米什处没展的</w:t>
      </w:r>
      <w:r>
        <w:rPr>
          <w:color w:val="AAAAAC"/>
          <w:spacing w:val="-51"/>
          <w:w w:val="82"/>
          <w:sz w:val="12"/>
        </w:rPr>
        <w:t>力</w:t>
      </w:r>
      <w:r>
        <w:rPr>
          <w:color w:val="AAAAAC"/>
          <w:spacing w:val="-11"/>
          <w:w w:val="64"/>
          <w:sz w:val="12"/>
        </w:rPr>
        <w:t>－</w:t>
      </w:r>
      <w:r>
        <w:rPr>
          <w:rFonts w:ascii="Arial" w:hAnsi="Arial" w:eastAsia="Arial"/>
          <w:color w:val="AAAAAC"/>
          <w:w w:val="64"/>
          <w:sz w:val="15"/>
        </w:rPr>
        <w:t>H</w:t>
      </w:r>
      <w:r>
        <w:rPr>
          <w:rFonts w:ascii="Arial" w:hAnsi="Arial" w:eastAsia="Arial"/>
          <w:color w:val="AAAAAC"/>
          <w:spacing w:val="-10"/>
          <w:sz w:val="15"/>
        </w:rPr>
        <w:t>  </w:t>
      </w:r>
      <w:r>
        <w:rPr>
          <w:rFonts w:ascii="Arial" w:hAnsi="Arial" w:eastAsia="Arial"/>
          <w:color w:val="AAAAAC"/>
          <w:w w:val="64"/>
          <w:sz w:val="15"/>
        </w:rPr>
        <w:t>.</w:t>
      </w:r>
      <w:r>
        <w:rPr>
          <w:rFonts w:ascii="Arial" w:hAnsi="Arial" w:eastAsia="Arial"/>
          <w:color w:val="AAAAAC"/>
          <w:spacing w:val="3"/>
          <w:sz w:val="15"/>
        </w:rPr>
        <w:t>  </w:t>
      </w:r>
      <w:r>
        <w:rPr>
          <w:color w:val="AAAAAC"/>
          <w:w w:val="64"/>
          <w:sz w:val="12"/>
        </w:rPr>
        <w:t>同时</w:t>
      </w:r>
      <w:r>
        <w:rPr>
          <w:color w:val="AAAAAC"/>
          <w:spacing w:val="-3"/>
          <w:sz w:val="12"/>
        </w:rPr>
        <w:t>  </w:t>
      </w:r>
      <w:r>
        <w:rPr>
          <w:color w:val="AAAAAC"/>
          <w:spacing w:val="4"/>
          <w:w w:val="102"/>
          <w:sz w:val="12"/>
        </w:rPr>
        <w:t>也上史奸</w:t>
      </w:r>
      <w:r>
        <w:rPr>
          <w:rFonts w:ascii="Arial" w:hAnsi="Arial" w:eastAsia="Arial"/>
          <w:color w:val="AAAAAC"/>
          <w:spacing w:val="-80"/>
          <w:w w:val="100"/>
          <w:sz w:val="15"/>
        </w:rPr>
        <w:t>b</w:t>
      </w:r>
      <w:r>
        <w:rPr>
          <w:color w:val="AAAAAC"/>
          <w:w w:val="100"/>
          <w:sz w:val="12"/>
        </w:rPr>
        <w:t>：体从中片扣和女行利红的</w:t>
      </w:r>
      <w:r>
        <w:rPr>
          <w:color w:val="AAAAAC"/>
          <w:spacing w:val="-5"/>
          <w:sz w:val="12"/>
        </w:rPr>
        <w:t>  </w:t>
      </w:r>
      <w:r>
        <w:rPr>
          <w:color w:val="AAAAAC"/>
          <w:w w:val="86"/>
          <w:sz w:val="12"/>
        </w:rPr>
        <w:t>长效肌</w:t>
      </w:r>
      <w:r>
        <w:rPr>
          <w:color w:val="AAAAAC"/>
          <w:spacing w:val="4"/>
          <w:sz w:val="12"/>
        </w:rPr>
        <w:t> </w:t>
      </w:r>
      <w:r>
        <w:rPr>
          <w:color w:val="AAAAAC"/>
          <w:spacing w:val="7"/>
          <w:w w:val="102"/>
          <w:sz w:val="12"/>
        </w:rPr>
        <w:t>利．所以</w:t>
      </w:r>
      <w:r>
        <w:rPr>
          <w:color w:val="AAAAAC"/>
          <w:w w:val="89"/>
          <w:sz w:val="12"/>
        </w:rPr>
        <w:t>付］负</w:t>
      </w:r>
      <w:r>
        <w:rPr>
          <w:color w:val="AAAAAC"/>
          <w:spacing w:val="-6"/>
          <w:sz w:val="12"/>
        </w:rPr>
        <w:t> </w:t>
      </w:r>
      <w:r>
        <w:rPr>
          <w:color w:val="AAAAAC"/>
          <w:w w:val="89"/>
          <w:sz w:val="12"/>
        </w:rPr>
        <w:t>袒</w:t>
      </w:r>
      <w:r>
        <w:rPr>
          <w:color w:val="AAAAAC"/>
          <w:spacing w:val="1"/>
          <w:sz w:val="12"/>
        </w:rPr>
        <w:t> </w:t>
      </w:r>
      <w:r>
        <w:rPr>
          <w:color w:val="AAAAAC"/>
          <w:w w:val="89"/>
          <w:sz w:val="12"/>
        </w:rPr>
        <w:t>环</w:t>
      </w:r>
      <w:r>
        <w:rPr>
          <w:color w:val="AAAAAC"/>
          <w:spacing w:val="13"/>
          <w:sz w:val="12"/>
        </w:rPr>
        <w:t> </w:t>
      </w:r>
      <w:r>
        <w:rPr>
          <w:rFonts w:ascii="Times New Roman" w:hAnsi="Times New Roman" w:eastAsia="Times New Roman"/>
          <w:color w:val="AAAAAC"/>
          <w:w w:val="66"/>
          <w:sz w:val="10"/>
        </w:rPr>
        <w:t>I</w:t>
      </w:r>
      <w:r>
        <w:rPr>
          <w:rFonts w:ascii="Times New Roman" w:hAnsi="Times New Roman" w:eastAsia="Times New Roman"/>
          <w:color w:val="AAAAAC"/>
          <w:spacing w:val="-3"/>
          <w:sz w:val="10"/>
        </w:rPr>
        <w:t> </w:t>
      </w:r>
      <w:r>
        <w:rPr>
          <w:rFonts w:ascii="Times New Roman" w:hAnsi="Times New Roman" w:eastAsia="Times New Roman"/>
          <w:color w:val="AAAAAC"/>
          <w:spacing w:val="4"/>
          <w:w w:val="76"/>
          <w:sz w:val="17"/>
        </w:rPr>
        <w:t>f</w:t>
      </w:r>
      <w:r>
        <w:rPr>
          <w:rFonts w:ascii="Times New Roman" w:hAnsi="Times New Roman" w:eastAsia="Times New Roman"/>
          <w:color w:val="AAAAAC"/>
          <w:spacing w:val="-1"/>
          <w:w w:val="73"/>
          <w:sz w:val="17"/>
        </w:rPr>
        <w:t>t.</w:t>
      </w:r>
      <w:r>
        <w:rPr>
          <w:rFonts w:ascii="Times New Roman" w:hAnsi="Times New Roman" w:eastAsia="Times New Roman"/>
          <w:color w:val="AAAAAC"/>
          <w:spacing w:val="-2"/>
          <w:w w:val="73"/>
          <w:sz w:val="17"/>
        </w:rPr>
        <w:t>I</w:t>
      </w:r>
      <w:r>
        <w:rPr>
          <w:color w:val="AAAAAC"/>
          <w:w w:val="73"/>
          <w:sz w:val="11"/>
        </w:rPr>
        <w:t>丈</w:t>
      </w:r>
    </w:p>
    <w:p>
      <w:pPr>
        <w:pStyle w:val="BodyText"/>
        <w:spacing w:before="1"/>
        <w:rPr>
          <w:sz w:val="9"/>
        </w:rPr>
      </w:pPr>
      <w:r>
        <w:rPr/>
        <w:pict>
          <v:group style="position:absolute;margin-left:90.397034pt;margin-top:7.78004pt;width:353.45pt;height:293.850pt;mso-position-horizontal-relative:page;mso-position-vertical-relative:paragraph;z-index:-251652096;mso-wrap-distance-left:0;mso-wrap-distance-right:0" coordorigin="1808,156" coordsize="7069,5877">
            <v:shape style="position:absolute;left:1807;top:155;width:7069;height:5877" type="#_x0000_t75" stroked="false">
              <v:imagedata r:id="rId8" o:title=""/>
            </v:shape>
            <v:shape style="position:absolute;left:4694;top:746;width:380;height:360" type="#_x0000_t202" filled="false" stroked="false">
              <v:textbox inset="0,0,0,0">
                <w:txbxContent>
                  <w:p>
                    <w:pPr>
                      <w:spacing w:line="360" w:lineRule="exact" w:before="0"/>
                      <w:ind w:left="0" w:right="0" w:firstLine="0"/>
                      <w:jc w:val="left"/>
                      <w:rPr>
                        <w:b/>
                        <w:sz w:val="36"/>
                      </w:rPr>
                    </w:pPr>
                    <w:r>
                      <w:rPr>
                        <w:b/>
                        <w:color w:val="585858"/>
                        <w:w w:val="99"/>
                        <w:sz w:val="36"/>
                      </w:rPr>
                      <w:t>企</w:t>
                    </w:r>
                  </w:p>
                </w:txbxContent>
              </v:textbox>
              <w10:wrap type="none"/>
            </v:shape>
            <v:shape style="position:absolute;left:5335;top:746;width:380;height:360" type="#_x0000_t202" filled="false" stroked="false">
              <v:textbox inset="0,0,0,0">
                <w:txbxContent>
                  <w:p>
                    <w:pPr>
                      <w:spacing w:line="360" w:lineRule="exact" w:before="0"/>
                      <w:ind w:left="0" w:right="0" w:firstLine="0"/>
                      <w:jc w:val="left"/>
                      <w:rPr>
                        <w:b/>
                        <w:sz w:val="36"/>
                      </w:rPr>
                    </w:pPr>
                    <w:r>
                      <w:rPr>
                        <w:b/>
                        <w:color w:val="585858"/>
                        <w:w w:val="99"/>
                        <w:sz w:val="36"/>
                      </w:rPr>
                      <w:t>业</w:t>
                    </w:r>
                  </w:p>
                </w:txbxContent>
              </v:textbox>
              <w10:wrap type="none"/>
            </v:shape>
            <v:shape style="position:absolute;left:2666;top:4482;width:381;height:361" type="#_x0000_t202" filled="false" stroked="false">
              <v:textbox inset="0,0,0,0">
                <w:txbxContent>
                  <w:p>
                    <w:pPr>
                      <w:spacing w:line="361" w:lineRule="exact" w:before="0"/>
                      <w:ind w:left="0" w:right="0" w:firstLine="0"/>
                      <w:jc w:val="left"/>
                      <w:rPr>
                        <w:b/>
                        <w:sz w:val="36"/>
                      </w:rPr>
                    </w:pPr>
                    <w:r>
                      <w:rPr>
                        <w:b/>
                        <w:color w:val="585858"/>
                        <w:w w:val="99"/>
                        <w:sz w:val="36"/>
                      </w:rPr>
                      <w:t>员</w:t>
                    </w:r>
                  </w:p>
                </w:txbxContent>
              </v:textbox>
              <w10:wrap type="none"/>
            </v:shape>
            <v:shape style="position:absolute;left:3307;top:4482;width:381;height:361" type="#_x0000_t202" filled="false" stroked="false">
              <v:textbox inset="0,0,0,0">
                <w:txbxContent>
                  <w:p>
                    <w:pPr>
                      <w:spacing w:line="361" w:lineRule="exact" w:before="0"/>
                      <w:ind w:left="0" w:right="0" w:firstLine="0"/>
                      <w:jc w:val="left"/>
                      <w:rPr>
                        <w:b/>
                        <w:sz w:val="36"/>
                      </w:rPr>
                    </w:pPr>
                    <w:r>
                      <w:rPr>
                        <w:b/>
                        <w:color w:val="585858"/>
                        <w:w w:val="99"/>
                        <w:sz w:val="36"/>
                      </w:rPr>
                      <w:t>工</w:t>
                    </w:r>
                  </w:p>
                </w:txbxContent>
              </v:textbox>
              <w10:wrap type="none"/>
            </v:shape>
            <v:shape style="position:absolute;left:7128;top:4482;width:381;height:361" type="#_x0000_t202" filled="false" stroked="false">
              <v:textbox inset="0,0,0,0">
                <w:txbxContent>
                  <w:p>
                    <w:pPr>
                      <w:spacing w:line="361" w:lineRule="exact" w:before="0"/>
                      <w:ind w:left="0" w:right="0" w:firstLine="0"/>
                      <w:jc w:val="left"/>
                      <w:rPr>
                        <w:b/>
                        <w:sz w:val="36"/>
                      </w:rPr>
                    </w:pPr>
                    <w:r>
                      <w:rPr>
                        <w:b/>
                        <w:color w:val="585858"/>
                        <w:w w:val="99"/>
                        <w:sz w:val="36"/>
                      </w:rPr>
                      <w:t>客</w:t>
                    </w:r>
                  </w:p>
                </w:txbxContent>
              </v:textbox>
              <w10:wrap type="none"/>
            </v:shape>
            <v:shape style="position:absolute;left:7769;top:4482;width:381;height:361" type="#_x0000_t202" filled="false" stroked="false">
              <v:textbox inset="0,0,0,0">
                <w:txbxContent>
                  <w:p>
                    <w:pPr>
                      <w:spacing w:line="361" w:lineRule="exact" w:before="0"/>
                      <w:ind w:left="0" w:right="0" w:firstLine="0"/>
                      <w:jc w:val="left"/>
                      <w:rPr>
                        <w:b/>
                        <w:sz w:val="36"/>
                      </w:rPr>
                    </w:pPr>
                    <w:r>
                      <w:rPr>
                        <w:b/>
                        <w:color w:val="585858"/>
                        <w:w w:val="99"/>
                        <w:sz w:val="36"/>
                      </w:rPr>
                      <w:t>户</w:t>
                    </w:r>
                  </w:p>
                </w:txbxContent>
              </v:textbox>
              <w10:wrap type="none"/>
            </v:shape>
            <w10:wrap type="topAndBottom"/>
          </v:group>
        </w:pict>
      </w:r>
    </w:p>
    <w:p>
      <w:pPr>
        <w:spacing w:after="0"/>
        <w:rPr>
          <w:sz w:val="9"/>
        </w:rPr>
        <w:sectPr>
          <w:type w:val="continuous"/>
          <w:pgSz w:w="11910" w:h="16840"/>
          <w:pgMar w:top="1280" w:bottom="1320" w:left="1560" w:right="1200"/>
        </w:sectPr>
      </w:pPr>
    </w:p>
    <w:p>
      <w:pPr>
        <w:spacing w:before="44"/>
        <w:ind w:left="801" w:right="0" w:firstLine="0"/>
        <w:jc w:val="left"/>
        <w:rPr>
          <w:b/>
          <w:sz w:val="28"/>
        </w:rPr>
      </w:pPr>
      <w:r>
        <w:rPr>
          <w:b/>
          <w:w w:val="95"/>
          <w:sz w:val="28"/>
        </w:rPr>
        <w:t>（三）、品牌化运营</w:t>
      </w:r>
    </w:p>
    <w:p>
      <w:pPr>
        <w:pStyle w:val="BodyText"/>
        <w:rPr>
          <w:b/>
        </w:rPr>
      </w:pPr>
    </w:p>
    <w:p>
      <w:pPr>
        <w:pStyle w:val="BodyText"/>
        <w:spacing w:before="8"/>
        <w:rPr>
          <w:b/>
          <w:sz w:val="26"/>
        </w:rPr>
      </w:pPr>
    </w:p>
    <w:p>
      <w:pPr>
        <w:spacing w:before="0"/>
        <w:ind w:left="801" w:right="0" w:firstLine="0"/>
        <w:jc w:val="left"/>
        <w:rPr>
          <w:b/>
          <w:sz w:val="28"/>
        </w:rPr>
      </w:pPr>
      <w:r>
        <w:rPr>
          <w:b/>
          <w:w w:val="95"/>
          <w:sz w:val="28"/>
        </w:rPr>
        <w:t>（四）、信息化管理</w:t>
      </w:r>
    </w:p>
    <w:p>
      <w:pPr>
        <w:pStyle w:val="BodyText"/>
        <w:rPr>
          <w:b/>
        </w:rPr>
      </w:pPr>
    </w:p>
    <w:p>
      <w:pPr>
        <w:pStyle w:val="BodyText"/>
        <w:spacing w:before="5"/>
        <w:rPr>
          <w:b/>
          <w:sz w:val="26"/>
        </w:rPr>
      </w:pPr>
    </w:p>
    <w:p>
      <w:pPr>
        <w:spacing w:before="1"/>
        <w:ind w:left="801" w:right="0" w:firstLine="0"/>
        <w:jc w:val="left"/>
        <w:rPr>
          <w:b/>
          <w:sz w:val="28"/>
        </w:rPr>
      </w:pPr>
      <w:r>
        <w:rPr>
          <w:b/>
          <w:sz w:val="28"/>
        </w:rPr>
        <w:t>（五）、项目服务经验优势</w:t>
      </w:r>
    </w:p>
    <w:p>
      <w:pPr>
        <w:pStyle w:val="BodyText"/>
        <w:spacing w:line="364" w:lineRule="auto" w:before="186"/>
        <w:ind w:left="240" w:right="454" w:firstLine="559"/>
      </w:pPr>
      <w:r>
        <w:rPr/>
        <w:pict>
          <v:group style="position:absolute;margin-left:83.993736pt;margin-top:201.540054pt;width:419.15pt;height:363.2pt;mso-position-horizontal-relative:page;mso-position-vertical-relative:paragraph;z-index:-251635712;mso-wrap-distance-left:0;mso-wrap-distance-right:0" coordorigin="1680,4031" coordsize="8383,7264">
            <v:shape style="position:absolute;left:1679;top:4030;width:8383;height:7264" type="#_x0000_t75" stroked="false">
              <v:imagedata r:id="rId9" o:title=""/>
            </v:shape>
            <v:shape style="position:absolute;left:9034;top:4095;width:865;height:212" type="#_x0000_t202" filled="false" stroked="false">
              <v:textbox inset="0,0,0,0">
                <w:txbxContent>
                  <w:p>
                    <w:pPr>
                      <w:spacing w:line="211" w:lineRule="exact" w:before="0"/>
                      <w:ind w:left="0" w:right="0" w:firstLine="0"/>
                      <w:jc w:val="left"/>
                      <w:rPr>
                        <w:rFonts w:ascii="黑体" w:eastAsia="黑体" w:hint="eastAsia"/>
                        <w:sz w:val="21"/>
                      </w:rPr>
                    </w:pPr>
                    <w:r>
                      <w:rPr>
                        <w:rFonts w:ascii="黑体" w:eastAsia="黑体" w:hint="eastAsia"/>
                        <w:sz w:val="21"/>
                      </w:rPr>
                      <w:t>项目金额</w:t>
                    </w:r>
                  </w:p>
                </w:txbxContent>
              </v:textbox>
              <w10:wrap type="none"/>
            </v:shape>
            <v:shape style="position:absolute;left:3129;top:4299;width:865;height:212" type="#_x0000_t202" filled="false" stroked="false">
              <v:textbox inset="0,0,0,0">
                <w:txbxContent>
                  <w:p>
                    <w:pPr>
                      <w:spacing w:line="211" w:lineRule="exact" w:before="0"/>
                      <w:ind w:left="0" w:right="0" w:firstLine="0"/>
                      <w:jc w:val="left"/>
                      <w:rPr>
                        <w:rFonts w:ascii="黑体" w:eastAsia="黑体" w:hint="eastAsia"/>
                        <w:sz w:val="21"/>
                      </w:rPr>
                    </w:pPr>
                    <w:r>
                      <w:rPr>
                        <w:rFonts w:ascii="黑体" w:eastAsia="黑体" w:hint="eastAsia"/>
                        <w:sz w:val="21"/>
                      </w:rPr>
                      <w:t>项目名称</w:t>
                    </w:r>
                  </w:p>
                </w:txbxContent>
              </v:textbox>
              <w10:wrap type="none"/>
            </v:shape>
            <v:shape style="position:absolute;left:5626;top:4299;width:865;height:212" type="#_x0000_t202" filled="false" stroked="false">
              <v:textbox inset="0,0,0,0">
                <w:txbxContent>
                  <w:p>
                    <w:pPr>
                      <w:spacing w:line="211" w:lineRule="exact" w:before="0"/>
                      <w:ind w:left="0" w:right="0" w:firstLine="0"/>
                      <w:jc w:val="left"/>
                      <w:rPr>
                        <w:rFonts w:ascii="黑体" w:eastAsia="黑体" w:hint="eastAsia"/>
                        <w:sz w:val="21"/>
                      </w:rPr>
                    </w:pPr>
                    <w:r>
                      <w:rPr>
                        <w:rFonts w:ascii="黑体" w:eastAsia="黑体" w:hint="eastAsia"/>
                        <w:sz w:val="21"/>
                      </w:rPr>
                      <w:t>起止时间</w:t>
                    </w:r>
                  </w:p>
                </w:txbxContent>
              </v:textbox>
              <w10:wrap type="none"/>
            </v:shape>
            <v:shape style="position:absolute;left:7256;top:4299;width:1076;height:212" type="#_x0000_t202" filled="false" stroked="false">
              <v:textbox inset="0,0,0,0">
                <w:txbxContent>
                  <w:p>
                    <w:pPr>
                      <w:spacing w:line="211" w:lineRule="exact" w:before="0"/>
                      <w:ind w:left="0" w:right="0" w:firstLine="0"/>
                      <w:jc w:val="left"/>
                      <w:rPr>
                        <w:rFonts w:ascii="黑体" w:eastAsia="黑体" w:hint="eastAsia"/>
                        <w:sz w:val="21"/>
                      </w:rPr>
                    </w:pPr>
                    <w:r>
                      <w:rPr>
                        <w:rFonts w:ascii="黑体" w:eastAsia="黑体" w:hint="eastAsia"/>
                        <w:sz w:val="21"/>
                      </w:rPr>
                      <w:t>资金提供方</w:t>
                    </w:r>
                  </w:p>
                </w:txbxContent>
              </v:textbox>
              <w10:wrap type="none"/>
            </v:shape>
            <v:shape style="position:absolute;left:8929;top:4503;width:654;height:212" type="#_x0000_t202" filled="false" stroked="false">
              <v:textbox inset="0,0,0,0">
                <w:txbxContent>
                  <w:p>
                    <w:pPr>
                      <w:spacing w:line="211" w:lineRule="exact" w:before="0"/>
                      <w:ind w:left="0" w:right="0" w:firstLine="0"/>
                      <w:jc w:val="left"/>
                      <w:rPr>
                        <w:rFonts w:ascii="黑体" w:eastAsia="黑体" w:hint="eastAsia"/>
                        <w:sz w:val="21"/>
                      </w:rPr>
                    </w:pPr>
                    <w:r>
                      <w:rPr>
                        <w:rFonts w:ascii="黑体" w:eastAsia="黑体" w:hint="eastAsia"/>
                        <w:sz w:val="21"/>
                      </w:rPr>
                      <w:t>（元）</w:t>
                    </w:r>
                  </w:p>
                </w:txbxContent>
              </v:textbox>
              <w10:wrap type="none"/>
            </v:shape>
            <v:shape style="position:absolute;left:2220;top:5058;width:2200;height:235" type="#_x0000_t202" filled="false" stroked="false">
              <v:textbox inset="0,0,0,0">
                <w:txbxContent>
                  <w:p>
                    <w:pPr>
                      <w:spacing w:line="234" w:lineRule="exact" w:before="0"/>
                      <w:ind w:left="0" w:right="0" w:firstLine="0"/>
                      <w:jc w:val="left"/>
                      <w:rPr>
                        <w:sz w:val="21"/>
                      </w:rPr>
                    </w:pPr>
                    <w:r>
                      <w:rPr>
                        <w:rFonts w:ascii="Calibri" w:eastAsia="Calibri"/>
                        <w:sz w:val="21"/>
                      </w:rPr>
                      <w:t>XXXX </w:t>
                    </w:r>
                    <w:r>
                      <w:rPr>
                        <w:sz w:val="21"/>
                      </w:rPr>
                      <w:t>街道公益创投项目</w:t>
                    </w:r>
                  </w:p>
                </w:txbxContent>
              </v:textbox>
              <w10:wrap type="none"/>
            </v:shape>
            <v:shape style="position:absolute;left:5515;top:5084;width:940;height:212" type="#_x0000_t202" filled="false" stroked="false">
              <v:textbox inset="0,0,0,0">
                <w:txbxContent>
                  <w:p>
                    <w:pPr>
                      <w:spacing w:line="211" w:lineRule="exact" w:before="0"/>
                      <w:ind w:left="0" w:right="0" w:firstLine="0"/>
                      <w:jc w:val="left"/>
                      <w:rPr>
                        <w:rFonts w:ascii="Calibri"/>
                        <w:sz w:val="21"/>
                      </w:rPr>
                    </w:pPr>
                    <w:r>
                      <w:rPr>
                        <w:rFonts w:ascii="Calibri"/>
                        <w:sz w:val="21"/>
                      </w:rPr>
                      <w:t>2019-2020</w:t>
                    </w:r>
                  </w:p>
                </w:txbxContent>
              </v:textbox>
              <w10:wrap type="none"/>
            </v:shape>
            <v:shape style="position:absolute;left:2220;top:5747;width:1988;height:235" type="#_x0000_t202" filled="false" stroked="false">
              <v:textbox inset="0,0,0,0">
                <w:txbxContent>
                  <w:p>
                    <w:pPr>
                      <w:spacing w:line="234" w:lineRule="exact" w:before="0"/>
                      <w:ind w:left="0" w:right="0" w:firstLine="0"/>
                      <w:jc w:val="left"/>
                      <w:rPr>
                        <w:sz w:val="21"/>
                      </w:rPr>
                    </w:pPr>
                    <w:r>
                      <w:rPr>
                        <w:rFonts w:ascii="Calibri" w:eastAsia="Calibri"/>
                        <w:sz w:val="21"/>
                      </w:rPr>
                      <w:t>XXXX </w:t>
                    </w:r>
                    <w:r>
                      <w:rPr>
                        <w:sz w:val="21"/>
                      </w:rPr>
                      <w:t>镇公益创投项目</w:t>
                    </w:r>
                  </w:p>
                </w:txbxContent>
              </v:textbox>
              <w10:wrap type="none"/>
            </v:shape>
            <v:shape style="position:absolute;left:5515;top:5772;width:940;height:212" type="#_x0000_t202" filled="false" stroked="false">
              <v:textbox inset="0,0,0,0">
                <w:txbxContent>
                  <w:p>
                    <w:pPr>
                      <w:spacing w:line="211" w:lineRule="exact" w:before="0"/>
                      <w:ind w:left="0" w:right="0" w:firstLine="0"/>
                      <w:jc w:val="left"/>
                      <w:rPr>
                        <w:rFonts w:ascii="Calibri"/>
                        <w:sz w:val="21"/>
                      </w:rPr>
                    </w:pPr>
                    <w:r>
                      <w:rPr>
                        <w:rFonts w:ascii="Calibri"/>
                        <w:sz w:val="21"/>
                      </w:rPr>
                      <w:t>2019-2020</w:t>
                    </w:r>
                  </w:p>
                </w:txbxContent>
              </v:textbox>
              <w10:wrap type="none"/>
            </v:shape>
            <v:shape style="position:absolute;left:2220;top:6436;width:1988;height:235" type="#_x0000_t202" filled="false" stroked="false">
              <v:textbox inset="0,0,0,0">
                <w:txbxContent>
                  <w:p>
                    <w:pPr>
                      <w:spacing w:line="234" w:lineRule="exact" w:before="0"/>
                      <w:ind w:left="0" w:right="0" w:firstLine="0"/>
                      <w:jc w:val="left"/>
                      <w:rPr>
                        <w:sz w:val="21"/>
                      </w:rPr>
                    </w:pPr>
                    <w:r>
                      <w:rPr>
                        <w:rFonts w:ascii="Calibri" w:eastAsia="Calibri"/>
                        <w:sz w:val="21"/>
                      </w:rPr>
                      <w:t>XXXX </w:t>
                    </w:r>
                    <w:r>
                      <w:rPr>
                        <w:sz w:val="21"/>
                      </w:rPr>
                      <w:t>镇居家养老服务</w:t>
                    </w:r>
                  </w:p>
                </w:txbxContent>
              </v:textbox>
              <w10:wrap type="none"/>
            </v:shape>
            <v:shape style="position:absolute;left:5515;top:6461;width:940;height:212" type="#_x0000_t202" filled="false" stroked="false">
              <v:textbox inset="0,0,0,0">
                <w:txbxContent>
                  <w:p>
                    <w:pPr>
                      <w:spacing w:line="211" w:lineRule="exact" w:before="0"/>
                      <w:ind w:left="0" w:right="0" w:firstLine="0"/>
                      <w:jc w:val="left"/>
                      <w:rPr>
                        <w:rFonts w:ascii="Calibri"/>
                        <w:sz w:val="21"/>
                      </w:rPr>
                    </w:pPr>
                    <w:r>
                      <w:rPr>
                        <w:rFonts w:ascii="Calibri"/>
                        <w:sz w:val="21"/>
                      </w:rPr>
                      <w:t>2019-2020</w:t>
                    </w:r>
                  </w:p>
                </w:txbxContent>
              </v:textbox>
              <w10:wrap type="none"/>
            </v:shape>
            <v:shape style="position:absolute;left:2220;top:7124;width:2200;height:235" type="#_x0000_t202" filled="false" stroked="false">
              <v:textbox inset="0,0,0,0">
                <w:txbxContent>
                  <w:p>
                    <w:pPr>
                      <w:spacing w:line="234" w:lineRule="exact" w:before="0"/>
                      <w:ind w:left="0" w:right="0" w:firstLine="0"/>
                      <w:jc w:val="left"/>
                      <w:rPr>
                        <w:sz w:val="21"/>
                      </w:rPr>
                    </w:pPr>
                    <w:r>
                      <w:rPr>
                        <w:rFonts w:ascii="Calibri" w:eastAsia="Calibri"/>
                        <w:sz w:val="21"/>
                      </w:rPr>
                      <w:t>XXXX </w:t>
                    </w:r>
                    <w:r>
                      <w:rPr>
                        <w:sz w:val="21"/>
                      </w:rPr>
                      <w:t>街道居家养老服务</w:t>
                    </w:r>
                  </w:p>
                </w:txbxContent>
              </v:textbox>
              <w10:wrap type="none"/>
            </v:shape>
            <v:shape style="position:absolute;left:5515;top:7150;width:940;height:212" type="#_x0000_t202" filled="false" stroked="false">
              <v:textbox inset="0,0,0,0">
                <w:txbxContent>
                  <w:p>
                    <w:pPr>
                      <w:spacing w:line="211" w:lineRule="exact" w:before="0"/>
                      <w:ind w:left="0" w:right="0" w:firstLine="0"/>
                      <w:jc w:val="left"/>
                      <w:rPr>
                        <w:rFonts w:ascii="Calibri"/>
                        <w:sz w:val="21"/>
                      </w:rPr>
                    </w:pPr>
                    <w:r>
                      <w:rPr>
                        <w:rFonts w:ascii="Calibri"/>
                        <w:sz w:val="21"/>
                      </w:rPr>
                      <w:t>2019-2020</w:t>
                    </w:r>
                  </w:p>
                </w:txbxContent>
              </v:textbox>
              <w10:wrap type="none"/>
            </v:shape>
            <w10:wrap type="topAndBottom"/>
          </v:group>
        </w:pict>
      </w:r>
      <w:r>
        <w:rPr/>
        <w:t>“</w:t>
      </w:r>
      <w:r>
        <w:rPr>
          <w:rFonts w:ascii="Calibri" w:hAnsi="Calibri" w:eastAsia="Calibri"/>
        </w:rPr>
        <w:t>XXXX</w:t>
      </w:r>
      <w:r>
        <w:rPr>
          <w:spacing w:val="6"/>
        </w:rPr>
        <w:t>”是 </w:t>
      </w:r>
      <w:r>
        <w:rPr>
          <w:rFonts w:ascii="Calibri" w:hAnsi="Calibri" w:eastAsia="Calibri"/>
        </w:rPr>
        <w:t>XXXX </w:t>
      </w:r>
      <w:r>
        <w:rPr/>
        <w:t>集团的专业居家养老照护品牌，截止目前， “</w:t>
      </w:r>
      <w:r>
        <w:rPr>
          <w:rFonts w:ascii="Calibri" w:hAnsi="Calibri" w:eastAsia="Calibri"/>
        </w:rPr>
        <w:t>XXXX</w:t>
      </w:r>
      <w:r>
        <w:rPr>
          <w:spacing w:val="-11"/>
        </w:rPr>
        <w:t>”共承接运营 </w:t>
      </w:r>
      <w:r>
        <w:rPr>
          <w:rFonts w:ascii="Calibri" w:hAnsi="Calibri" w:eastAsia="Calibri"/>
        </w:rPr>
        <w:t>5 </w:t>
      </w:r>
      <w:r>
        <w:rPr>
          <w:spacing w:val="-5"/>
        </w:rPr>
        <w:t>家养老机构，浙江省内已累计有 </w:t>
      </w:r>
      <w:r>
        <w:rPr>
          <w:rFonts w:ascii="Calibri" w:hAnsi="Calibri" w:eastAsia="Calibri"/>
        </w:rPr>
        <w:t>50 </w:t>
      </w:r>
      <w:r>
        <w:rPr/>
        <w:t>余家日间</w:t>
      </w:r>
      <w:r>
        <w:rPr>
          <w:spacing w:val="3"/>
        </w:rPr>
        <w:t>照料中心相继开业，服务范围覆盖</w:t>
      </w:r>
      <w:r>
        <w:rPr>
          <w:rFonts w:ascii="Calibri" w:hAnsi="Calibri" w:eastAsia="Calibri"/>
        </w:rPr>
        <w:t>36 </w:t>
      </w:r>
      <w:r>
        <w:rPr>
          <w:spacing w:val="-2"/>
        </w:rPr>
        <w:t>个街道，</w:t>
      </w:r>
      <w:r>
        <w:rPr>
          <w:rFonts w:ascii="Calibri" w:hAnsi="Calibri" w:eastAsia="Calibri"/>
          <w:spacing w:val="-5"/>
        </w:rPr>
        <w:t>420 </w:t>
      </w:r>
      <w:r>
        <w:rPr>
          <w:spacing w:val="-2"/>
        </w:rPr>
        <w:t>个社区。“</w:t>
      </w:r>
      <w:r>
        <w:rPr>
          <w:rFonts w:ascii="Calibri" w:hAnsi="Calibri" w:eastAsia="Calibri"/>
          <w:spacing w:val="-7"/>
        </w:rPr>
        <w:t>XXXX</w:t>
      </w:r>
      <w:r>
        <w:rPr>
          <w:spacing w:val="-7"/>
        </w:rPr>
        <w:t>” </w:t>
      </w:r>
      <w:r>
        <w:rPr>
          <w:spacing w:val="1"/>
        </w:rPr>
        <w:t>品牌自运营以来，一直致力于互联网</w:t>
      </w:r>
      <w:r>
        <w:rPr>
          <w:rFonts w:ascii="Calibri" w:hAnsi="Calibri" w:eastAsia="Calibri"/>
        </w:rPr>
        <w:t>+</w:t>
      </w:r>
      <w:r>
        <w:rPr/>
        <w:t>特色居家养老服务方面的开展</w:t>
      </w:r>
      <w:r>
        <w:rPr>
          <w:spacing w:val="-12"/>
        </w:rPr>
        <w:t>工作，在集团层面的支持下，品牌通过智慧养老服务平台长期运营和管理，积累了一定程度的特色居家养老服务工作的经验，为本次创投项目的开展提供了经验保障。以下为我们的项目服务经验：</w:t>
      </w:r>
    </w:p>
    <w:p>
      <w:pPr>
        <w:spacing w:after="0" w:line="364" w:lineRule="auto"/>
        <w:sectPr>
          <w:pgSz w:w="11910" w:h="16840"/>
          <w:pgMar w:header="0" w:footer="1045" w:top="1140" w:bottom="1320" w:left="1560" w:right="1200"/>
        </w:sectPr>
      </w:pPr>
    </w:p>
    <w:p>
      <w:pPr>
        <w:pStyle w:val="BodyText"/>
        <w:ind w:left="119"/>
        <w:rPr>
          <w:sz w:val="20"/>
        </w:rPr>
      </w:pPr>
      <w:r>
        <w:rPr>
          <w:sz w:val="20"/>
        </w:rPr>
        <w:drawing>
          <wp:inline distT="0" distB="0" distL="0" distR="0">
            <wp:extent cx="5272269" cy="3176778"/>
            <wp:effectExtent l="0" t="0" r="0" b="0"/>
            <wp:docPr id="1" name="image3.png"/>
            <wp:cNvGraphicFramePr>
              <a:graphicFrameLocks noChangeAspect="1"/>
            </wp:cNvGraphicFramePr>
            <a:graphic>
              <a:graphicData uri="http://schemas.openxmlformats.org/drawingml/2006/picture">
                <pic:pic>
                  <pic:nvPicPr>
                    <pic:cNvPr id="2" name="image3.png"/>
                    <pic:cNvPicPr/>
                  </pic:nvPicPr>
                  <pic:blipFill>
                    <a:blip r:embed="rId10" cstate="print"/>
                    <a:stretch>
                      <a:fillRect/>
                    </a:stretch>
                  </pic:blipFill>
                  <pic:spPr>
                    <a:xfrm>
                      <a:off x="0" y="0"/>
                      <a:ext cx="5272269" cy="3176778"/>
                    </a:xfrm>
                    <a:prstGeom prst="rect">
                      <a:avLst/>
                    </a:prstGeom>
                  </pic:spPr>
                </pic:pic>
              </a:graphicData>
            </a:graphic>
          </wp:inline>
        </w:drawing>
      </w:r>
      <w:r>
        <w:rPr>
          <w:sz w:val="20"/>
        </w:rPr>
      </w:r>
    </w:p>
    <w:p>
      <w:pPr>
        <w:spacing w:after="0"/>
        <w:rPr>
          <w:sz w:val="20"/>
        </w:rPr>
        <w:sectPr>
          <w:pgSz w:w="11910" w:h="16840"/>
          <w:pgMar w:header="0" w:footer="1045" w:top="1220" w:bottom="1240" w:left="1560" w:right="1200"/>
        </w:sectPr>
      </w:pPr>
    </w:p>
    <w:p>
      <w:pPr>
        <w:pStyle w:val="Heading2"/>
        <w:spacing w:before="15"/>
      </w:pPr>
      <w:bookmarkStart w:name="_TOC_250000" w:id="12"/>
      <w:bookmarkEnd w:id="12"/>
      <w:r>
        <w:rPr/>
        <w:t>二、合理化建议</w:t>
      </w:r>
    </w:p>
    <w:p>
      <w:pPr>
        <w:pStyle w:val="BodyText"/>
        <w:spacing w:before="7"/>
        <w:rPr>
          <w:rFonts w:ascii="幼圆"/>
          <w:b/>
          <w:sz w:val="31"/>
        </w:rPr>
      </w:pPr>
    </w:p>
    <w:p>
      <w:pPr>
        <w:pStyle w:val="Heading3"/>
      </w:pPr>
      <w:r>
        <w:rPr/>
        <w:t>（一）、政府推动，初始动力行政化、政策化。</w:t>
      </w:r>
    </w:p>
    <w:p>
      <w:pPr>
        <w:pStyle w:val="BodyText"/>
        <w:spacing w:line="364" w:lineRule="auto" w:before="186"/>
        <w:ind w:left="240" w:right="482" w:firstLine="559"/>
      </w:pPr>
      <w:r>
        <w:rPr/>
        <w:t>政府的推动引导具体要体现在三个方面，一是资金，二是政策， 三是协调。</w:t>
      </w:r>
    </w:p>
    <w:p>
      <w:pPr>
        <w:pStyle w:val="BodyText"/>
        <w:spacing w:line="364" w:lineRule="auto"/>
        <w:ind w:left="240" w:right="479" w:firstLine="559"/>
      </w:pPr>
      <w:r>
        <w:rPr>
          <w:spacing w:val="-11"/>
        </w:rPr>
        <w:t>第一，在资金供给上要改变过去那种只投入办残疾人服务机构的</w:t>
      </w:r>
      <w:r>
        <w:rPr>
          <w:spacing w:val="-13"/>
        </w:rPr>
        <w:t>单一做法，还可提供相关福利补贴，接受补贴的残疾人用自己的收入</w:t>
      </w:r>
      <w:r>
        <w:rPr>
          <w:spacing w:val="-15"/>
        </w:rPr>
        <w:t>购买福利服务。特别是对那些生活困难的残疾人对象，他们虽然有政</w:t>
      </w:r>
      <w:r>
        <w:rPr>
          <w:spacing w:val="-16"/>
        </w:rPr>
        <w:t>府的最低生活保障、临时救助等帮扶措施，但也仅能保障基本生活。</w:t>
      </w:r>
      <w:r>
        <w:rPr>
          <w:spacing w:val="-1"/>
        </w:rPr>
        <w:t>社区虽然也采取了各项措施，如提供无偿、低偿服务等，但社区居委</w:t>
      </w:r>
      <w:r>
        <w:rPr>
          <w:spacing w:val="-8"/>
        </w:rPr>
        <w:t>会毕竟是一个群众自治组织，经费有限，难以满足困难残疾人较为全</w:t>
      </w:r>
      <w:r>
        <w:rPr>
          <w:spacing w:val="-9"/>
        </w:rPr>
        <w:t>面的服务要求，因此他们往往因为囊中羞涩，难以享受到高品质、全</w:t>
      </w:r>
      <w:r>
        <w:rPr/>
        <w:t>方位服务。这就需要政府采取补贴的形式，为他们购买服务。</w:t>
      </w:r>
    </w:p>
    <w:p>
      <w:pPr>
        <w:pStyle w:val="BodyText"/>
        <w:spacing w:line="364" w:lineRule="auto"/>
        <w:ind w:left="240" w:right="449" w:firstLine="559"/>
      </w:pPr>
      <w:r>
        <w:rPr>
          <w:spacing w:val="-10"/>
        </w:rPr>
        <w:t>第二，政府还应在制定有关的社会福利政策、法规和规章上下工夫。从现有的状况看，有关残疾人的政策法规还是较完善的，但重要</w:t>
      </w:r>
      <w:r>
        <w:rPr>
          <w:spacing w:val="-14"/>
        </w:rPr>
        <w:t>的事是抓督查和落实。在完善配套法规的基础上，政府还要制定社会</w:t>
      </w:r>
      <w:r>
        <w:rPr>
          <w:spacing w:val="-15"/>
        </w:rPr>
        <w:t>福利机构的规划，使社会福利机构和社会福利事业发展能适应银色浪潮的需要。对现有的社会福利机构要依法加强管理，总结推广经验， 抓好服务。同时政府要制定“扶持和优惠”的政策，给予社会办的残</w:t>
      </w:r>
      <w:r>
        <w:rPr>
          <w:spacing w:val="-22"/>
        </w:rPr>
        <w:t>疾人服务机构以一定的财政补贴、用地、贷款和税收方面的政策倾斜， </w:t>
      </w:r>
      <w:r>
        <w:rPr/>
        <w:t>提高政策吸引力，以调动社会力量和民间资本参与养老事业的积极 性，努力营造一个各类社会福利机构都能发展的良好环境。</w:t>
      </w:r>
    </w:p>
    <w:p>
      <w:pPr>
        <w:pStyle w:val="BodyText"/>
        <w:spacing w:line="364" w:lineRule="auto"/>
        <w:ind w:left="240" w:right="482" w:firstLine="559"/>
      </w:pPr>
      <w:r>
        <w:rPr>
          <w:spacing w:val="-1"/>
        </w:rPr>
        <w:t>第三，各有关部门要协调配合，形成合力。社会化居家服务工作</w:t>
      </w:r>
      <w:r>
        <w:rPr>
          <w:spacing w:val="-8"/>
        </w:rPr>
        <w:t>除充分发挥残联的主体作用外，更需要各部门的密切配合。卫生部门</w:t>
      </w:r>
      <w:r>
        <w:rPr>
          <w:spacing w:val="-14"/>
        </w:rPr>
        <w:t>和民政部门要相互沟通，把医疗服务和居家服务有机结合起来，在社</w:t>
      </w:r>
    </w:p>
    <w:p>
      <w:pPr>
        <w:spacing w:after="0" w:line="364" w:lineRule="auto"/>
        <w:sectPr>
          <w:pgSz w:w="11910" w:h="16840"/>
          <w:pgMar w:header="0" w:footer="1045" w:top="1500" w:bottom="1240" w:left="1560" w:right="1200"/>
        </w:sectPr>
      </w:pPr>
    </w:p>
    <w:p>
      <w:pPr>
        <w:pStyle w:val="BodyText"/>
        <w:spacing w:line="364" w:lineRule="auto" w:before="44"/>
        <w:ind w:left="240" w:right="451"/>
      </w:pPr>
      <w:r>
        <w:rPr>
          <w:spacing w:val="-5"/>
        </w:rPr>
        <w:t>区层面搞好民政福利服务资源与卫生健康服务资源的整合；劳动与社会保障部门要和街道、社区协调配合，做好离退休人员、下岗失业人</w:t>
      </w:r>
      <w:r>
        <w:rPr>
          <w:spacing w:val="-18"/>
        </w:rPr>
        <w:t>员从单位转到社区的管理服务工作，为他们养老、就业提供各种方便； </w:t>
      </w:r>
      <w:r>
        <w:rPr/>
        <w:t>文化体育部门要组织离退休人员开展健身活动，丰富他们的文化生 </w:t>
      </w:r>
      <w:r>
        <w:rPr>
          <w:spacing w:val="-11"/>
        </w:rPr>
        <w:t>活；地方财政部门要在财力和政策上给予扶持。社区内的社会福利服务设施和公共活动场所要对社区残疾人开放，实行资源共享。</w:t>
      </w:r>
    </w:p>
    <w:p>
      <w:pPr>
        <w:spacing w:line="356" w:lineRule="exact" w:before="0"/>
        <w:ind w:left="801" w:right="0" w:firstLine="0"/>
        <w:jc w:val="left"/>
        <w:rPr>
          <w:b/>
          <w:sz w:val="28"/>
        </w:rPr>
      </w:pPr>
      <w:r>
        <w:rPr>
          <w:b/>
          <w:sz w:val="28"/>
        </w:rPr>
        <w:t>（二）、社会参与，服务内容多样化、广泛化。</w:t>
      </w:r>
    </w:p>
    <w:p>
      <w:pPr>
        <w:spacing w:before="187"/>
        <w:ind w:left="801" w:right="0" w:firstLine="0"/>
        <w:jc w:val="left"/>
        <w:rPr>
          <w:b/>
          <w:sz w:val="28"/>
        </w:rPr>
      </w:pPr>
      <w:r>
        <w:rPr>
          <w:b/>
          <w:sz w:val="28"/>
        </w:rPr>
        <w:t>1、把社会化居家养老和规范化的社区服务结合起来。</w:t>
      </w:r>
    </w:p>
    <w:p>
      <w:pPr>
        <w:pStyle w:val="BodyText"/>
        <w:spacing w:line="364" w:lineRule="auto" w:before="186"/>
        <w:ind w:left="240" w:right="479" w:firstLine="559"/>
      </w:pPr>
      <w:r>
        <w:rPr/>
        <w:t>社区建设是从社区服务起步的，社区服务经过十多年的发展完 </w:t>
      </w:r>
      <w:r>
        <w:rPr>
          <w:spacing w:val="-1"/>
        </w:rPr>
        <w:t>善，形成了一定的规模和体系。因此，以社区服务为载体，以居家上</w:t>
      </w:r>
      <w:r>
        <w:rPr>
          <w:spacing w:val="-10"/>
        </w:rPr>
        <w:t>门服务为切入点，把社区服务引入家庭，促进社区服务和居家养老的</w:t>
      </w:r>
      <w:r>
        <w:rPr>
          <w:spacing w:val="-13"/>
        </w:rPr>
        <w:t>密切结合，使有限的资源发挥最大的效益，确保残疾人在自己的社区和家庭安享生活。</w:t>
      </w:r>
    </w:p>
    <w:p>
      <w:pPr>
        <w:pStyle w:val="BodyText"/>
        <w:spacing w:line="364" w:lineRule="auto"/>
        <w:ind w:left="240" w:right="447" w:firstLine="559"/>
      </w:pPr>
      <w:r>
        <w:rPr>
          <w:spacing w:val="-9"/>
        </w:rPr>
        <w:t>首先是服务对象社会化，针对不同类型的残疾人群，提供不同层</w:t>
      </w:r>
      <w:r>
        <w:rPr>
          <w:spacing w:val="-14"/>
        </w:rPr>
        <w:t>次的居家服务，这就是我们常说的信息化社会个性化服务。如对高龄</w:t>
      </w:r>
      <w:r>
        <w:rPr>
          <w:spacing w:val="-19"/>
        </w:rPr>
        <w:t>残疾人、非自理残疾人。这部分残疾人各种疾病增多，生活不能自理， </w:t>
      </w:r>
      <w:r>
        <w:rPr>
          <w:spacing w:val="-8"/>
        </w:rPr>
        <w:t>与子女的沟通也越来越少，常常会产生孤独寂寞感。对他们应以上门</w:t>
      </w:r>
      <w:r>
        <w:rPr>
          <w:spacing w:val="-7"/>
        </w:rPr>
        <w:t>照料服务为主(即家务助理服务)，为残疾人提供医疗、康复、护理、洗涤、购物、餐饮、心理咨询等全方位的服务。</w:t>
      </w:r>
    </w:p>
    <w:p>
      <w:pPr>
        <w:pStyle w:val="BodyText"/>
        <w:spacing w:line="364" w:lineRule="auto"/>
        <w:ind w:left="240" w:right="449" w:firstLine="559"/>
      </w:pPr>
      <w:r>
        <w:rPr>
          <w:spacing w:val="-9"/>
        </w:rPr>
        <w:t>其次是服务内容多样化。从残疾人实际需求出发，服务内容要从</w:t>
      </w:r>
      <w:r>
        <w:rPr>
          <w:spacing w:val="-19"/>
        </w:rPr>
        <w:t>目前以求助、医疗、文化娱乐等服务为主，逐步扩展到居家帮助服务、</w:t>
      </w:r>
      <w:r>
        <w:rPr>
          <w:spacing w:val="-7"/>
        </w:rPr>
        <w:t>暂托服务、医疗照顾服务、娱乐学习服务、情感慰藉服务一体化的服</w:t>
      </w:r>
      <w:r>
        <w:rPr>
          <w:spacing w:val="-16"/>
        </w:rPr>
        <w:t>务内容，服务形式可以包括上门服务</w:t>
      </w:r>
      <w:r>
        <w:rPr/>
        <w:t>（居家服务</w:t>
      </w:r>
      <w:r>
        <w:rPr>
          <w:spacing w:val="-80"/>
        </w:rPr>
        <w:t>）</w:t>
      </w:r>
      <w:r>
        <w:rPr>
          <w:spacing w:val="-24"/>
        </w:rPr>
        <w:t>、社区设施服务</w:t>
      </w:r>
      <w:r>
        <w:rPr/>
        <w:t>（如日间照料中心、日间护理中心、社区活动中心）、社区支援网络服务</w:t>
      </w:r>
    </w:p>
    <w:p>
      <w:pPr>
        <w:pStyle w:val="BodyText"/>
        <w:spacing w:line="357" w:lineRule="exact"/>
        <w:ind w:left="240"/>
      </w:pPr>
      <w:r>
        <w:rPr/>
        <w:t>（如社区结对关心</w:t>
      </w:r>
      <w:r>
        <w:rPr>
          <w:spacing w:val="-56"/>
        </w:rPr>
        <w:t>）</w:t>
      </w:r>
      <w:r>
        <w:rPr>
          <w:spacing w:val="-8"/>
        </w:rPr>
        <w:t>等，方便残疾人根据自己的需求和习惯利用不同</w:t>
      </w:r>
    </w:p>
    <w:p>
      <w:pPr>
        <w:spacing w:after="0" w:line="357" w:lineRule="exact"/>
        <w:sectPr>
          <w:pgSz w:w="11910" w:h="16840"/>
          <w:pgMar w:header="0" w:footer="1045" w:top="1140" w:bottom="1320" w:left="1560" w:right="1200"/>
        </w:sectPr>
      </w:pPr>
    </w:p>
    <w:p>
      <w:pPr>
        <w:pStyle w:val="BodyText"/>
        <w:spacing w:before="44"/>
        <w:ind w:left="240"/>
      </w:pPr>
      <w:r>
        <w:rPr/>
        <w:t>的服务项目和服务形式。</w:t>
      </w:r>
    </w:p>
    <w:p>
      <w:pPr>
        <w:pStyle w:val="BodyText"/>
        <w:spacing w:line="364" w:lineRule="auto" w:before="187"/>
        <w:ind w:left="240" w:right="479" w:firstLine="559"/>
      </w:pPr>
      <w:r>
        <w:rPr>
          <w:spacing w:val="-10"/>
        </w:rPr>
        <w:t>第三是服务队伍专业化。加强社会化居家服务管理人员与服务人</w:t>
      </w:r>
      <w:r>
        <w:rPr>
          <w:spacing w:val="-11"/>
        </w:rPr>
        <w:t>员的培养，建设专业化的工作队伍。居家服务人员应具备家政服务、</w:t>
      </w:r>
      <w:r>
        <w:rPr/>
        <w:t>康复护理等专业知识，采取灵活的服务方式。</w:t>
      </w:r>
    </w:p>
    <w:p>
      <w:pPr>
        <w:pStyle w:val="BodyText"/>
        <w:spacing w:line="364" w:lineRule="auto"/>
        <w:ind w:left="240" w:right="450" w:firstLine="559"/>
      </w:pPr>
      <w:r>
        <w:rPr/>
        <w:t>2、重视整合和充分利用现有社区人力资源，大力发展社区志愿者队伍。努力造就一支由党员、干部、学生等组成的专、兼职人员和</w:t>
      </w:r>
      <w:r>
        <w:rPr>
          <w:spacing w:val="-8"/>
        </w:rPr>
        <w:t>志愿者相结合的居家服务队伍。聘请一批德高望重的老同志参加社区</w:t>
      </w:r>
      <w:r>
        <w:rPr>
          <w:spacing w:val="-19"/>
        </w:rPr>
        <w:t>管理服务工作。利用残疾人同残疾人容易沟通的优势，自己管理自己， </w:t>
      </w:r>
      <w:r>
        <w:rPr/>
        <w:t>自己服务自己。</w:t>
      </w:r>
    </w:p>
    <w:p>
      <w:pPr>
        <w:pStyle w:val="BodyText"/>
        <w:spacing w:line="364" w:lineRule="auto"/>
        <w:ind w:left="240" w:right="621" w:firstLine="559"/>
      </w:pPr>
      <w:r>
        <w:rPr/>
        <w:t>3、营造市场运行机制，推进残疾人居家服务社会化、产业化进程。</w:t>
      </w:r>
    </w:p>
    <w:p>
      <w:pPr>
        <w:pStyle w:val="BodyText"/>
        <w:spacing w:line="364" w:lineRule="auto"/>
        <w:ind w:left="240" w:right="448" w:firstLine="559"/>
      </w:pPr>
      <w:r>
        <w:rPr>
          <w:spacing w:val="-12"/>
        </w:rPr>
        <w:t>拓宽思路，改变单纯由政府、社区创办残疾人服务设施和服务网</w:t>
      </w:r>
      <w:r>
        <w:rPr>
          <w:spacing w:val="-15"/>
        </w:rPr>
        <w:t>络建设的思路，引入社会中介组织参与服务和管理，推动残疾人居家上门服务走社会化、产业化之路，使之有一个较大的发展，以满足群</w:t>
      </w:r>
      <w:r>
        <w:rPr>
          <w:spacing w:val="-17"/>
        </w:rPr>
        <w:t>体日益增长的不同层次。如可以以优惠政策吸引企业家等民间资本投</w:t>
      </w:r>
      <w:r>
        <w:rPr>
          <w:spacing w:val="-20"/>
        </w:rPr>
        <w:t>资兴办各类残疾人文化体育场所和设施，吸引各商家加盟社区服务网络，为残疾人提供诸如送餐、定制服装等全方位的市场服务等等。在</w:t>
      </w:r>
      <w:r>
        <w:rPr>
          <w:spacing w:val="-23"/>
        </w:rPr>
        <w:t>发展政府助残的基础上，也要进一步解放思想，运用市场调节的手段， </w:t>
      </w:r>
      <w:r>
        <w:rPr/>
        <w:t>通过投资主体多元化，投资形式多渠道，发挥国家、集体、社会组织</w:t>
      </w:r>
      <w:r>
        <w:rPr>
          <w:spacing w:val="-9"/>
        </w:rPr>
        <w:t>和个人的积极性，动员社会力量多渠道地投资兴办残疾人公寓、残疾人福利院。</w:t>
      </w:r>
    </w:p>
    <w:p>
      <w:pPr>
        <w:spacing w:line="354" w:lineRule="exact" w:before="0"/>
        <w:ind w:left="801" w:right="0" w:firstLine="0"/>
        <w:jc w:val="left"/>
        <w:rPr>
          <w:b/>
          <w:sz w:val="28"/>
        </w:rPr>
      </w:pPr>
      <w:r>
        <w:rPr>
          <w:b/>
          <w:sz w:val="28"/>
        </w:rPr>
        <w:t>（三）、社会支持，提倡公益关怀。</w:t>
      </w:r>
    </w:p>
    <w:p>
      <w:pPr>
        <w:pStyle w:val="BodyText"/>
        <w:spacing w:line="364" w:lineRule="auto" w:before="178"/>
        <w:ind w:left="240" w:right="449" w:firstLine="559"/>
      </w:pPr>
      <w:r>
        <w:rPr>
          <w:spacing w:val="-17"/>
        </w:rPr>
        <w:t>一方面，加强舆论宣传，弘扬中华民族传统美德，广泛开展敬老、</w:t>
      </w:r>
      <w:r>
        <w:rPr>
          <w:spacing w:val="-6"/>
        </w:rPr>
        <w:t>养老、助老的道德教育。“以德治家”，强化帮扶疾人是每个公民的</w:t>
      </w:r>
      <w:r>
        <w:rPr>
          <w:spacing w:val="-12"/>
        </w:rPr>
        <w:t>责任和义务的意识，使全社会确立助残扶残的思想，形成社会帮残的</w:t>
      </w:r>
    </w:p>
    <w:p>
      <w:pPr>
        <w:spacing w:after="0" w:line="364" w:lineRule="auto"/>
        <w:sectPr>
          <w:pgSz w:w="11910" w:h="16840"/>
          <w:pgMar w:header="0" w:footer="1045" w:top="1140" w:bottom="1320" w:left="1560" w:right="1200"/>
        </w:sectPr>
      </w:pPr>
    </w:p>
    <w:p>
      <w:pPr>
        <w:pStyle w:val="BodyText"/>
        <w:spacing w:line="364" w:lineRule="auto" w:before="44"/>
        <w:ind w:left="240" w:right="479"/>
        <w:jc w:val="both"/>
      </w:pPr>
      <w:r>
        <w:rPr/>
        <w:t>良好氛围。可在全区域推广“三个一”亲情关怀活动，即每天一次问候电话，每周一次上门探望，每月一次家庭聚会，使居家的残疾人体会到社会的温暖。同时，对那些遗弃甚至摧残残疾人的子女，我们应通过传媒予以揭露，使其受到舆论的谴责，对触犯刑律的，要依法予以追究。</w:t>
      </w:r>
    </w:p>
    <w:p>
      <w:pPr>
        <w:pStyle w:val="BodyText"/>
        <w:spacing w:line="364" w:lineRule="auto"/>
        <w:ind w:left="240" w:right="479" w:firstLine="559"/>
      </w:pPr>
      <w:r>
        <w:rPr>
          <w:spacing w:val="-6"/>
        </w:rPr>
        <w:t>另一方面要为居家上门服务创造条件，提供政策援助。如对赡养</w:t>
      </w:r>
      <w:r>
        <w:rPr>
          <w:spacing w:val="-13"/>
        </w:rPr>
        <w:t>残疾人的子女，每年增加一定的休假，自愿助残扶残的家庭予以表彰</w:t>
      </w:r>
      <w:r>
        <w:rPr>
          <w:spacing w:val="-14"/>
        </w:rPr>
        <w:t>和奖励，在房屋建筑上设计提供适合“两代居”的住房，或两代相邻</w:t>
      </w:r>
      <w:r>
        <w:rPr>
          <w:spacing w:val="-10"/>
        </w:rPr>
        <w:t>而居的住房，对与残疾人同住的家庭买房提供方便，并给予政策优惠等。</w:t>
      </w:r>
    </w:p>
    <w:sectPr>
      <w:pgSz w:w="11910" w:h="16840"/>
      <w:pgMar w:header="0" w:footer="1045" w:top="1140" w:bottom="1320" w:left="1560" w:right="12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宋体">
    <w:altName w:val="宋体"/>
    <w:charset w:val="86"/>
    <w:family w:val="auto"/>
    <w:pitch w:val="variable"/>
  </w:font>
  <w:font w:name="黑体">
    <w:altName w:val="黑体"/>
    <w:charset w:val="86"/>
    <w:family w:val="modern"/>
    <w:pitch w:val="fixed"/>
  </w:font>
  <w:font w:name="仿宋">
    <w:altName w:val="仿宋"/>
    <w:charset w:val="86"/>
    <w:family w:val="modern"/>
    <w:pitch w:val="fixed"/>
  </w:font>
  <w:font w:name="幼圆">
    <w:altName w:val="幼圆"/>
    <w:charset w:val="86"/>
    <w:family w:val="modern"/>
    <w:pitch w:val="fixed"/>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344666pt;margin-top:774.655151pt;width:12.85pt;height:11pt;mso-position-horizontal-relative:page;mso-position-vertical-relative:page;z-index:-252145664" type="#_x0000_t202" filled="false" stroked="false">
          <v:textbox inset="0,0,0,0">
            <w:txbxContent>
              <w:p>
                <w:pPr>
                  <w:spacing w:line="203" w:lineRule="exact" w:before="0"/>
                  <w:ind w:left="60" w:right="0" w:firstLine="0"/>
                  <w:jc w:val="left"/>
                  <w:rPr>
                    <w:rFonts w:ascii="Calibri"/>
                    <w:sz w:val="18"/>
                  </w:rPr>
                </w:pPr>
                <w:r>
                  <w:rPr/>
                  <w:fldChar w:fldCharType="begin"/>
                </w:r>
                <w:r>
                  <w:rPr>
                    <w:rFonts w:ascii="Calibri"/>
                    <w:sz w:val="18"/>
                  </w:rPr>
                  <w:instrText> PAGE </w:instrText>
                </w:r>
                <w:r>
                  <w:rPr/>
                  <w:fldChar w:fldCharType="separate"/>
                </w:r>
                <w:r>
                  <w:rPr/>
                  <w:t>10</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6.631134pt;margin-top:774.655151pt;width:6.6pt;height:11pt;mso-position-horizontal-relative:page;mso-position-vertical-relative:page;z-index:-252144640" type="#_x0000_t202" filled="false" stroked="false">
          <v:textbox inset="0,0,0,0">
            <w:txbxContent>
              <w:p>
                <w:pPr>
                  <w:spacing w:line="203" w:lineRule="exact" w:before="0"/>
                  <w:ind w:left="20" w:right="0" w:firstLine="0"/>
                  <w:jc w:val="left"/>
                  <w:rPr>
                    <w:rFonts w:ascii="Calibri"/>
                    <w:b/>
                    <w:sz w:val="18"/>
                  </w:rPr>
                </w:pPr>
                <w:r>
                  <w:rPr>
                    <w:rFonts w:ascii="Calibri"/>
                    <w:b/>
                    <w:sz w:val="18"/>
                  </w:rPr>
                  <w:t>1</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2"/>
      </w:rPr>
    </w:pPr>
    <w:r>
      <w:rPr/>
      <w:pict>
        <v:shape style="position:absolute;margin-left:292.344666pt;margin-top:774.655151pt;width:12.85pt;height:11pt;mso-position-horizontal-relative:page;mso-position-vertical-relative:page;z-index:-252143616" type="#_x0000_t202" filled="false" stroked="false">
          <v:textbox inset="0,0,0,0">
            <w:txbxContent>
              <w:p>
                <w:pPr>
                  <w:spacing w:line="203" w:lineRule="exact" w:before="0"/>
                  <w:ind w:left="60" w:right="0" w:firstLine="0"/>
                  <w:jc w:val="left"/>
                  <w:rPr>
                    <w:rFonts w:ascii="Calibri"/>
                    <w:sz w:val="18"/>
                  </w:rPr>
                </w:pPr>
                <w:r>
                  <w:rPr/>
                  <w:fldChar w:fldCharType="begin"/>
                </w:r>
                <w:r>
                  <w:rPr>
                    <w:rFonts w:ascii="Calibri"/>
                    <w:sz w:val="18"/>
                  </w:rPr>
                  <w:instrText> PAGE </w:instrText>
                </w:r>
                <w:r>
                  <w:rPr/>
                  <w:fldChar w:fldCharType="separate"/>
                </w:r>
                <w:r>
                  <w:rPr/>
                  <w:t>14</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decimal"/>
      <w:lvlText w:val="（%1）"/>
      <w:lvlJc w:val="left"/>
      <w:pPr>
        <w:ind w:left="240" w:hanging="707"/>
        <w:jc w:val="left"/>
      </w:pPr>
      <w:rPr>
        <w:rFonts w:hint="default" w:ascii="宋体" w:hAnsi="宋体" w:eastAsia="宋体" w:cs="宋体"/>
        <w:spacing w:val="-17"/>
        <w:w w:val="100"/>
        <w:sz w:val="26"/>
        <w:szCs w:val="26"/>
      </w:rPr>
    </w:lvl>
    <w:lvl w:ilvl="1">
      <w:start w:val="0"/>
      <w:numFmt w:val="bullet"/>
      <w:lvlText w:val="•"/>
      <w:lvlJc w:val="left"/>
      <w:pPr>
        <w:ind w:left="1130" w:hanging="707"/>
      </w:pPr>
      <w:rPr>
        <w:rFonts w:hint="default"/>
      </w:rPr>
    </w:lvl>
    <w:lvl w:ilvl="2">
      <w:start w:val="0"/>
      <w:numFmt w:val="bullet"/>
      <w:lvlText w:val="•"/>
      <w:lvlJc w:val="left"/>
      <w:pPr>
        <w:ind w:left="2021" w:hanging="707"/>
      </w:pPr>
      <w:rPr>
        <w:rFonts w:hint="default"/>
      </w:rPr>
    </w:lvl>
    <w:lvl w:ilvl="3">
      <w:start w:val="0"/>
      <w:numFmt w:val="bullet"/>
      <w:lvlText w:val="•"/>
      <w:lvlJc w:val="left"/>
      <w:pPr>
        <w:ind w:left="2911" w:hanging="707"/>
      </w:pPr>
      <w:rPr>
        <w:rFonts w:hint="default"/>
      </w:rPr>
    </w:lvl>
    <w:lvl w:ilvl="4">
      <w:start w:val="0"/>
      <w:numFmt w:val="bullet"/>
      <w:lvlText w:val="•"/>
      <w:lvlJc w:val="left"/>
      <w:pPr>
        <w:ind w:left="3802" w:hanging="707"/>
      </w:pPr>
      <w:rPr>
        <w:rFonts w:hint="default"/>
      </w:rPr>
    </w:lvl>
    <w:lvl w:ilvl="5">
      <w:start w:val="0"/>
      <w:numFmt w:val="bullet"/>
      <w:lvlText w:val="•"/>
      <w:lvlJc w:val="left"/>
      <w:pPr>
        <w:ind w:left="4692" w:hanging="707"/>
      </w:pPr>
      <w:rPr>
        <w:rFonts w:hint="default"/>
      </w:rPr>
    </w:lvl>
    <w:lvl w:ilvl="6">
      <w:start w:val="0"/>
      <w:numFmt w:val="bullet"/>
      <w:lvlText w:val="•"/>
      <w:lvlJc w:val="left"/>
      <w:pPr>
        <w:ind w:left="5583" w:hanging="707"/>
      </w:pPr>
      <w:rPr>
        <w:rFonts w:hint="default"/>
      </w:rPr>
    </w:lvl>
    <w:lvl w:ilvl="7">
      <w:start w:val="0"/>
      <w:numFmt w:val="bullet"/>
      <w:lvlText w:val="•"/>
      <w:lvlJc w:val="left"/>
      <w:pPr>
        <w:ind w:left="6473" w:hanging="707"/>
      </w:pPr>
      <w:rPr>
        <w:rFonts w:hint="default"/>
      </w:rPr>
    </w:lvl>
    <w:lvl w:ilvl="8">
      <w:start w:val="0"/>
      <w:numFmt w:val="bullet"/>
      <w:lvlText w:val="•"/>
      <w:lvlJc w:val="left"/>
      <w:pPr>
        <w:ind w:left="7364" w:hanging="707"/>
      </w:pPr>
      <w:rPr>
        <w:rFonts w:hint="default"/>
      </w:rPr>
    </w:lvl>
  </w:abstractNum>
  <w:abstractNum w:abstractNumId="3">
    <w:multiLevelType w:val="hybridMultilevel"/>
    <w:lvl w:ilvl="0">
      <w:start w:val="1"/>
      <w:numFmt w:val="decimal"/>
      <w:lvlText w:val="（%1）"/>
      <w:lvlJc w:val="left"/>
      <w:pPr>
        <w:ind w:left="1505" w:hanging="707"/>
        <w:jc w:val="left"/>
      </w:pPr>
      <w:rPr>
        <w:rFonts w:hint="default" w:ascii="宋体" w:hAnsi="宋体" w:eastAsia="宋体" w:cs="宋体"/>
        <w:w w:val="100"/>
        <w:sz w:val="26"/>
        <w:szCs w:val="26"/>
      </w:rPr>
    </w:lvl>
    <w:lvl w:ilvl="1">
      <w:start w:val="0"/>
      <w:numFmt w:val="bullet"/>
      <w:lvlText w:val="•"/>
      <w:lvlJc w:val="left"/>
      <w:pPr>
        <w:ind w:left="2264" w:hanging="707"/>
      </w:pPr>
      <w:rPr>
        <w:rFonts w:hint="default"/>
      </w:rPr>
    </w:lvl>
    <w:lvl w:ilvl="2">
      <w:start w:val="0"/>
      <w:numFmt w:val="bullet"/>
      <w:lvlText w:val="•"/>
      <w:lvlJc w:val="left"/>
      <w:pPr>
        <w:ind w:left="3029" w:hanging="707"/>
      </w:pPr>
      <w:rPr>
        <w:rFonts w:hint="default"/>
      </w:rPr>
    </w:lvl>
    <w:lvl w:ilvl="3">
      <w:start w:val="0"/>
      <w:numFmt w:val="bullet"/>
      <w:lvlText w:val="•"/>
      <w:lvlJc w:val="left"/>
      <w:pPr>
        <w:ind w:left="3793" w:hanging="707"/>
      </w:pPr>
      <w:rPr>
        <w:rFonts w:hint="default"/>
      </w:rPr>
    </w:lvl>
    <w:lvl w:ilvl="4">
      <w:start w:val="0"/>
      <w:numFmt w:val="bullet"/>
      <w:lvlText w:val="•"/>
      <w:lvlJc w:val="left"/>
      <w:pPr>
        <w:ind w:left="4558" w:hanging="707"/>
      </w:pPr>
      <w:rPr>
        <w:rFonts w:hint="default"/>
      </w:rPr>
    </w:lvl>
    <w:lvl w:ilvl="5">
      <w:start w:val="0"/>
      <w:numFmt w:val="bullet"/>
      <w:lvlText w:val="•"/>
      <w:lvlJc w:val="left"/>
      <w:pPr>
        <w:ind w:left="5322" w:hanging="707"/>
      </w:pPr>
      <w:rPr>
        <w:rFonts w:hint="default"/>
      </w:rPr>
    </w:lvl>
    <w:lvl w:ilvl="6">
      <w:start w:val="0"/>
      <w:numFmt w:val="bullet"/>
      <w:lvlText w:val="•"/>
      <w:lvlJc w:val="left"/>
      <w:pPr>
        <w:ind w:left="6087" w:hanging="707"/>
      </w:pPr>
      <w:rPr>
        <w:rFonts w:hint="default"/>
      </w:rPr>
    </w:lvl>
    <w:lvl w:ilvl="7">
      <w:start w:val="0"/>
      <w:numFmt w:val="bullet"/>
      <w:lvlText w:val="•"/>
      <w:lvlJc w:val="left"/>
      <w:pPr>
        <w:ind w:left="6851" w:hanging="707"/>
      </w:pPr>
      <w:rPr>
        <w:rFonts w:hint="default"/>
      </w:rPr>
    </w:lvl>
    <w:lvl w:ilvl="8">
      <w:start w:val="0"/>
      <w:numFmt w:val="bullet"/>
      <w:lvlText w:val="•"/>
      <w:lvlJc w:val="left"/>
      <w:pPr>
        <w:ind w:left="7616" w:hanging="707"/>
      </w:pPr>
      <w:rPr>
        <w:rFonts w:hint="default"/>
      </w:rPr>
    </w:lvl>
  </w:abstractNum>
  <w:abstractNum w:abstractNumId="2">
    <w:multiLevelType w:val="hybridMultilevel"/>
    <w:lvl w:ilvl="0">
      <w:start w:val="1"/>
      <w:numFmt w:val="decimal"/>
      <w:lvlText w:val="（%1）"/>
      <w:lvlJc w:val="left"/>
      <w:pPr>
        <w:ind w:left="240" w:hanging="707"/>
        <w:jc w:val="left"/>
      </w:pPr>
      <w:rPr>
        <w:rFonts w:hint="default" w:ascii="宋体" w:hAnsi="宋体" w:eastAsia="宋体" w:cs="宋体"/>
        <w:spacing w:val="-17"/>
        <w:w w:val="100"/>
        <w:sz w:val="26"/>
        <w:szCs w:val="26"/>
      </w:rPr>
    </w:lvl>
    <w:lvl w:ilvl="1">
      <w:start w:val="0"/>
      <w:numFmt w:val="bullet"/>
      <w:lvlText w:val="•"/>
      <w:lvlJc w:val="left"/>
      <w:pPr>
        <w:ind w:left="1130" w:hanging="707"/>
      </w:pPr>
      <w:rPr>
        <w:rFonts w:hint="default"/>
      </w:rPr>
    </w:lvl>
    <w:lvl w:ilvl="2">
      <w:start w:val="0"/>
      <w:numFmt w:val="bullet"/>
      <w:lvlText w:val="•"/>
      <w:lvlJc w:val="left"/>
      <w:pPr>
        <w:ind w:left="2021" w:hanging="707"/>
      </w:pPr>
      <w:rPr>
        <w:rFonts w:hint="default"/>
      </w:rPr>
    </w:lvl>
    <w:lvl w:ilvl="3">
      <w:start w:val="0"/>
      <w:numFmt w:val="bullet"/>
      <w:lvlText w:val="•"/>
      <w:lvlJc w:val="left"/>
      <w:pPr>
        <w:ind w:left="2911" w:hanging="707"/>
      </w:pPr>
      <w:rPr>
        <w:rFonts w:hint="default"/>
      </w:rPr>
    </w:lvl>
    <w:lvl w:ilvl="4">
      <w:start w:val="0"/>
      <w:numFmt w:val="bullet"/>
      <w:lvlText w:val="•"/>
      <w:lvlJc w:val="left"/>
      <w:pPr>
        <w:ind w:left="3802" w:hanging="707"/>
      </w:pPr>
      <w:rPr>
        <w:rFonts w:hint="default"/>
      </w:rPr>
    </w:lvl>
    <w:lvl w:ilvl="5">
      <w:start w:val="0"/>
      <w:numFmt w:val="bullet"/>
      <w:lvlText w:val="•"/>
      <w:lvlJc w:val="left"/>
      <w:pPr>
        <w:ind w:left="4692" w:hanging="707"/>
      </w:pPr>
      <w:rPr>
        <w:rFonts w:hint="default"/>
      </w:rPr>
    </w:lvl>
    <w:lvl w:ilvl="6">
      <w:start w:val="0"/>
      <w:numFmt w:val="bullet"/>
      <w:lvlText w:val="•"/>
      <w:lvlJc w:val="left"/>
      <w:pPr>
        <w:ind w:left="5583" w:hanging="707"/>
      </w:pPr>
      <w:rPr>
        <w:rFonts w:hint="default"/>
      </w:rPr>
    </w:lvl>
    <w:lvl w:ilvl="7">
      <w:start w:val="0"/>
      <w:numFmt w:val="bullet"/>
      <w:lvlText w:val="•"/>
      <w:lvlJc w:val="left"/>
      <w:pPr>
        <w:ind w:left="6473" w:hanging="707"/>
      </w:pPr>
      <w:rPr>
        <w:rFonts w:hint="default"/>
      </w:rPr>
    </w:lvl>
    <w:lvl w:ilvl="8">
      <w:start w:val="0"/>
      <w:numFmt w:val="bullet"/>
      <w:lvlText w:val="•"/>
      <w:lvlJc w:val="left"/>
      <w:pPr>
        <w:ind w:left="7364" w:hanging="707"/>
      </w:pPr>
      <w:rPr>
        <w:rFonts w:hint="default"/>
      </w:rPr>
    </w:lvl>
  </w:abstractNum>
  <w:abstractNum w:abstractNumId="1">
    <w:multiLevelType w:val="hybridMultilevel"/>
    <w:lvl w:ilvl="0">
      <w:start w:val="1"/>
      <w:numFmt w:val="decimal"/>
      <w:lvlText w:val="（%1）"/>
      <w:lvlJc w:val="left"/>
      <w:pPr>
        <w:ind w:left="240" w:hanging="705"/>
        <w:jc w:val="left"/>
      </w:pPr>
      <w:rPr>
        <w:rFonts w:hint="default" w:ascii="宋体" w:hAnsi="宋体" w:eastAsia="宋体" w:cs="宋体"/>
        <w:spacing w:val="-17"/>
        <w:w w:val="100"/>
        <w:sz w:val="26"/>
        <w:szCs w:val="26"/>
      </w:rPr>
    </w:lvl>
    <w:lvl w:ilvl="1">
      <w:start w:val="0"/>
      <w:numFmt w:val="bullet"/>
      <w:lvlText w:val="•"/>
      <w:lvlJc w:val="left"/>
      <w:pPr>
        <w:ind w:left="1130" w:hanging="705"/>
      </w:pPr>
      <w:rPr>
        <w:rFonts w:hint="default"/>
      </w:rPr>
    </w:lvl>
    <w:lvl w:ilvl="2">
      <w:start w:val="0"/>
      <w:numFmt w:val="bullet"/>
      <w:lvlText w:val="•"/>
      <w:lvlJc w:val="left"/>
      <w:pPr>
        <w:ind w:left="2021" w:hanging="705"/>
      </w:pPr>
      <w:rPr>
        <w:rFonts w:hint="default"/>
      </w:rPr>
    </w:lvl>
    <w:lvl w:ilvl="3">
      <w:start w:val="0"/>
      <w:numFmt w:val="bullet"/>
      <w:lvlText w:val="•"/>
      <w:lvlJc w:val="left"/>
      <w:pPr>
        <w:ind w:left="2911" w:hanging="705"/>
      </w:pPr>
      <w:rPr>
        <w:rFonts w:hint="default"/>
      </w:rPr>
    </w:lvl>
    <w:lvl w:ilvl="4">
      <w:start w:val="0"/>
      <w:numFmt w:val="bullet"/>
      <w:lvlText w:val="•"/>
      <w:lvlJc w:val="left"/>
      <w:pPr>
        <w:ind w:left="3802" w:hanging="705"/>
      </w:pPr>
      <w:rPr>
        <w:rFonts w:hint="default"/>
      </w:rPr>
    </w:lvl>
    <w:lvl w:ilvl="5">
      <w:start w:val="0"/>
      <w:numFmt w:val="bullet"/>
      <w:lvlText w:val="•"/>
      <w:lvlJc w:val="left"/>
      <w:pPr>
        <w:ind w:left="4692" w:hanging="705"/>
      </w:pPr>
      <w:rPr>
        <w:rFonts w:hint="default"/>
      </w:rPr>
    </w:lvl>
    <w:lvl w:ilvl="6">
      <w:start w:val="0"/>
      <w:numFmt w:val="bullet"/>
      <w:lvlText w:val="•"/>
      <w:lvlJc w:val="left"/>
      <w:pPr>
        <w:ind w:left="5583" w:hanging="705"/>
      </w:pPr>
      <w:rPr>
        <w:rFonts w:hint="default"/>
      </w:rPr>
    </w:lvl>
    <w:lvl w:ilvl="7">
      <w:start w:val="0"/>
      <w:numFmt w:val="bullet"/>
      <w:lvlText w:val="•"/>
      <w:lvlJc w:val="left"/>
      <w:pPr>
        <w:ind w:left="6473" w:hanging="705"/>
      </w:pPr>
      <w:rPr>
        <w:rFonts w:hint="default"/>
      </w:rPr>
    </w:lvl>
    <w:lvl w:ilvl="8">
      <w:start w:val="0"/>
      <w:numFmt w:val="bullet"/>
      <w:lvlText w:val="•"/>
      <w:lvlJc w:val="left"/>
      <w:pPr>
        <w:ind w:left="7364" w:hanging="705"/>
      </w:pPr>
      <w:rPr>
        <w:rFonts w:hint="default"/>
      </w:rPr>
    </w:lvl>
  </w:abstractNum>
  <w:abstractNum w:abstractNumId="0">
    <w:multiLevelType w:val="hybridMultilevel"/>
    <w:lvl w:ilvl="0">
      <w:start w:val="1"/>
      <w:numFmt w:val="lowerLetter"/>
      <w:lvlText w:val="%1)"/>
      <w:lvlJc w:val="left"/>
      <w:pPr>
        <w:ind w:left="240" w:hanging="423"/>
        <w:jc w:val="left"/>
      </w:pPr>
      <w:rPr>
        <w:rFonts w:hint="default" w:ascii="宋体" w:hAnsi="宋体" w:eastAsia="宋体" w:cs="宋体"/>
        <w:w w:val="100"/>
        <w:sz w:val="28"/>
        <w:szCs w:val="28"/>
      </w:rPr>
    </w:lvl>
    <w:lvl w:ilvl="1">
      <w:start w:val="0"/>
      <w:numFmt w:val="bullet"/>
      <w:lvlText w:val="•"/>
      <w:lvlJc w:val="left"/>
      <w:pPr>
        <w:ind w:left="1130" w:hanging="423"/>
      </w:pPr>
      <w:rPr>
        <w:rFonts w:hint="default"/>
      </w:rPr>
    </w:lvl>
    <w:lvl w:ilvl="2">
      <w:start w:val="0"/>
      <w:numFmt w:val="bullet"/>
      <w:lvlText w:val="•"/>
      <w:lvlJc w:val="left"/>
      <w:pPr>
        <w:ind w:left="2021" w:hanging="423"/>
      </w:pPr>
      <w:rPr>
        <w:rFonts w:hint="default"/>
      </w:rPr>
    </w:lvl>
    <w:lvl w:ilvl="3">
      <w:start w:val="0"/>
      <w:numFmt w:val="bullet"/>
      <w:lvlText w:val="•"/>
      <w:lvlJc w:val="left"/>
      <w:pPr>
        <w:ind w:left="2911" w:hanging="423"/>
      </w:pPr>
      <w:rPr>
        <w:rFonts w:hint="default"/>
      </w:rPr>
    </w:lvl>
    <w:lvl w:ilvl="4">
      <w:start w:val="0"/>
      <w:numFmt w:val="bullet"/>
      <w:lvlText w:val="•"/>
      <w:lvlJc w:val="left"/>
      <w:pPr>
        <w:ind w:left="3802" w:hanging="423"/>
      </w:pPr>
      <w:rPr>
        <w:rFonts w:hint="default"/>
      </w:rPr>
    </w:lvl>
    <w:lvl w:ilvl="5">
      <w:start w:val="0"/>
      <w:numFmt w:val="bullet"/>
      <w:lvlText w:val="•"/>
      <w:lvlJc w:val="left"/>
      <w:pPr>
        <w:ind w:left="4692" w:hanging="423"/>
      </w:pPr>
      <w:rPr>
        <w:rFonts w:hint="default"/>
      </w:rPr>
    </w:lvl>
    <w:lvl w:ilvl="6">
      <w:start w:val="0"/>
      <w:numFmt w:val="bullet"/>
      <w:lvlText w:val="•"/>
      <w:lvlJc w:val="left"/>
      <w:pPr>
        <w:ind w:left="5583" w:hanging="423"/>
      </w:pPr>
      <w:rPr>
        <w:rFonts w:hint="default"/>
      </w:rPr>
    </w:lvl>
    <w:lvl w:ilvl="7">
      <w:start w:val="0"/>
      <w:numFmt w:val="bullet"/>
      <w:lvlText w:val="•"/>
      <w:lvlJc w:val="left"/>
      <w:pPr>
        <w:ind w:left="6473" w:hanging="423"/>
      </w:pPr>
      <w:rPr>
        <w:rFonts w:hint="default"/>
      </w:rPr>
    </w:lvl>
    <w:lvl w:ilvl="8">
      <w:start w:val="0"/>
      <w:numFmt w:val="bullet"/>
      <w:lvlText w:val="•"/>
      <w:lvlJc w:val="left"/>
      <w:pPr>
        <w:ind w:left="7364" w:hanging="423"/>
      </w:pPr>
      <w:rPr>
        <w:rFonts w:hint="default"/>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rPr>
  </w:style>
  <w:style w:styleId="TOC1" w:type="paragraph">
    <w:name w:val="TOC 1"/>
    <w:basedOn w:val="Normal"/>
    <w:uiPriority w:val="1"/>
    <w:qFormat/>
    <w:pPr>
      <w:spacing w:before="265"/>
      <w:ind w:right="354"/>
      <w:jc w:val="center"/>
    </w:pPr>
    <w:rPr>
      <w:rFonts w:ascii="仿宋" w:hAnsi="仿宋" w:eastAsia="仿宋" w:cs="仿宋"/>
      <w:sz w:val="28"/>
      <w:szCs w:val="28"/>
    </w:rPr>
  </w:style>
  <w:style w:styleId="TOC2" w:type="paragraph">
    <w:name w:val="TOC 2"/>
    <w:basedOn w:val="Normal"/>
    <w:uiPriority w:val="1"/>
    <w:qFormat/>
    <w:pPr>
      <w:spacing w:before="265"/>
      <w:ind w:left="660"/>
    </w:pPr>
    <w:rPr>
      <w:rFonts w:ascii="仿宋" w:hAnsi="仿宋" w:eastAsia="仿宋" w:cs="仿宋"/>
      <w:sz w:val="28"/>
      <w:szCs w:val="28"/>
    </w:rPr>
  </w:style>
  <w:style w:styleId="BodyText" w:type="paragraph">
    <w:name w:val="Body Text"/>
    <w:basedOn w:val="Normal"/>
    <w:uiPriority w:val="1"/>
    <w:qFormat/>
    <w:pPr/>
    <w:rPr>
      <w:rFonts w:ascii="宋体" w:hAnsi="宋体" w:eastAsia="宋体" w:cs="宋体"/>
      <w:sz w:val="28"/>
      <w:szCs w:val="28"/>
    </w:rPr>
  </w:style>
  <w:style w:styleId="Heading1" w:type="paragraph">
    <w:name w:val="Heading 1"/>
    <w:basedOn w:val="Normal"/>
    <w:uiPriority w:val="1"/>
    <w:qFormat/>
    <w:pPr>
      <w:spacing w:before="19"/>
      <w:ind w:left="240"/>
      <w:outlineLvl w:val="1"/>
    </w:pPr>
    <w:rPr>
      <w:rFonts w:ascii="宋体" w:hAnsi="宋体" w:eastAsia="宋体" w:cs="宋体"/>
      <w:b/>
      <w:bCs/>
      <w:sz w:val="44"/>
      <w:szCs w:val="44"/>
    </w:rPr>
  </w:style>
  <w:style w:styleId="Heading2" w:type="paragraph">
    <w:name w:val="Heading 2"/>
    <w:basedOn w:val="Normal"/>
    <w:uiPriority w:val="1"/>
    <w:qFormat/>
    <w:pPr>
      <w:ind w:left="240"/>
      <w:outlineLvl w:val="2"/>
    </w:pPr>
    <w:rPr>
      <w:rFonts w:ascii="幼圆" w:hAnsi="幼圆" w:eastAsia="幼圆" w:cs="幼圆"/>
      <w:b/>
      <w:bCs/>
      <w:sz w:val="32"/>
      <w:szCs w:val="32"/>
    </w:rPr>
  </w:style>
  <w:style w:styleId="Heading3" w:type="paragraph">
    <w:name w:val="Heading 3"/>
    <w:basedOn w:val="Normal"/>
    <w:uiPriority w:val="1"/>
    <w:qFormat/>
    <w:pPr>
      <w:ind w:left="801"/>
      <w:outlineLvl w:val="3"/>
    </w:pPr>
    <w:rPr>
      <w:rFonts w:ascii="宋体" w:hAnsi="宋体" w:eastAsia="宋体" w:cs="宋体"/>
      <w:b/>
      <w:bCs/>
      <w:sz w:val="28"/>
      <w:szCs w:val="28"/>
    </w:rPr>
  </w:style>
  <w:style w:styleId="ListParagraph" w:type="paragraph">
    <w:name w:val="List Paragraph"/>
    <w:basedOn w:val="Normal"/>
    <w:uiPriority w:val="1"/>
    <w:qFormat/>
    <w:pPr>
      <w:ind w:left="240" w:firstLine="559"/>
    </w:pPr>
    <w:rPr>
      <w:rFonts w:ascii="宋体" w:hAnsi="宋体" w:eastAsia="宋体" w:cs="宋体"/>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media/image3.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2022-05-31T07:23:56Z</dcterms:created>
  <dcterms:modified xsi:type="dcterms:W3CDTF">2022-05-31T07:23:56Z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2022-05-31T00:00:00Z</vt:filetime>
  </property>
  <property fmtid="{D5CDD505-2E9C-101B-9397-08002B2CF9AE}" pid="3" name="LastSaved">
    <vt:filetime>2022-05-31T00:00:00Z</vt:filetime>
  </property>
</Properties>
</file>