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17C0F7">
      <w:pPr>
        <w:pStyle w:val="2"/>
        <w:bidi w:val="0"/>
        <w:rPr>
          <w:rFonts w:hint="eastAsia" w:ascii="楷体" w:hAnsi="楷体" w:eastAsia="楷体" w:cs="楷体"/>
          <w:sz w:val="44"/>
          <w:szCs w:val="44"/>
        </w:rPr>
      </w:pPr>
      <w:bookmarkStart w:id="0" w:name="_GoBack"/>
      <w:r>
        <w:rPr>
          <w:rFonts w:hint="eastAsia" w:ascii="楷体" w:hAnsi="楷体" w:eastAsia="楷体" w:cs="楷体"/>
          <w:sz w:val="44"/>
          <w:szCs w:val="44"/>
        </w:rPr>
        <w:t>激酶抑制剂如何设计？不妨从FDA批准上市的82种小分子蛋白激酶抑制剂找找灵感</w:t>
      </w:r>
    </w:p>
    <w:bookmarkEnd w:id="0"/>
    <w:p w14:paraId="056320D5">
      <w:pPr>
        <w:rPr>
          <w:rFonts w:hint="eastAsia" w:ascii="楷体" w:hAnsi="楷体" w:eastAsia="楷体" w:cs="楷体"/>
          <w:sz w:val="28"/>
          <w:szCs w:val="28"/>
        </w:rPr>
      </w:pPr>
    </w:p>
    <w:p w14:paraId="53EDA335">
      <w:pPr>
        <w:rPr>
          <w:rFonts w:hint="eastAsia" w:ascii="楷体" w:hAnsi="楷体" w:eastAsia="楷体" w:cs="楷体"/>
          <w:sz w:val="28"/>
          <w:szCs w:val="28"/>
        </w:rPr>
      </w:pPr>
    </w:p>
    <w:p w14:paraId="0BF0D1D8">
      <w:pPr>
        <w:pStyle w:val="3"/>
        <w:bidi w:val="0"/>
        <w:rPr>
          <w:rFonts w:hint="eastAsia" w:ascii="楷体" w:hAnsi="楷体" w:eastAsia="楷体" w:cs="楷体"/>
        </w:rPr>
      </w:pPr>
      <w:r>
        <w:rPr>
          <w:rFonts w:hint="eastAsia" w:ascii="楷体" w:hAnsi="楷体" w:eastAsia="楷体" w:cs="楷体"/>
        </w:rPr>
        <w:t>前言</w:t>
      </w:r>
    </w:p>
    <w:p w14:paraId="692C0800">
      <w:pPr>
        <w:rPr>
          <w:rFonts w:hint="eastAsia" w:ascii="楷体" w:hAnsi="楷体" w:eastAsia="楷体" w:cs="楷体"/>
          <w:sz w:val="28"/>
          <w:szCs w:val="28"/>
        </w:rPr>
      </w:pPr>
      <w:r>
        <w:rPr>
          <w:rFonts w:hint="eastAsia" w:ascii="楷体" w:hAnsi="楷体" w:eastAsia="楷体" w:cs="楷体"/>
          <w:sz w:val="28"/>
          <w:szCs w:val="28"/>
        </w:rPr>
        <w:t>截至2024年9月，美国食品药品监督管理局（FDA）已批准82种小分子蛋白激酶抑制剂上市。这些抑制剂大约靶向50种激酶，覆盖了真核蛋白激酶组的TK、TKL、STE、CMGC和AGC中的20个家族，以及非典型蛋白激酶的PIKK家族。</w:t>
      </w:r>
    </w:p>
    <w:p w14:paraId="7A0DD08A">
      <w:pPr>
        <w:rPr>
          <w:rFonts w:hint="eastAsia" w:ascii="楷体" w:hAnsi="楷体" w:eastAsia="楷体" w:cs="楷体"/>
          <w:sz w:val="28"/>
          <w:szCs w:val="28"/>
        </w:rPr>
      </w:pPr>
      <w:r>
        <w:rPr>
          <w:rFonts w:hint="eastAsia" w:ascii="楷体" w:hAnsi="楷体" w:eastAsia="楷体" w:cs="楷体"/>
          <w:sz w:val="28"/>
          <w:szCs w:val="28"/>
        </w:rPr>
        <w:t>其中有62种主要靶向酪氨酸激酶TK。EGFR和JAK家族获批抑制剂数量最多，各有10种，其次是VEGFR家族，有8种抑制剂获批上市。</w:t>
      </w:r>
    </w:p>
    <w:p w14:paraId="7031CD57">
      <w:pPr>
        <w:rPr>
          <w:rFonts w:hint="eastAsia" w:ascii="楷体" w:hAnsi="楷体" w:eastAsia="楷体" w:cs="楷体"/>
          <w:sz w:val="28"/>
          <w:szCs w:val="28"/>
        </w:rPr>
      </w:pPr>
      <w:r>
        <w:rPr>
          <w:rFonts w:hint="eastAsia" w:ascii="楷体" w:hAnsi="楷体" w:eastAsia="楷体" w:cs="楷体"/>
          <w:sz w:val="28"/>
          <w:szCs w:val="28"/>
        </w:rPr>
        <w:t>除此之外，脂质激酶家族PI3K已有7款药物获批上市（截止2024年11月）。</w:t>
      </w:r>
    </w:p>
    <w:p w14:paraId="1FF61149">
      <w:pPr>
        <w:rPr>
          <w:rFonts w:hint="eastAsia" w:ascii="楷体" w:hAnsi="楷体" w:eastAsia="楷体" w:cs="楷体"/>
          <w:sz w:val="28"/>
          <w:szCs w:val="28"/>
        </w:rPr>
      </w:pPr>
      <w:r>
        <w:rPr>
          <w:rFonts w:hint="eastAsia" w:ascii="楷体" w:hAnsi="楷体" w:eastAsia="楷体" w:cs="楷体"/>
          <w:sz w:val="28"/>
          <w:szCs w:val="28"/>
        </w:rPr>
        <w:t>这些抑制剂可以用于治疗乳腺癌、淋巴瘤、白血病等各种癌症，以及特应性皮炎、类风湿性关节炎和银屑病等炎症性疾病。</w:t>
      </w:r>
    </w:p>
    <w:p w14:paraId="531CEE18">
      <w:pPr>
        <w:rPr>
          <w:rFonts w:hint="eastAsia" w:ascii="楷体" w:hAnsi="楷体" w:eastAsia="楷体" w:cs="楷体"/>
          <w:sz w:val="28"/>
          <w:szCs w:val="28"/>
        </w:rPr>
      </w:pPr>
    </w:p>
    <w:p w14:paraId="207507AD">
      <w:pPr>
        <w:pStyle w:val="3"/>
        <w:bidi w:val="0"/>
        <w:rPr>
          <w:rFonts w:hint="eastAsia" w:ascii="楷体" w:hAnsi="楷体" w:eastAsia="楷体" w:cs="楷体"/>
        </w:rPr>
      </w:pPr>
      <w:r>
        <w:rPr>
          <w:rFonts w:hint="eastAsia" w:ascii="楷体" w:hAnsi="楷体" w:eastAsia="楷体" w:cs="楷体"/>
        </w:rPr>
        <w:t>庞大的蛋白激酶家族</w:t>
      </w:r>
    </w:p>
    <w:p w14:paraId="65BE952E">
      <w:pPr>
        <w:rPr>
          <w:rFonts w:hint="eastAsia" w:ascii="楷体" w:hAnsi="楷体" w:eastAsia="楷体" w:cs="楷体"/>
          <w:sz w:val="28"/>
          <w:szCs w:val="28"/>
        </w:rPr>
      </w:pPr>
      <w:r>
        <w:rPr>
          <w:rFonts w:hint="eastAsia" w:ascii="楷体" w:hAnsi="楷体" w:eastAsia="楷体" w:cs="楷体"/>
          <w:sz w:val="28"/>
          <w:szCs w:val="28"/>
        </w:rPr>
        <w:t>蛋白激酶催化蛋白质磷酸化修饰的酶，将ATP末端磷酸基转移到底物蛋白的酪氨酸、苏氨酸或丝氨酸残基上。蛋白磷酸化激活多种信号转导，参与调控细胞生长、分化、稳态和死亡等一系列生物过程。经过二十多年的沉沉浮浮，激酶已成为药物发现的重要靶点。</w:t>
      </w:r>
    </w:p>
    <w:p w14:paraId="0DE19ECB">
      <w:pPr>
        <w:rPr>
          <w:rFonts w:hint="eastAsia" w:ascii="楷体" w:hAnsi="楷体" w:eastAsia="楷体" w:cs="楷体"/>
          <w:sz w:val="28"/>
          <w:szCs w:val="28"/>
        </w:rPr>
      </w:pPr>
      <w:r>
        <w:rPr>
          <w:rFonts w:hint="eastAsia" w:ascii="楷体" w:hAnsi="楷体" w:eastAsia="楷体" w:cs="楷体"/>
          <w:sz w:val="28"/>
          <w:szCs w:val="28"/>
        </w:rPr>
        <w:t>按照被磷酸化的底部蛋白的氨基酸残基种类，可以将激酶分为5大类：酪氨酸激酶（TK）、丝氨酸/苏氨酸激酶、组氨酸激酶、色氨酸激酶和天冬氨酰基/谷氨酰基激酶。</w:t>
      </w:r>
    </w:p>
    <w:p w14:paraId="537ED69F">
      <w:pPr>
        <w:rPr>
          <w:rFonts w:hint="eastAsia" w:ascii="楷体" w:hAnsi="楷体" w:eastAsia="楷体" w:cs="楷体"/>
          <w:sz w:val="28"/>
          <w:szCs w:val="28"/>
        </w:rPr>
      </w:pPr>
      <w:r>
        <w:rPr>
          <w:rFonts w:hint="eastAsia" w:ascii="楷体" w:hAnsi="楷体" w:eastAsia="楷体" w:cs="楷体"/>
          <w:sz w:val="28"/>
          <w:szCs w:val="28"/>
        </w:rPr>
        <w:t>Manning等人于2002年在Nature发表了一篇具有里程碑意义的综述文章，认为人类基因组约编码518种蛋白激酶，其中478种属于传统真核蛋白激酶（ePKs，具有保守的催化结构域）和40种非典型蛋白激酶（aPKs，与ePKs在序列上没有明显的相似性，但具有蛋白激酶的功能）。这些激酶具有相似的三维结构，均有ATP结合域，可据此设计高效的激酶抑制剂。</w:t>
      </w:r>
    </w:p>
    <w:p w14:paraId="48BB3E99">
      <w:pPr>
        <w:rPr>
          <w:rFonts w:hint="eastAsia" w:ascii="楷体" w:hAnsi="楷体" w:eastAsia="楷体" w:cs="楷体"/>
          <w:sz w:val="28"/>
          <w:szCs w:val="28"/>
        </w:rPr>
      </w:pPr>
      <w:r>
        <w:rPr>
          <w:rFonts w:hint="eastAsia" w:ascii="楷体" w:hAnsi="楷体" w:eastAsia="楷体" w:cs="楷体"/>
          <w:sz w:val="28"/>
          <w:szCs w:val="28"/>
        </w:rPr>
        <w:t>以此为基础，Manning等人开发了KinBase数据库，根据激酶催化结构域的序列，将538种蛋白激酶按组、家族和亚家族三个维度进行分类，主要包括TK、TKL、STE、CK1、AGC、CaMK、CMGC等组。对人类蛋白激酶进行全面的分类和注释极大地促进了激酶和信号通路研究以及激酶药物发现。</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321"/>
        <w:gridCol w:w="7201"/>
      </w:tblGrid>
      <w:tr w14:paraId="569C6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321" w:type="dxa"/>
          </w:tcPr>
          <w:p w14:paraId="6B54CB37">
            <w:pPr>
              <w:rPr>
                <w:rFonts w:hint="eastAsia"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激酶组</w:t>
            </w:r>
          </w:p>
        </w:tc>
        <w:tc>
          <w:tcPr>
            <w:tcW w:w="7201" w:type="dxa"/>
          </w:tcPr>
          <w:p w14:paraId="255C514D">
            <w:pPr>
              <w:rPr>
                <w:rFonts w:hint="eastAsia"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概述</w:t>
            </w:r>
          </w:p>
        </w:tc>
      </w:tr>
      <w:tr w14:paraId="6F37F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321" w:type="dxa"/>
          </w:tcPr>
          <w:p w14:paraId="20737000">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AGC</w:t>
            </w:r>
          </w:p>
        </w:tc>
        <w:tc>
          <w:tcPr>
            <w:tcW w:w="7201" w:type="dxa"/>
          </w:tcPr>
          <w:p w14:paraId="34AFB252">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15个家族，63种激酶，如Akt、PKA、PKC、PKG等</w:t>
            </w:r>
          </w:p>
        </w:tc>
      </w:tr>
      <w:tr w14:paraId="3F53B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321" w:type="dxa"/>
          </w:tcPr>
          <w:p w14:paraId="2263E5A6">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CaMK</w:t>
            </w:r>
          </w:p>
        </w:tc>
        <w:tc>
          <w:tcPr>
            <w:tcW w:w="7201" w:type="dxa"/>
          </w:tcPr>
          <w:p w14:paraId="65DA4F74">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17个家族，74种激酶，依赖于钙离子或钙调蛋白，如CAMK1、PKD、AMPK等</w:t>
            </w:r>
          </w:p>
        </w:tc>
      </w:tr>
      <w:tr w14:paraId="6414C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321" w:type="dxa"/>
          </w:tcPr>
          <w:p w14:paraId="654F0F03">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CK1</w:t>
            </w:r>
          </w:p>
        </w:tc>
        <w:tc>
          <w:tcPr>
            <w:tcW w:w="7201" w:type="dxa"/>
          </w:tcPr>
          <w:p w14:paraId="6D090D60">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3个家族，12种激酶，如CK1、TTBK、VRK等</w:t>
            </w:r>
          </w:p>
        </w:tc>
      </w:tr>
      <w:tr w14:paraId="2BF3C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321" w:type="dxa"/>
          </w:tcPr>
          <w:p w14:paraId="53CE1C46">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CMGC</w:t>
            </w:r>
          </w:p>
        </w:tc>
        <w:tc>
          <w:tcPr>
            <w:tcW w:w="7201" w:type="dxa"/>
          </w:tcPr>
          <w:p w14:paraId="03AA6316">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9个家族，64种激酶，如CDK、MAPK、GSK、CLK等</w:t>
            </w:r>
          </w:p>
        </w:tc>
      </w:tr>
      <w:tr w14:paraId="0DB31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321" w:type="dxa"/>
          </w:tcPr>
          <w:p w14:paraId="14727335">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STE</w:t>
            </w:r>
          </w:p>
        </w:tc>
        <w:tc>
          <w:tcPr>
            <w:tcW w:w="7201" w:type="dxa"/>
          </w:tcPr>
          <w:p w14:paraId="3ED41850">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4个家族，47种激酶，MAPK信号通路的关键节点，包括STE7/MAP2K/MEK、STE11/MAP3K和STE20/MAP4K</w:t>
            </w:r>
          </w:p>
        </w:tc>
      </w:tr>
      <w:tr w14:paraId="24BEC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321" w:type="dxa"/>
          </w:tcPr>
          <w:p w14:paraId="6A0012F2">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TK</w:t>
            </w:r>
          </w:p>
        </w:tc>
        <w:tc>
          <w:tcPr>
            <w:tcW w:w="7201" w:type="dxa"/>
          </w:tcPr>
          <w:p w14:paraId="3F9A978C">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29个家族，90种激酶，酪氨酸激酶，如ALK、JAK、FGFR、VEGFR等</w:t>
            </w:r>
          </w:p>
        </w:tc>
      </w:tr>
      <w:tr w14:paraId="5AA2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321" w:type="dxa"/>
          </w:tcPr>
          <w:p w14:paraId="7A0AF888">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TKL</w:t>
            </w:r>
          </w:p>
        </w:tc>
        <w:tc>
          <w:tcPr>
            <w:tcW w:w="7201" w:type="dxa"/>
          </w:tcPr>
          <w:p w14:paraId="7481578F">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8个家族，43种激酶，如RAF、MLK、RIPK等</w:t>
            </w:r>
          </w:p>
        </w:tc>
      </w:tr>
      <w:tr w14:paraId="023B9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321" w:type="dxa"/>
          </w:tcPr>
          <w:p w14:paraId="49191528">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Other</w:t>
            </w:r>
          </w:p>
        </w:tc>
        <w:tc>
          <w:tcPr>
            <w:tcW w:w="7201" w:type="dxa"/>
          </w:tcPr>
          <w:p w14:paraId="0B9BB200">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35个家族，81种激酶，如IKK、NEK、ULK等</w:t>
            </w:r>
          </w:p>
        </w:tc>
      </w:tr>
    </w:tbl>
    <w:p w14:paraId="7F67481D">
      <w:pPr>
        <w:rPr>
          <w:rFonts w:hint="eastAsia" w:ascii="楷体" w:hAnsi="楷体" w:eastAsia="楷体" w:cs="楷体"/>
          <w:sz w:val="28"/>
          <w:szCs w:val="28"/>
        </w:rPr>
      </w:pPr>
    </w:p>
    <w:p w14:paraId="2E6BFCC2">
      <w:pPr>
        <w:pStyle w:val="3"/>
        <w:bidi w:val="0"/>
        <w:rPr>
          <w:rFonts w:hint="eastAsia" w:ascii="楷体" w:hAnsi="楷体" w:eastAsia="楷体" w:cs="楷体"/>
        </w:rPr>
      </w:pPr>
      <w:r>
        <w:rPr>
          <w:rFonts w:hint="eastAsia" w:ascii="楷体" w:hAnsi="楷体" w:eastAsia="楷体" w:cs="楷体"/>
        </w:rPr>
        <w:t>82种FDA批准上市的激酶抑制剂</w:t>
      </w:r>
    </w:p>
    <w:p w14:paraId="54EE15DD">
      <w:pPr>
        <w:rPr>
          <w:rFonts w:hint="eastAsia" w:ascii="楷体" w:hAnsi="楷体" w:eastAsia="楷体" w:cs="楷体"/>
          <w:sz w:val="28"/>
          <w:szCs w:val="28"/>
        </w:rPr>
      </w:pPr>
      <w:r>
        <w:rPr>
          <w:rFonts w:hint="eastAsia" w:ascii="楷体" w:hAnsi="楷体" w:eastAsia="楷体" w:cs="楷体"/>
          <w:sz w:val="28"/>
          <w:szCs w:val="28"/>
        </w:rPr>
        <w:t>截至2024年9月，美国FDA已批准82种小分子蛋白激酶抑制剂（SMKIs）上市。其中受体酪氨酸激酶抑制剂有41种，非受体酪氨酸激酶抑制剂有21种，丝氨酸/苏氨酸激酶抑制剂16种，靶向双特异性激酶（MEK1/2）抑制剂有4种。</w:t>
      </w:r>
    </w:p>
    <w:p w14:paraId="2D51B766">
      <w:pPr>
        <w:rPr>
          <w:rFonts w:hint="eastAsia" w:ascii="楷体" w:hAnsi="楷体" w:eastAsia="楷体" w:cs="楷体"/>
          <w:sz w:val="28"/>
          <w:szCs w:val="28"/>
        </w:rPr>
      </w:pPr>
      <w:r>
        <w:rPr>
          <w:rFonts w:hint="eastAsia" w:ascii="楷体" w:hAnsi="楷体" w:eastAsia="楷体" w:cs="楷体"/>
          <w:sz w:val="28"/>
          <w:szCs w:val="28"/>
        </w:rPr>
        <w:t>其中68种药物用于治疗肿瘤，14种药物用于治疗炎症性疾病（特应性皮炎、类风湿性关节炎、牛皮癣、斑秃和溃疡性结肠炎）及骨髓纤维化、青光眼等。有26种激酶抑制剂可用于治疗多种疾病。</w:t>
      </w:r>
    </w:p>
    <w:p w14:paraId="0B384C47">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266690" cy="3555365"/>
            <wp:effectExtent l="0" t="0" r="10160" b="6985"/>
            <wp:docPr id="1" name="图片 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
                    <pic:cNvPicPr>
                      <a:picLocks noChangeAspect="1"/>
                    </pic:cNvPicPr>
                  </pic:nvPicPr>
                  <pic:blipFill>
                    <a:blip r:embed="rId4"/>
                    <a:stretch>
                      <a:fillRect/>
                    </a:stretch>
                  </pic:blipFill>
                  <pic:spPr>
                    <a:xfrm>
                      <a:off x="0" y="0"/>
                      <a:ext cx="5266690" cy="3555365"/>
                    </a:xfrm>
                    <a:prstGeom prst="rect">
                      <a:avLst/>
                    </a:prstGeom>
                  </pic:spPr>
                </pic:pic>
              </a:graphicData>
            </a:graphic>
          </wp:inline>
        </w:drawing>
      </w:r>
    </w:p>
    <w:p w14:paraId="1B4E3CE0">
      <w:pPr>
        <w:rPr>
          <w:rFonts w:hint="eastAsia" w:ascii="楷体" w:hAnsi="楷体" w:eastAsia="楷体" w:cs="楷体"/>
          <w:sz w:val="28"/>
          <w:szCs w:val="28"/>
        </w:rPr>
      </w:pPr>
      <w:r>
        <w:rPr>
          <w:rFonts w:hint="eastAsia" w:ascii="楷体" w:hAnsi="楷体" w:eastAsia="楷体" w:cs="楷体"/>
          <w:sz w:val="28"/>
          <w:szCs w:val="28"/>
        </w:rPr>
        <w:t>82种经FDA获批的SMKIs主要靶向21个激酶家族，约占激酶组的20%。TK激酶组最受青睐，共有62种抑制剂靶向其15个激酶家族的30多种激酶蛋白。首先EGFR/HER和JAK激酶家族SMKIs数量最多，分别有10种上市。其次血管内皮生长因子受体（VEGFR）家族也受到广泛关注，已有8种SMKIs上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130"/>
        <w:gridCol w:w="2130"/>
        <w:gridCol w:w="2131"/>
        <w:gridCol w:w="2131"/>
      </w:tblGrid>
      <w:tr w14:paraId="2F981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1C5F5CDC">
            <w:pP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激酶家族</w:t>
            </w:r>
          </w:p>
        </w:tc>
        <w:tc>
          <w:tcPr>
            <w:tcW w:w="2130" w:type="dxa"/>
          </w:tcPr>
          <w:p w14:paraId="729C6995">
            <w:pP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上市数量</w:t>
            </w:r>
          </w:p>
        </w:tc>
        <w:tc>
          <w:tcPr>
            <w:tcW w:w="2131" w:type="dxa"/>
          </w:tcPr>
          <w:p w14:paraId="05BFC69A">
            <w:pP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激酶家族</w:t>
            </w:r>
          </w:p>
        </w:tc>
        <w:tc>
          <w:tcPr>
            <w:tcW w:w="2131" w:type="dxa"/>
          </w:tcPr>
          <w:p w14:paraId="642E42A5">
            <w:pPr>
              <w:rPr>
                <w:rFonts w:hint="default" w:ascii="楷体" w:hAnsi="楷体" w:eastAsia="楷体" w:cs="楷体"/>
                <w:b/>
                <w:bCs/>
                <w:sz w:val="24"/>
                <w:szCs w:val="24"/>
                <w:vertAlign w:val="baseline"/>
                <w:lang w:val="en-US" w:eastAsia="zh-CN"/>
              </w:rPr>
            </w:pPr>
            <w:r>
              <w:rPr>
                <w:rFonts w:hint="eastAsia" w:ascii="楷体" w:hAnsi="楷体" w:eastAsia="楷体" w:cs="楷体"/>
                <w:b/>
                <w:bCs/>
                <w:sz w:val="24"/>
                <w:szCs w:val="24"/>
                <w:vertAlign w:val="baseline"/>
                <w:lang w:val="en-US" w:eastAsia="zh-CN"/>
              </w:rPr>
              <w:t>上市数量</w:t>
            </w:r>
          </w:p>
        </w:tc>
      </w:tr>
      <w:tr w14:paraId="05A80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2FB8187C">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EGFR/ERBB</w:t>
            </w:r>
          </w:p>
        </w:tc>
        <w:tc>
          <w:tcPr>
            <w:tcW w:w="2130" w:type="dxa"/>
          </w:tcPr>
          <w:p w14:paraId="4F0A1B5C">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10</w:t>
            </w:r>
          </w:p>
        </w:tc>
        <w:tc>
          <w:tcPr>
            <w:tcW w:w="2131" w:type="dxa"/>
          </w:tcPr>
          <w:p w14:paraId="180F208A">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JAK</w:t>
            </w:r>
          </w:p>
        </w:tc>
        <w:tc>
          <w:tcPr>
            <w:tcW w:w="2131" w:type="dxa"/>
          </w:tcPr>
          <w:p w14:paraId="6D0AA28B">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10</w:t>
            </w:r>
          </w:p>
        </w:tc>
      </w:tr>
      <w:tr w14:paraId="4B49A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59CBABF0">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VEGFR</w:t>
            </w:r>
          </w:p>
        </w:tc>
        <w:tc>
          <w:tcPr>
            <w:tcW w:w="2130" w:type="dxa"/>
          </w:tcPr>
          <w:p w14:paraId="25B9958F">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8</w:t>
            </w:r>
          </w:p>
        </w:tc>
        <w:tc>
          <w:tcPr>
            <w:tcW w:w="2131" w:type="dxa"/>
          </w:tcPr>
          <w:p w14:paraId="3DE4A501">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BCR-Abl</w:t>
            </w:r>
          </w:p>
        </w:tc>
        <w:tc>
          <w:tcPr>
            <w:tcW w:w="2131" w:type="dxa"/>
          </w:tcPr>
          <w:p w14:paraId="25652027">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6</w:t>
            </w:r>
          </w:p>
        </w:tc>
      </w:tr>
      <w:tr w14:paraId="30D06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1E2C9B60">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ALK</w:t>
            </w:r>
          </w:p>
        </w:tc>
        <w:tc>
          <w:tcPr>
            <w:tcW w:w="2130" w:type="dxa"/>
          </w:tcPr>
          <w:p w14:paraId="6DB84521">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5</w:t>
            </w:r>
          </w:p>
        </w:tc>
        <w:tc>
          <w:tcPr>
            <w:tcW w:w="2131" w:type="dxa"/>
          </w:tcPr>
          <w:p w14:paraId="5967D020">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BTK</w:t>
            </w:r>
          </w:p>
        </w:tc>
        <w:tc>
          <w:tcPr>
            <w:tcW w:w="2131" w:type="dxa"/>
          </w:tcPr>
          <w:p w14:paraId="25AB5C51">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4</w:t>
            </w:r>
          </w:p>
        </w:tc>
      </w:tr>
      <w:tr w14:paraId="38D0F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3AF366E8">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FGFR</w:t>
            </w:r>
          </w:p>
        </w:tc>
        <w:tc>
          <w:tcPr>
            <w:tcW w:w="2130" w:type="dxa"/>
          </w:tcPr>
          <w:p w14:paraId="4D867676">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4</w:t>
            </w:r>
          </w:p>
        </w:tc>
        <w:tc>
          <w:tcPr>
            <w:tcW w:w="2131" w:type="dxa"/>
          </w:tcPr>
          <w:p w14:paraId="7E704CFE">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SYK</w:t>
            </w:r>
          </w:p>
        </w:tc>
        <w:tc>
          <w:tcPr>
            <w:tcW w:w="2131" w:type="dxa"/>
          </w:tcPr>
          <w:p w14:paraId="2D30C711">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1</w:t>
            </w:r>
          </w:p>
        </w:tc>
      </w:tr>
      <w:tr w14:paraId="36D28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tcPr>
          <w:p w14:paraId="7D2E487F">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FLT3</w:t>
            </w:r>
          </w:p>
        </w:tc>
        <w:tc>
          <w:tcPr>
            <w:tcW w:w="2130" w:type="dxa"/>
          </w:tcPr>
          <w:p w14:paraId="54023A51">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3</w:t>
            </w:r>
          </w:p>
        </w:tc>
        <w:tc>
          <w:tcPr>
            <w:tcW w:w="2131" w:type="dxa"/>
          </w:tcPr>
          <w:p w14:paraId="5A806620">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BRAF</w:t>
            </w:r>
          </w:p>
        </w:tc>
        <w:tc>
          <w:tcPr>
            <w:tcW w:w="2131" w:type="dxa"/>
          </w:tcPr>
          <w:p w14:paraId="6C2B4398">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6</w:t>
            </w:r>
          </w:p>
        </w:tc>
      </w:tr>
      <w:tr w14:paraId="6A3BD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348D6ABC">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RET</w:t>
            </w:r>
          </w:p>
        </w:tc>
        <w:tc>
          <w:tcPr>
            <w:tcW w:w="2130" w:type="dxa"/>
          </w:tcPr>
          <w:p w14:paraId="662DD1AC">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3</w:t>
            </w:r>
          </w:p>
        </w:tc>
        <w:tc>
          <w:tcPr>
            <w:tcW w:w="2131" w:type="dxa"/>
          </w:tcPr>
          <w:p w14:paraId="03CCDCEB">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CDK4/6</w:t>
            </w:r>
          </w:p>
        </w:tc>
        <w:tc>
          <w:tcPr>
            <w:tcW w:w="2131" w:type="dxa"/>
          </w:tcPr>
          <w:p w14:paraId="419152A5">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4</w:t>
            </w:r>
          </w:p>
        </w:tc>
      </w:tr>
      <w:tr w14:paraId="0320D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2AAC5DB5">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KIT/PDGFRA</w:t>
            </w:r>
          </w:p>
        </w:tc>
        <w:tc>
          <w:tcPr>
            <w:tcW w:w="2130" w:type="dxa"/>
          </w:tcPr>
          <w:p w14:paraId="2D39C12D">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2</w:t>
            </w:r>
          </w:p>
        </w:tc>
        <w:tc>
          <w:tcPr>
            <w:tcW w:w="2131" w:type="dxa"/>
          </w:tcPr>
          <w:p w14:paraId="5E8A3448">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mTOR</w:t>
            </w:r>
          </w:p>
        </w:tc>
        <w:tc>
          <w:tcPr>
            <w:tcW w:w="2131" w:type="dxa"/>
          </w:tcPr>
          <w:p w14:paraId="4BCAB540">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3</w:t>
            </w:r>
          </w:p>
        </w:tc>
      </w:tr>
      <w:tr w14:paraId="756AE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39C1D481">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MET</w:t>
            </w:r>
          </w:p>
        </w:tc>
        <w:tc>
          <w:tcPr>
            <w:tcW w:w="2130" w:type="dxa"/>
          </w:tcPr>
          <w:p w14:paraId="59710725">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2</w:t>
            </w:r>
          </w:p>
        </w:tc>
        <w:tc>
          <w:tcPr>
            <w:tcW w:w="2131" w:type="dxa"/>
          </w:tcPr>
          <w:p w14:paraId="24C248E3">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ROCK1/2</w:t>
            </w:r>
          </w:p>
        </w:tc>
        <w:tc>
          <w:tcPr>
            <w:tcW w:w="2131" w:type="dxa"/>
          </w:tcPr>
          <w:p w14:paraId="3D4049E0">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2</w:t>
            </w:r>
          </w:p>
        </w:tc>
      </w:tr>
      <w:tr w14:paraId="19A07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15632214">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TRK</w:t>
            </w:r>
          </w:p>
        </w:tc>
        <w:tc>
          <w:tcPr>
            <w:tcW w:w="2130" w:type="dxa"/>
          </w:tcPr>
          <w:p w14:paraId="71CECEB9">
            <w:pP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w:t>
            </w:r>
          </w:p>
        </w:tc>
        <w:tc>
          <w:tcPr>
            <w:tcW w:w="2131" w:type="dxa"/>
          </w:tcPr>
          <w:p w14:paraId="0C622E16">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AKT</w:t>
            </w:r>
          </w:p>
        </w:tc>
        <w:tc>
          <w:tcPr>
            <w:tcW w:w="2131" w:type="dxa"/>
          </w:tcPr>
          <w:p w14:paraId="426B97B9">
            <w:pP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r>
      <w:tr w14:paraId="46C69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643742DE">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CSF1R</w:t>
            </w:r>
          </w:p>
        </w:tc>
        <w:tc>
          <w:tcPr>
            <w:tcW w:w="2130" w:type="dxa"/>
          </w:tcPr>
          <w:p w14:paraId="6BA3EDF1">
            <w:pP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c>
          <w:tcPr>
            <w:tcW w:w="2131" w:type="dxa"/>
          </w:tcPr>
          <w:p w14:paraId="53A2AB35">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MEK1/2</w:t>
            </w:r>
          </w:p>
        </w:tc>
        <w:tc>
          <w:tcPr>
            <w:tcW w:w="2131" w:type="dxa"/>
          </w:tcPr>
          <w:p w14:paraId="2280905A">
            <w:pP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w:t>
            </w:r>
          </w:p>
        </w:tc>
      </w:tr>
      <w:tr w14:paraId="7F969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tcPr>
          <w:p w14:paraId="482DA73E">
            <w:pPr>
              <w:rPr>
                <w:rFonts w:hint="eastAsia" w:ascii="楷体" w:hAnsi="楷体" w:eastAsia="楷体" w:cs="楷体"/>
                <w:sz w:val="24"/>
                <w:szCs w:val="24"/>
                <w:vertAlign w:val="baseline"/>
              </w:rPr>
            </w:pPr>
            <w:r>
              <w:rPr>
                <w:rFonts w:hint="eastAsia" w:ascii="楷体" w:hAnsi="楷体" w:eastAsia="楷体" w:cs="楷体"/>
                <w:sz w:val="24"/>
                <w:szCs w:val="24"/>
                <w:vertAlign w:val="baseline"/>
              </w:rPr>
              <w:t>ROS1</w:t>
            </w:r>
          </w:p>
        </w:tc>
        <w:tc>
          <w:tcPr>
            <w:tcW w:w="2130" w:type="dxa"/>
          </w:tcPr>
          <w:p w14:paraId="4CB1036C">
            <w:pP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c>
          <w:tcPr>
            <w:tcW w:w="2131" w:type="dxa"/>
          </w:tcPr>
          <w:p w14:paraId="72789300">
            <w:pPr>
              <w:rPr>
                <w:rFonts w:hint="eastAsia" w:ascii="楷体" w:hAnsi="楷体" w:eastAsia="楷体" w:cs="楷体"/>
                <w:sz w:val="24"/>
                <w:szCs w:val="24"/>
                <w:vertAlign w:val="baseline"/>
              </w:rPr>
            </w:pPr>
          </w:p>
        </w:tc>
        <w:tc>
          <w:tcPr>
            <w:tcW w:w="2131" w:type="dxa"/>
          </w:tcPr>
          <w:p w14:paraId="439A3E77">
            <w:pPr>
              <w:rPr>
                <w:rFonts w:hint="eastAsia" w:ascii="楷体" w:hAnsi="楷体" w:eastAsia="楷体" w:cs="楷体"/>
                <w:sz w:val="24"/>
                <w:szCs w:val="24"/>
                <w:vertAlign w:val="baseline"/>
              </w:rPr>
            </w:pPr>
          </w:p>
        </w:tc>
      </w:tr>
    </w:tbl>
    <w:p w14:paraId="75B36699">
      <w:pPr>
        <w:rPr>
          <w:rFonts w:hint="eastAsia" w:ascii="楷体" w:hAnsi="楷体" w:eastAsia="楷体" w:cs="楷体"/>
          <w:sz w:val="28"/>
          <w:szCs w:val="28"/>
        </w:rPr>
      </w:pPr>
    </w:p>
    <w:p w14:paraId="31D44364">
      <w:pPr>
        <w:rPr>
          <w:rFonts w:hint="eastAsia" w:ascii="楷体" w:hAnsi="楷体" w:eastAsia="楷体" w:cs="楷体"/>
          <w:sz w:val="28"/>
          <w:szCs w:val="28"/>
        </w:rPr>
      </w:pPr>
      <w:r>
        <w:rPr>
          <w:rFonts w:hint="eastAsia" w:ascii="楷体" w:hAnsi="楷体" w:eastAsia="楷体" w:cs="楷体"/>
          <w:sz w:val="28"/>
          <w:szCs w:val="28"/>
        </w:rPr>
        <w:t>小分子激酶抑制剂未来前景广阔。深入研究激酶结构和功能、在不同疾病中的突变情况、不同疾病中的分子机制，为疾病诊断和治疗提供坚实理论基础。随着新药的不断开发，大约有110种新型激酶处于临床试验阶段。未来的研究将集中在克服药物抗性、优化药代动力学和药效学特性以及个性化治疗上。</w:t>
      </w:r>
    </w:p>
    <w:p w14:paraId="4E601FAE">
      <w:pPr>
        <w:rPr>
          <w:rFonts w:hint="eastAsia" w:ascii="楷体" w:hAnsi="楷体" w:eastAsia="楷体" w:cs="楷体"/>
          <w:sz w:val="28"/>
          <w:szCs w:val="28"/>
        </w:rPr>
      </w:pPr>
      <w:r>
        <w:rPr>
          <w:rFonts w:hint="eastAsia" w:ascii="楷体" w:hAnsi="楷体" w:eastAsia="楷体" w:cs="楷体"/>
          <w:sz w:val="28"/>
          <w:szCs w:val="28"/>
        </w:rPr>
        <w:t>SignalChem Biotech（义翘神州全资子公司）生产的高活性激酶，涵盖了FDA批准的激酶药物主要靶点，并且包括野生型激酶以及激酶突变体，支持高选择性、对抗耐药性的下一代激酶抑制剂开发等方面的前沿研究。</w:t>
      </w:r>
    </w:p>
    <w:p w14:paraId="0ACF2C8A">
      <w:pPr>
        <w:rPr>
          <w:rFonts w:hint="eastAsia" w:ascii="楷体" w:hAnsi="楷体" w:eastAsia="楷体" w:cs="楷体"/>
          <w:sz w:val="28"/>
          <w:szCs w:val="28"/>
        </w:rPr>
      </w:pPr>
    </w:p>
    <w:p w14:paraId="54312571">
      <w:pPr>
        <w:rPr>
          <w:rFonts w:hint="eastAsia" w:ascii="楷体" w:hAnsi="楷体" w:eastAsia="楷体" w:cs="楷体"/>
          <w:sz w:val="24"/>
          <w:szCs w:val="24"/>
        </w:rPr>
      </w:pPr>
      <w:r>
        <w:rPr>
          <w:rFonts w:hint="eastAsia" w:ascii="楷体" w:hAnsi="楷体" w:eastAsia="楷体" w:cs="楷体"/>
          <w:sz w:val="24"/>
          <w:szCs w:val="24"/>
        </w:rPr>
        <w:t>免责声明：义翘神州内容团队仅是分享和解读公开的研究论文及其发现，专注于介绍全球生物医药研究新进展。本文仅作信息交流用，文中观点不代表义翘神州立场。随着对疾病机制研究的深入，新的实验结果或结论可能会修改或推翻文中的描述，还请大家理解。</w:t>
      </w:r>
    </w:p>
    <w:p w14:paraId="48D8962D">
      <w:pPr>
        <w:rPr>
          <w:rFonts w:hint="eastAsia" w:ascii="楷体" w:hAnsi="楷体" w:eastAsia="楷体" w:cs="楷体"/>
          <w:sz w:val="24"/>
          <w:szCs w:val="24"/>
        </w:rPr>
      </w:pPr>
      <w:r>
        <w:rPr>
          <w:rFonts w:hint="eastAsia" w:ascii="楷体" w:hAnsi="楷体" w:eastAsia="楷体" w:cs="楷体"/>
          <w:sz w:val="24"/>
          <w:szCs w:val="24"/>
        </w:rPr>
        <w:t>本文不属于治疗方案推荐，如需获得治疗方案指导，请前往正规医院就诊。</w:t>
      </w:r>
    </w:p>
    <w:p w14:paraId="6E26A221">
      <w:pPr>
        <w:rPr>
          <w:rFonts w:hint="eastAsia" w:ascii="楷体" w:hAnsi="楷体" w:eastAsia="楷体" w:cs="楷体"/>
          <w:sz w:val="24"/>
          <w:szCs w:val="24"/>
        </w:rPr>
      </w:pPr>
    </w:p>
    <w:p w14:paraId="1E69B102">
      <w:pPr>
        <w:rPr>
          <w:rFonts w:hint="eastAsia" w:ascii="楷体" w:hAnsi="楷体" w:eastAsia="楷体" w:cs="楷体"/>
          <w:b/>
          <w:bCs/>
          <w:sz w:val="24"/>
          <w:szCs w:val="24"/>
        </w:rPr>
      </w:pPr>
      <w:r>
        <w:rPr>
          <w:rFonts w:hint="eastAsia" w:ascii="楷体" w:hAnsi="楷体" w:eastAsia="楷体" w:cs="楷体"/>
          <w:b/>
          <w:bCs/>
          <w:sz w:val="24"/>
          <w:szCs w:val="24"/>
        </w:rPr>
        <w:t>【参考文献】</w:t>
      </w:r>
    </w:p>
    <w:p w14:paraId="3EA86103">
      <w:pPr>
        <w:rPr>
          <w:rFonts w:hint="eastAsia" w:ascii="楷体" w:hAnsi="楷体" w:eastAsia="楷体" w:cs="楷体"/>
          <w:sz w:val="24"/>
          <w:szCs w:val="24"/>
        </w:rPr>
      </w:pPr>
      <w:r>
        <w:rPr>
          <w:rFonts w:hint="eastAsia" w:ascii="楷体" w:hAnsi="楷体" w:eastAsia="楷体" w:cs="楷体"/>
          <w:sz w:val="24"/>
          <w:szCs w:val="24"/>
        </w:rPr>
        <w:t>https://brimr.org/protein-kinase-inhibitors</w:t>
      </w:r>
    </w:p>
    <w:p w14:paraId="1EE52CA4">
      <w:pPr>
        <w:rPr>
          <w:rFonts w:hint="eastAsia" w:ascii="楷体" w:hAnsi="楷体" w:eastAsia="楷体" w:cs="楷体"/>
          <w:sz w:val="24"/>
          <w:szCs w:val="24"/>
        </w:rPr>
      </w:pPr>
      <w:r>
        <w:rPr>
          <w:rFonts w:hint="eastAsia" w:ascii="楷体" w:hAnsi="楷体" w:eastAsia="楷体" w:cs="楷体"/>
          <w:sz w:val="24"/>
          <w:szCs w:val="24"/>
        </w:rPr>
        <w:t>https://account.zhihuiya.com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方正舒体">
    <w:panose1 w:val="02010601030101010101"/>
    <w:charset w:val="86"/>
    <w:family w:val="auto"/>
    <w:pitch w:val="default"/>
    <w:sig w:usb0="00000003"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汉仪中黑 197">
    <w:panose1 w:val="00020600040101010101"/>
    <w:charset w:val="86"/>
    <w:family w:val="auto"/>
    <w:pitch w:val="default"/>
    <w:sig w:usb0="A00002BF" w:usb1="18EF7CFA" w:usb2="00000016"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453ACE"/>
    <w:rsid w:val="36453A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17</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2024-12-24T01:36:00Z</dcterms:created>
  <dc:creator>忘了天空的颜色</dc:creator>
  <cp:lastModifiedBy>忘了天空的颜色</cp:lastModifiedBy>
  <dcterms:modified xsi:type="dcterms:W3CDTF">2024-12-24T01:54:31Z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C8F2DFE2184546428FCEB5F7E052B58B_11</vt:lpwstr>
  </property>
  <property fmtid="{D5CDD505-2E9C-101B-9397-08002B2CF9AE}" pid="4" name="KSOTemplateDocerSaveRecord">
    <vt:lpwstr>eyJoZGlkIjoiZTE1YTA5Y2Y5Y2I0NzU2ZDExMmM5ZWY5YTU1YWU0MjAiLCJ1c2VySWQiOiIzMDIxNDQ2NTUifQ==</vt:lpwstr>
  </property>
</Properties>
</file>