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ajorEastAsia" w:hAnsiTheme="majorEastAsia" w:eastAsiaTheme="majorEastAsia" w:cstheme="majorEastAsia"/>
          <w:b/>
          <w:bCs/>
          <w:sz w:val="72"/>
          <w:szCs w:val="72"/>
        </w:rPr>
      </w:pPr>
      <w:r>
        <w:rPr>
          <w:rFonts w:hint="eastAsia" w:asciiTheme="majorEastAsia" w:hAnsiTheme="majorEastAsia" w:eastAsiaTheme="majorEastAsia" w:cstheme="majorEastAsia"/>
          <w:b/>
          <w:color w:val="0070C0"/>
          <w:sz w:val="72"/>
          <w:szCs w:val="72"/>
        </w:rPr>
        <w:drawing>
          <wp:anchor distT="0" distB="0" distL="0" distR="0" simplePos="0" relativeHeight="251659264" behindDoc="0" locked="0" layoutInCell="1" allowOverlap="1">
            <wp:simplePos x="0" y="0"/>
            <wp:positionH relativeFrom="column">
              <wp:posOffset>276225</wp:posOffset>
            </wp:positionH>
            <wp:positionV relativeFrom="paragraph">
              <wp:posOffset>103505</wp:posOffset>
            </wp:positionV>
            <wp:extent cx="4695190" cy="1292225"/>
            <wp:effectExtent l="0" t="0" r="3810" b="3175"/>
            <wp:wrapSquare wrapText="bothSides"/>
            <wp:docPr id="42" name="图片 1" descr="QQ截图20161031124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 descr="QQ截图20161031124427"/>
                    <pic:cNvPicPr>
                      <a:picLocks noChangeAspect="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4695190" cy="1292225"/>
                    </a:xfrm>
                    <a:prstGeom prst="rect">
                      <a:avLst/>
                    </a:prstGeom>
                  </pic:spPr>
                </pic:pic>
              </a:graphicData>
            </a:graphic>
          </wp:anchor>
        </w:drawing>
      </w:r>
    </w:p>
    <w:p>
      <w:pPr>
        <w:jc w:val="center"/>
        <w:rPr>
          <w:rFonts w:asciiTheme="majorEastAsia" w:hAnsiTheme="majorEastAsia" w:eastAsiaTheme="majorEastAsia" w:cstheme="majorEastAsia"/>
          <w:b/>
          <w:bCs/>
          <w:sz w:val="72"/>
          <w:szCs w:val="72"/>
        </w:rPr>
      </w:pPr>
    </w:p>
    <w:p>
      <w:pPr>
        <w:jc w:val="center"/>
        <w:rPr>
          <w:rFonts w:asciiTheme="majorEastAsia" w:hAnsiTheme="majorEastAsia" w:eastAsiaTheme="majorEastAsia" w:cstheme="majorEastAsia"/>
          <w:b/>
          <w:bCs/>
          <w:sz w:val="72"/>
          <w:szCs w:val="72"/>
        </w:rPr>
      </w:pPr>
    </w:p>
    <w:p>
      <w:pPr>
        <w:jc w:val="center"/>
        <w:rPr>
          <w:rFonts w:asciiTheme="majorEastAsia" w:hAnsiTheme="majorEastAsia" w:eastAsiaTheme="majorEastAsia" w:cstheme="majorEastAsia"/>
          <w:b/>
          <w:bCs/>
          <w:sz w:val="72"/>
          <w:szCs w:val="72"/>
        </w:rPr>
      </w:pPr>
    </w:p>
    <w:p>
      <w:pPr>
        <w:jc w:val="center"/>
        <w:rPr>
          <w:rFonts w:asciiTheme="majorEastAsia" w:hAnsiTheme="majorEastAsia" w:eastAsiaTheme="majorEastAsia" w:cstheme="majorEastAsia"/>
          <w:b/>
          <w:bCs/>
          <w:sz w:val="72"/>
          <w:szCs w:val="72"/>
        </w:rPr>
      </w:pPr>
    </w:p>
    <w:p>
      <w:pPr>
        <w:jc w:val="center"/>
        <w:rPr>
          <w:rFonts w:asciiTheme="majorEastAsia" w:hAnsiTheme="majorEastAsia" w:eastAsiaTheme="majorEastAsia" w:cstheme="majorEastAsia"/>
          <w:b/>
          <w:bCs/>
          <w:sz w:val="72"/>
          <w:szCs w:val="72"/>
        </w:rPr>
      </w:pPr>
      <w:r>
        <w:rPr>
          <w:rFonts w:hint="eastAsia" w:asciiTheme="majorEastAsia" w:hAnsiTheme="majorEastAsia" w:eastAsiaTheme="majorEastAsia" w:cstheme="majorEastAsia"/>
          <w:b/>
          <w:bCs/>
          <w:sz w:val="72"/>
          <w:szCs w:val="72"/>
        </w:rPr>
        <w:t>调    研    报    告</w:t>
      </w:r>
    </w:p>
    <w:p>
      <w:pPr>
        <w:jc w:val="center"/>
        <w:rPr>
          <w:rFonts w:asciiTheme="majorEastAsia" w:hAnsiTheme="majorEastAsia" w:eastAsiaTheme="majorEastAsia" w:cstheme="majorEastAsia"/>
          <w:b/>
          <w:bCs/>
          <w:sz w:val="72"/>
          <w:szCs w:val="72"/>
        </w:rPr>
      </w:pPr>
    </w:p>
    <w:p>
      <w:pPr>
        <w:jc w:val="center"/>
        <w:rPr>
          <w:rFonts w:asciiTheme="majorEastAsia" w:hAnsiTheme="majorEastAsia" w:eastAsiaTheme="majorEastAsia" w:cstheme="majorEastAsia"/>
          <w:b/>
          <w:bCs/>
          <w:sz w:val="72"/>
          <w:szCs w:val="72"/>
        </w:rPr>
      </w:pPr>
    </w:p>
    <w:p>
      <w:pPr>
        <w:jc w:val="center"/>
        <w:rPr>
          <w:rFonts w:asciiTheme="majorEastAsia" w:hAnsiTheme="majorEastAsia" w:eastAsiaTheme="majorEastAsia" w:cstheme="majorEastAsia"/>
          <w:b/>
          <w:bCs/>
          <w:sz w:val="72"/>
          <w:szCs w:val="72"/>
        </w:rPr>
      </w:pPr>
    </w:p>
    <w:p>
      <w:pPr>
        <w:jc w:val="center"/>
        <w:rPr>
          <w:rFonts w:asciiTheme="majorEastAsia" w:hAnsiTheme="majorEastAsia" w:eastAsiaTheme="majorEastAsia" w:cstheme="majorEastAsia"/>
          <w:b/>
          <w:bCs/>
          <w:sz w:val="72"/>
          <w:szCs w:val="72"/>
        </w:rPr>
      </w:pPr>
    </w:p>
    <w:p>
      <w:pPr>
        <w:ind w:firstLine="1120" w:firstLineChars="400"/>
        <w:jc w:val="left"/>
        <w:rPr>
          <w:rFonts w:asciiTheme="majorEastAsia" w:hAnsiTheme="majorEastAsia" w:eastAsiaTheme="majorEastAsia" w:cstheme="majorEastAsia"/>
          <w:sz w:val="28"/>
          <w:szCs w:val="28"/>
        </w:rPr>
      </w:pPr>
    </w:p>
    <w:p>
      <w:pPr>
        <w:ind w:firstLine="1120" w:firstLineChars="400"/>
        <w:jc w:val="left"/>
        <w:rPr>
          <w:rFonts w:asciiTheme="majorEastAsia" w:hAnsiTheme="majorEastAsia" w:eastAsiaTheme="majorEastAsia" w:cstheme="majorEastAsia"/>
          <w:sz w:val="28"/>
          <w:szCs w:val="28"/>
        </w:rPr>
      </w:pPr>
    </w:p>
    <w:p>
      <w:pPr>
        <w:ind w:firstLine="1120" w:firstLineChars="400"/>
        <w:jc w:val="left"/>
        <w:rPr>
          <w:rFonts w:asciiTheme="majorEastAsia" w:hAnsiTheme="majorEastAsia" w:eastAsiaTheme="majorEastAsia" w:cstheme="majorEastAsia"/>
          <w:sz w:val="28"/>
          <w:szCs w:val="28"/>
        </w:rPr>
      </w:pPr>
    </w:p>
    <w:p>
      <w:pPr>
        <w:ind w:firstLine="1120" w:firstLineChars="400"/>
        <w:jc w:val="left"/>
        <w:rPr>
          <w:rFonts w:asciiTheme="majorEastAsia" w:hAnsiTheme="majorEastAsia" w:eastAsiaTheme="majorEastAsia" w:cstheme="majorEastAsia"/>
          <w:sz w:val="28"/>
          <w:szCs w:val="28"/>
        </w:rPr>
      </w:pPr>
    </w:p>
    <w:p>
      <w:pPr>
        <w:tabs>
          <w:tab w:val="left" w:pos="7560"/>
        </w:tabs>
        <w:spacing w:line="360" w:lineRule="auto"/>
        <w:ind w:firstLine="1400" w:firstLineChars="500"/>
        <w:jc w:val="left"/>
        <w:rPr>
          <w:rFonts w:ascii="宋体" w:hAnsi="宋体" w:eastAsia="宋体" w:cs="宋体"/>
          <w:sz w:val="24"/>
          <w:u w:val="single"/>
        </w:rPr>
      </w:pPr>
      <w:r>
        <w:rPr>
          <w:rFonts w:hint="eastAsia" w:asciiTheme="majorEastAsia" w:hAnsiTheme="majorEastAsia" w:eastAsiaTheme="majorEastAsia" w:cstheme="majorEastAsia"/>
          <w:sz w:val="28"/>
          <w:szCs w:val="28"/>
        </w:rPr>
        <w:t>报告题目：</w:t>
      </w:r>
      <w:r>
        <w:rPr>
          <w:rFonts w:hint="eastAsia" w:ascii="宋体" w:hAnsi="宋体" w:eastAsia="宋体" w:cs="宋体"/>
          <w:sz w:val="24"/>
          <w:u w:val="single"/>
        </w:rPr>
        <w:t xml:space="preserve">  关于党的二十大对中国梦实现的研究                                 </w:t>
      </w:r>
    </w:p>
    <w:p>
      <w:pPr>
        <w:tabs>
          <w:tab w:val="left" w:pos="7560"/>
        </w:tabs>
        <w:spacing w:line="360" w:lineRule="auto"/>
        <w:ind w:firstLine="1400" w:firstLineChars="500"/>
        <w:jc w:val="left"/>
        <w:rPr>
          <w:rFonts w:ascii="宋体" w:hAnsi="宋体" w:eastAsia="宋体" w:cs="宋体"/>
          <w:sz w:val="24"/>
          <w:u w:val="single"/>
        </w:rPr>
      </w:pPr>
      <w:r>
        <w:rPr>
          <w:rFonts w:hint="eastAsia" w:ascii="宋体" w:hAnsi="宋体" w:eastAsia="宋体" w:cs="宋体"/>
          <w:sz w:val="28"/>
          <w:szCs w:val="28"/>
        </w:rPr>
        <w:t>姓</w:t>
      </w:r>
      <w:r>
        <w:rPr>
          <w:rFonts w:ascii="宋体" w:hAnsi="宋体" w:eastAsia="宋体" w:cs="宋体"/>
          <w:sz w:val="28"/>
          <w:szCs w:val="28"/>
        </w:rPr>
        <w:t xml:space="preserve">    </w:t>
      </w:r>
      <w:r>
        <w:rPr>
          <w:rFonts w:hint="eastAsia" w:ascii="宋体" w:hAnsi="宋体" w:eastAsia="宋体" w:cs="宋体"/>
          <w:sz w:val="28"/>
          <w:szCs w:val="28"/>
        </w:rPr>
        <w:t>名：</w:t>
      </w:r>
      <w:r>
        <w:rPr>
          <w:rFonts w:hint="eastAsia" w:ascii="宋体" w:hAnsi="宋体" w:eastAsia="宋体" w:cs="宋体"/>
          <w:sz w:val="24"/>
          <w:u w:val="single"/>
        </w:rPr>
        <w:t xml:space="preserve">   刘书雅                                </w:t>
      </w:r>
    </w:p>
    <w:p>
      <w:pPr>
        <w:tabs>
          <w:tab w:val="left" w:pos="7560"/>
        </w:tabs>
        <w:spacing w:line="360" w:lineRule="auto"/>
        <w:ind w:firstLine="1400" w:firstLineChars="500"/>
        <w:jc w:val="left"/>
        <w:rPr>
          <w:rFonts w:ascii="宋体" w:hAnsi="宋体" w:eastAsia="宋体" w:cs="宋体"/>
          <w:sz w:val="24"/>
          <w:u w:val="single"/>
        </w:rPr>
      </w:pPr>
      <w:r>
        <w:rPr>
          <w:rFonts w:hint="eastAsia" w:ascii="宋体" w:hAnsi="宋体" w:eastAsia="宋体" w:cs="宋体"/>
          <w:sz w:val="28"/>
          <w:szCs w:val="28"/>
        </w:rPr>
        <w:t>学    号</w:t>
      </w:r>
      <w:r>
        <w:rPr>
          <w:rFonts w:hint="eastAsia" w:ascii="宋体" w:hAnsi="宋体" w:eastAsia="宋体" w:cs="宋体"/>
          <w:sz w:val="24"/>
        </w:rPr>
        <w:t>：</w:t>
      </w:r>
      <w:r>
        <w:rPr>
          <w:rFonts w:hint="eastAsia" w:ascii="宋体" w:hAnsi="宋体" w:eastAsia="宋体" w:cs="宋体"/>
          <w:sz w:val="24"/>
          <w:u w:val="single"/>
        </w:rPr>
        <w:t xml:space="preserve">  222211222210                                 </w:t>
      </w:r>
    </w:p>
    <w:p>
      <w:pPr>
        <w:jc w:val="center"/>
        <w:rPr>
          <w:b/>
          <w:bCs/>
          <w:sz w:val="32"/>
          <w:szCs w:val="32"/>
        </w:rPr>
      </w:pPr>
      <w:r>
        <w:rPr>
          <w:rFonts w:ascii="宋体" w:hAnsi="宋体" w:eastAsia="宋体"/>
          <w:b/>
          <w:bCs/>
          <w:sz w:val="32"/>
          <w:szCs w:val="32"/>
        </w:rPr>
        <w:t>目录</w:t>
      </w:r>
    </w:p>
    <w:p>
      <w:pPr>
        <w:pStyle w:val="4"/>
        <w:tabs>
          <w:tab w:val="right" w:leader="dot" w:pos="8306"/>
        </w:tabs>
      </w:pPr>
      <w:sdt>
        <w:sdtPr>
          <w:rPr>
            <w:rFonts w:asciiTheme="majorEastAsia" w:hAnsiTheme="majorEastAsia" w:eastAsiaTheme="majorEastAsia" w:cstheme="majorEastAsia"/>
            <w:b/>
            <w:bCs/>
            <w:kern w:val="2"/>
            <w:sz w:val="28"/>
            <w:szCs w:val="28"/>
          </w:rPr>
          <w:id w:val="147464858"/>
          <w:placeholder>
            <w:docPart w:val="{7c96659a-66f4-4f53-9f7f-90b1998f1c27}"/>
          </w:placeholder>
          <w15:color w:val="509DF3"/>
        </w:sdtPr>
        <w:sdtEndPr>
          <w:rPr>
            <w:rFonts w:asciiTheme="majorEastAsia" w:hAnsiTheme="majorEastAsia" w:eastAsiaTheme="majorEastAsia" w:cstheme="majorEastAsia"/>
            <w:b/>
            <w:bCs/>
            <w:kern w:val="2"/>
            <w:sz w:val="28"/>
            <w:szCs w:val="28"/>
          </w:rPr>
        </w:sdtEndPr>
        <w:sdtContent>
          <w:r>
            <w:rPr>
              <w:rFonts w:hint="eastAsia" w:asciiTheme="majorEastAsia" w:hAnsiTheme="majorEastAsia" w:eastAsiaTheme="majorEastAsia" w:cstheme="majorEastAsia"/>
              <w:b/>
              <w:bCs/>
              <w:kern w:val="2"/>
              <w:sz w:val="28"/>
              <w:szCs w:val="28"/>
            </w:rPr>
            <w:t>一、</w:t>
          </w:r>
          <w:r>
            <w:rPr>
              <w:rFonts w:hint="eastAsia" w:asciiTheme="majorEastAsia" w:hAnsiTheme="majorEastAsia" w:eastAsiaTheme="majorEastAsia" w:cstheme="majorEastAsia"/>
              <w:b/>
              <w:bCs/>
              <w:kern w:val="2"/>
              <w:sz w:val="28"/>
              <w:szCs w:val="28"/>
              <w:lang w:eastAsia="zh-Hans"/>
            </w:rPr>
            <w:t>个人</w:t>
          </w:r>
          <w:r>
            <w:rPr>
              <w:rFonts w:hint="eastAsia" w:asciiTheme="majorEastAsia" w:hAnsiTheme="majorEastAsia" w:eastAsiaTheme="majorEastAsia" w:cstheme="majorEastAsia"/>
              <w:b/>
              <w:bCs/>
              <w:kern w:val="2"/>
              <w:sz w:val="28"/>
              <w:szCs w:val="28"/>
            </w:rPr>
            <w:t>完成的实践成果</w:t>
          </w:r>
        </w:sdtContent>
      </w:sdt>
      <w:r>
        <w:tab/>
      </w:r>
      <w:r>
        <w:t>1</w:t>
      </w:r>
    </w:p>
    <w:p>
      <w:pPr>
        <w:pStyle w:val="4"/>
        <w:tabs>
          <w:tab w:val="right" w:leader="dot" w:pos="8306"/>
        </w:tabs>
      </w:pPr>
      <w:sdt>
        <w:sdtPr>
          <w:rPr>
            <w:rFonts w:asciiTheme="majorEastAsia" w:hAnsiTheme="majorEastAsia" w:eastAsiaTheme="majorEastAsia" w:cstheme="majorEastAsia"/>
            <w:b/>
            <w:bCs/>
            <w:kern w:val="2"/>
            <w:sz w:val="28"/>
            <w:szCs w:val="28"/>
          </w:rPr>
          <w:id w:val="1193577960"/>
          <w:placeholder>
            <w:docPart w:val="{fa37e3a9-6b42-4d2f-9ce8-46c9c9d73beb}"/>
          </w:placeholder>
          <w15:color w:val="509DF3"/>
        </w:sdtPr>
        <w:sdtEndPr>
          <w:rPr>
            <w:rFonts w:asciiTheme="majorEastAsia" w:hAnsiTheme="majorEastAsia" w:eastAsiaTheme="majorEastAsia" w:cstheme="majorEastAsia"/>
            <w:b/>
            <w:bCs/>
            <w:kern w:val="2"/>
            <w:sz w:val="28"/>
            <w:szCs w:val="28"/>
          </w:rPr>
        </w:sdtEndPr>
        <w:sdtContent>
          <w:r>
            <w:rPr>
              <w:rFonts w:hint="eastAsia" w:asciiTheme="majorEastAsia" w:hAnsiTheme="majorEastAsia" w:eastAsiaTheme="majorEastAsia" w:cstheme="majorEastAsia"/>
              <w:b/>
              <w:bCs/>
              <w:kern w:val="2"/>
              <w:sz w:val="28"/>
              <w:szCs w:val="28"/>
            </w:rPr>
            <w:t>二、</w:t>
          </w:r>
          <w:r>
            <w:rPr>
              <w:rFonts w:hint="eastAsia" w:asciiTheme="majorEastAsia" w:hAnsiTheme="majorEastAsia" w:eastAsiaTheme="majorEastAsia" w:cstheme="majorEastAsia"/>
              <w:b/>
              <w:bCs/>
              <w:kern w:val="2"/>
              <w:sz w:val="28"/>
              <w:szCs w:val="28"/>
              <w:lang w:eastAsia="zh-Hans"/>
            </w:rPr>
            <w:t>个人</w:t>
          </w:r>
          <w:r>
            <w:rPr>
              <w:rFonts w:hint="eastAsia" w:asciiTheme="majorEastAsia" w:hAnsiTheme="majorEastAsia" w:eastAsiaTheme="majorEastAsia" w:cstheme="majorEastAsia"/>
              <w:b/>
              <w:bCs/>
              <w:kern w:val="2"/>
              <w:sz w:val="28"/>
              <w:szCs w:val="28"/>
            </w:rPr>
            <w:t>新闻报告</w:t>
          </w:r>
        </w:sdtContent>
      </w:sdt>
      <w:r>
        <w:tab/>
      </w:r>
      <w:r>
        <w:t>2</w:t>
      </w:r>
    </w:p>
    <w:p>
      <w:pPr>
        <w:pStyle w:val="4"/>
        <w:tabs>
          <w:tab w:val="right" w:leader="dot" w:pos="8306"/>
        </w:tabs>
      </w:pPr>
      <w:sdt>
        <w:sdtPr>
          <w:rPr>
            <w:rFonts w:asciiTheme="majorEastAsia" w:hAnsiTheme="majorEastAsia" w:eastAsiaTheme="majorEastAsia" w:cstheme="majorEastAsia"/>
            <w:b/>
            <w:bCs/>
            <w:kern w:val="2"/>
            <w:sz w:val="28"/>
            <w:szCs w:val="28"/>
          </w:rPr>
          <w:id w:val="1701816854"/>
          <w:placeholder>
            <w:docPart w:val="{573595e1-6e8d-4ea1-9bc8-a1488463a79f}"/>
          </w:placeholder>
          <w15:color w:val="509DF3"/>
        </w:sdtPr>
        <w:sdtEndPr>
          <w:rPr>
            <w:rFonts w:asciiTheme="majorEastAsia" w:hAnsiTheme="majorEastAsia" w:eastAsiaTheme="majorEastAsia" w:cstheme="majorEastAsia"/>
            <w:b/>
            <w:bCs/>
            <w:kern w:val="2"/>
            <w:sz w:val="28"/>
            <w:szCs w:val="28"/>
          </w:rPr>
        </w:sdtEndPr>
        <w:sdtContent>
          <w:r>
            <w:rPr>
              <w:rFonts w:hint="eastAsia" w:asciiTheme="majorEastAsia" w:hAnsiTheme="majorEastAsia" w:eastAsiaTheme="majorEastAsia" w:cstheme="majorEastAsia"/>
              <w:b/>
              <w:bCs/>
              <w:kern w:val="2"/>
              <w:sz w:val="28"/>
              <w:szCs w:val="28"/>
            </w:rPr>
            <w:t>三、个人小结</w:t>
          </w:r>
        </w:sdtContent>
      </w:sdt>
      <w:r>
        <w:tab/>
      </w:r>
      <w:r>
        <w:t>3</w:t>
      </w: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p>
    <w:p>
      <w:pPr>
        <w:jc w:val="center"/>
        <w:rPr>
          <w:rFonts w:ascii="黑体" w:hAnsi="黑体" w:eastAsia="黑体" w:cs="黑体"/>
          <w:szCs w:val="21"/>
        </w:rPr>
      </w:pPr>
      <w:r>
        <w:rPr>
          <w:rFonts w:hint="eastAsia" w:ascii="黑体" w:hAnsi="黑体" w:eastAsia="黑体" w:cs="黑体"/>
          <w:b/>
          <w:bCs/>
          <w:sz w:val="32"/>
          <w:szCs w:val="40"/>
        </w:rPr>
        <w:t>调研报告</w:t>
      </w:r>
    </w:p>
    <w:p>
      <w:pPr>
        <w:rPr>
          <w:b/>
          <w:bCs/>
          <w:sz w:val="28"/>
          <w:szCs w:val="28"/>
        </w:rPr>
      </w:pPr>
      <w:r>
        <w:rPr>
          <w:rFonts w:hint="eastAsia"/>
          <w:b/>
          <w:bCs/>
          <w:sz w:val="28"/>
          <w:szCs w:val="28"/>
        </w:rPr>
        <w:t>一、关于党的二十大对中国梦实现的研究</w:t>
      </w:r>
    </w:p>
    <w:p>
      <w:pPr>
        <w:spacing w:line="300" w:lineRule="auto"/>
        <w:ind w:firstLine="480" w:firstLineChars="200"/>
        <w:rPr>
          <w:rFonts w:ascii="宋体" w:hAnsi="宋体" w:eastAsia="宋体" w:cs="宋体"/>
          <w:sz w:val="24"/>
        </w:rPr>
      </w:pPr>
      <w:r>
        <w:rPr>
          <w:rFonts w:ascii="宋体" w:hAnsi="宋体" w:eastAsia="宋体" w:cs="宋体"/>
          <w:sz w:val="24"/>
        </w:rPr>
        <w:t>党的二十大担负起全党的重托和人民的期待，从战略全局深刻阐述了新时代坚持和发展中国特色社会主义的一系列重大理论和实践问题，就新时代新征程党和国家事业发展制定了大政方针和战略部署，是我们党全面推进中华民族伟大复兴的政治宣言和行动纲领，具有重大的现实意义。</w:t>
      </w:r>
      <w:r>
        <w:rPr>
          <w:rFonts w:ascii="宋体" w:hAnsi="宋体" w:eastAsia="宋体" w:cs="宋体"/>
          <w:sz w:val="24"/>
        </w:rPr>
        <w:br w:type="textWrapping"/>
      </w:r>
      <w:r>
        <w:rPr>
          <w:rFonts w:ascii="宋体" w:hAnsi="宋体" w:eastAsia="宋体" w:cs="宋体"/>
          <w:sz w:val="24"/>
        </w:rPr>
        <w:t>实现中华民族伟大复兴，是近代以来中国人民最伟大的梦想。中国共产党成立一百多年来，团结带领中国人民所进行的一切奋斗，就是为了把我国建设成为社会主义现代化强国，实现中华民族伟大复兴。在新中国成立特别是改革开放以来的长期探索和实践基础上，经过党的十八大以来在理论和实践上的创新突破，我们党成功推进和拓展了中国式现代化，创造了人类文明新形态。</w:t>
      </w:r>
      <w:r>
        <w:rPr>
          <w:rFonts w:ascii="宋体" w:hAnsi="宋体" w:eastAsia="宋体" w:cs="宋体"/>
          <w:sz w:val="24"/>
        </w:rPr>
        <w:br w:type="textWrapping"/>
      </w:r>
      <w:r>
        <w:rPr>
          <w:rFonts w:hint="eastAsia" w:ascii="宋体" w:hAnsi="宋体" w:eastAsia="宋体" w:cs="宋体"/>
          <w:sz w:val="24"/>
        </w:rPr>
        <w:t xml:space="preserve"> </w:t>
      </w:r>
      <w:r>
        <w:rPr>
          <w:rFonts w:ascii="宋体" w:hAnsi="宋体" w:eastAsia="宋体" w:cs="宋体"/>
          <w:sz w:val="24"/>
        </w:rPr>
        <w:t xml:space="preserve">   党的二十大报告以宽广的视野、更长远的眼光深入思考了新时代新征程全面建设社会主义现代化国家的若干重大问题，标志着我们党以中国式现代化全面推进中华民族伟大复兴在战略上更加成熟。党的二十大明确提出以中国式现代化全面推进中华民族伟大复兴的使命任务，精辟论述了中国式现代化的中国特色、本质要求和重大原则，深刻阐释了中国式现代化的历史渊源、理论逻辑、实践特征和战略部署，大大深化了我们党关于中国式现代化的理论和实践。中国式现代化，是中国共产党领导的社会主义现代化，既有各国现代化的共同特征，更有基于自己国情的中国特色，这是由中国独特的客观条件决定的，是由中国社会制度和治国理政的理念决定的，也是由中国在实现现代化长期实践中得到的规律性认识决定的。我们党带领人民通过走中国式现代化道路，仅用几十年时间就走完了西方发达国家几百年走过的工业化历程，创造了世所罕见的经济快速发展和社会长期稳定两大奇迹。实践证明，中国式现代化道路不仅走得对、走得通，而且越走越宽广。</w:t>
      </w:r>
      <w:r>
        <w:rPr>
          <w:rFonts w:ascii="宋体" w:hAnsi="宋体" w:eastAsia="宋体" w:cs="宋体"/>
          <w:sz w:val="24"/>
        </w:rPr>
        <w:br w:type="textWrapping"/>
      </w:r>
      <w:r>
        <w:rPr>
          <w:rFonts w:hint="eastAsia" w:ascii="宋体" w:hAnsi="宋体" w:eastAsia="宋体" w:cs="宋体"/>
          <w:sz w:val="24"/>
        </w:rPr>
        <w:t xml:space="preserve"> </w:t>
      </w:r>
      <w:r>
        <w:rPr>
          <w:rFonts w:ascii="宋体" w:hAnsi="宋体" w:eastAsia="宋体" w:cs="宋体"/>
          <w:sz w:val="24"/>
        </w:rPr>
        <w:t xml:space="preserve">   党的二十大对全面建成社会主义现代化强国作出“分两步走”总的战略安排，突出强调坚持和加强党的全面领导、坚持中国特色社会主义道路、坚持以人民为中心的发展思想、坚持深化改革开放、坚持发扬斗争精神是必须牢牢把握的重大原则；从加快构建新发展格局、实施科教兴国战略、发展全过程人民民主、坚持全面依法治国、推进文化自信自强、增进民生福祉、推动绿色发展、推进国家安全体系和能力现代化、实现建军一百年奋斗目标、坚持和完善“一国两制”、促进世界和平与发展等方面，对实现第二个百年奋斗目标至关重要的方面进行了战略部署。所有这些，进一步回答了建设什么样的社会主义现代化强国、怎样建设社会主义现代化强国这一重大课题，为以中国式现代化全面推进中华民族伟大复兴进行了谋篇布局和战略擘画，具有重大的现实意义。</w:t>
      </w:r>
      <w:r>
        <w:rPr>
          <w:rFonts w:ascii="宋体" w:hAnsi="宋体" w:eastAsia="宋体" w:cs="宋体"/>
          <w:sz w:val="24"/>
        </w:rPr>
        <w:br w:type="textWrapping"/>
      </w:r>
      <w:r>
        <w:rPr>
          <w:rFonts w:hint="eastAsia" w:ascii="宋体" w:hAnsi="宋体" w:eastAsia="宋体" w:cs="宋体"/>
          <w:sz w:val="24"/>
        </w:rPr>
        <w:t xml:space="preserve"> </w:t>
      </w:r>
      <w:r>
        <w:rPr>
          <w:rFonts w:ascii="宋体" w:hAnsi="宋体" w:eastAsia="宋体" w:cs="宋体"/>
          <w:sz w:val="24"/>
        </w:rPr>
        <w:t xml:space="preserve">   中国共产党是为中国人民谋幸福、为中华民族谋复兴的政党，也是为人类谋进步、为世界谋大同的政党。推动构建人类命运共同体，作为习近平外交思想的重要组成部分，是新时代中国向世界发出的热情呼唤，为人类社会实现共同发展、长治久安、持续繁荣指明了方向、绘制了蓝图。</w:t>
      </w:r>
      <w:r>
        <w:rPr>
          <w:rFonts w:ascii="宋体" w:hAnsi="宋体" w:eastAsia="宋体" w:cs="宋体"/>
          <w:sz w:val="24"/>
        </w:rPr>
        <w:br w:type="textWrapping"/>
      </w:r>
      <w:r>
        <w:rPr>
          <w:rFonts w:hint="eastAsia" w:ascii="宋体" w:hAnsi="宋体" w:eastAsia="宋体" w:cs="宋体"/>
          <w:sz w:val="24"/>
        </w:rPr>
        <w:t xml:space="preserve"> </w:t>
      </w:r>
      <w:r>
        <w:rPr>
          <w:rFonts w:ascii="宋体" w:hAnsi="宋体" w:eastAsia="宋体" w:cs="宋体"/>
          <w:sz w:val="24"/>
        </w:rPr>
        <w:t xml:space="preserve">   中国始终致力于推动构建人类命运共同体，坚定奉行独立自主的和平外交政策，始终根据事情本身的是非曲直决定自己的立场和政策，维护国际关系基本准则，维护国际公平正义，坚决反对一切形式的霸权主义和强权政治，反对冷战思维，反对干涉别国内政，反对搞双重标准；坚持在和平共处五项原则基础上同各国发展友好合作，推动构建新型国际关系，深化拓展平等、开放、合作的全球伙伴关系，致力于扩大同各国利益的汇合点；坚持对外开放的基本国策，坚定奉行互利共赢的开放战略，不断以中国新发展为世界提供新机遇，推动建设开放型世界经济，更好惠及各国人民；中国积极参与全球治理体系改革和建设，推动全球治理朝着更加公正合理的方向发展；中国真诚呼吁，世界各国弘扬和平、发展、公平、正义、民主、自由的全人类共同价值，促进各国人民相知相亲，尊重世界文明多样性，共同应对各种全球性挑战。</w:t>
      </w:r>
      <w:r>
        <w:rPr>
          <w:rFonts w:ascii="宋体" w:hAnsi="宋体" w:eastAsia="宋体" w:cs="宋体"/>
          <w:sz w:val="24"/>
        </w:rPr>
        <w:br w:type="textWrapping"/>
      </w:r>
      <w:r>
        <w:rPr>
          <w:rFonts w:hint="eastAsia" w:ascii="宋体" w:hAnsi="宋体" w:eastAsia="宋体" w:cs="宋体"/>
          <w:sz w:val="24"/>
        </w:rPr>
        <w:t xml:space="preserve"> </w:t>
      </w:r>
      <w:r>
        <w:rPr>
          <w:rFonts w:ascii="宋体" w:hAnsi="宋体" w:eastAsia="宋体" w:cs="宋体"/>
          <w:sz w:val="24"/>
        </w:rPr>
        <w:t xml:space="preserve">   我国党和人民事业是人类进步事业的重要组成部分。历史和现实都证明，近代以来，中国共产党的成立、中华人民共和国的诞生、中国改革开放的进行、中国全面小康社会的建成，不仅使中国人民的面貌、中华民族的面貌、中国共产党的面貌发生了翻天覆地的变化，也深刻地影响了世界历史进程，世界许多国家都共享了中国经济社会发展带来的红利。</w:t>
      </w:r>
    </w:p>
    <w:p>
      <w:pPr>
        <w:rPr>
          <w:b/>
          <w:bCs/>
          <w:sz w:val="28"/>
          <w:szCs w:val="28"/>
        </w:rPr>
      </w:pPr>
      <w:r>
        <w:rPr>
          <w:rFonts w:hint="eastAsia"/>
          <w:b/>
          <w:bCs/>
          <w:sz w:val="28"/>
          <w:szCs w:val="28"/>
        </w:rPr>
        <w:t>二、摘要</w:t>
      </w:r>
    </w:p>
    <w:p>
      <w:pPr>
        <w:spacing w:line="300" w:lineRule="auto"/>
        <w:rPr>
          <w:rFonts w:ascii="宋体" w:hAnsi="宋体" w:eastAsia="宋体" w:cs="宋体"/>
          <w:sz w:val="24"/>
        </w:rPr>
      </w:pPr>
      <w:r>
        <w:rPr>
          <w:rFonts w:ascii="宋体" w:hAnsi="宋体" w:eastAsia="宋体" w:cs="宋体"/>
          <w:sz w:val="24"/>
        </w:rPr>
        <w:t>为深入学习宣传贯彻习近平新时代中国特色社会主义思想和党的二十大精神，以立德树人为根本任务，以培养堪当民族复兴重任的师大青年为导向，引导和帮助广大青年学生上好“大思政课”，在社会课堂中“受教育、长才干、作贡献”。我校团委要求团组织成员组成小组开展理论普及宣讲活动。紧紧围绕党的二十大精神，精心设计开展有内涵、有人气的宣传教育活动。为此实践小组深入学习党的二十大精神，汲取力量，提振精神，向全民传递党的精神。</w:t>
      </w:r>
    </w:p>
    <w:p>
      <w:pPr>
        <w:rPr>
          <w:b/>
          <w:bCs/>
          <w:sz w:val="28"/>
          <w:szCs w:val="28"/>
        </w:rPr>
      </w:pPr>
      <w:r>
        <w:rPr>
          <w:rFonts w:hint="eastAsia"/>
          <w:b/>
          <w:bCs/>
          <w:sz w:val="28"/>
          <w:szCs w:val="28"/>
        </w:rPr>
        <w:t>三、引言（前言/问题的提出）</w:t>
      </w:r>
    </w:p>
    <w:p>
      <w:pPr>
        <w:spacing w:line="300" w:lineRule="auto"/>
        <w:rPr>
          <w:rFonts w:ascii="宋体" w:hAnsi="宋体" w:eastAsia="宋体" w:cs="宋体"/>
          <w:sz w:val="24"/>
        </w:rPr>
      </w:pPr>
      <w:r>
        <w:rPr>
          <w:rFonts w:ascii="宋体" w:hAnsi="宋体" w:eastAsia="宋体" w:cs="宋体"/>
          <w:sz w:val="24"/>
        </w:rPr>
        <w:t>实践小组为将理论学习与社会实践贯通起来，将深刻性和生动性统一起来，小组成员分别在各地开展小规模、互动式、有特色、接地气的宣讲交流，把理论同广大群众的生活工作实际相结合，让人民群众听得懂、能领会，讲透创新理论、讲好发展成就、讲清形势任务、讲明发展前景。其次，针对不同的宣讲对象，实践小组也采取了不同的宣讲方式，线上线下同屏共振，引导社会中的广大人民群众学懂弄通做实党的二十大精神，不断汇聚奋进新征程、建设新时代的强大力量。</w:t>
      </w:r>
    </w:p>
    <w:p>
      <w:pPr>
        <w:rPr>
          <w:b/>
          <w:bCs/>
          <w:sz w:val="28"/>
          <w:szCs w:val="28"/>
        </w:rPr>
      </w:pPr>
      <w:r>
        <w:rPr>
          <w:rFonts w:hint="eastAsia"/>
          <w:b/>
          <w:bCs/>
          <w:sz w:val="28"/>
          <w:szCs w:val="28"/>
        </w:rPr>
        <w:t>四、调研方式</w:t>
      </w:r>
    </w:p>
    <w:p>
      <w:pPr>
        <w:spacing w:line="300" w:lineRule="auto"/>
        <w:rPr>
          <w:rFonts w:ascii="宋体" w:hAnsi="宋体" w:eastAsia="宋体" w:cs="宋体"/>
          <w:sz w:val="24"/>
        </w:rPr>
      </w:pPr>
      <w:r>
        <w:rPr>
          <w:rFonts w:hint="eastAsia" w:ascii="宋体" w:hAnsi="宋体" w:eastAsia="宋体" w:cs="宋体"/>
          <w:sz w:val="24"/>
        </w:rPr>
        <w:t>实</w:t>
      </w:r>
      <w:r>
        <w:rPr>
          <w:rFonts w:ascii="宋体" w:hAnsi="宋体" w:eastAsia="宋体" w:cs="宋体"/>
          <w:sz w:val="24"/>
        </w:rPr>
        <w:t>践方式主要包括三个阶段：</w:t>
      </w:r>
      <w:r>
        <w:rPr>
          <w:rFonts w:ascii="宋体" w:hAnsi="宋体" w:eastAsia="宋体" w:cs="宋体"/>
          <w:sz w:val="24"/>
        </w:rPr>
        <w:br w:type="textWrapping"/>
      </w:r>
      <w:r>
        <w:rPr>
          <w:rFonts w:ascii="宋体" w:hAnsi="宋体" w:eastAsia="宋体" w:cs="宋体"/>
          <w:sz w:val="24"/>
        </w:rPr>
        <w:t>前期主要通过实地走访学习和通过网络学习。</w:t>
      </w:r>
      <w:r>
        <w:rPr>
          <w:rFonts w:ascii="宋体" w:hAnsi="宋体" w:eastAsia="宋体" w:cs="宋体"/>
          <w:sz w:val="24"/>
        </w:rPr>
        <w:br w:type="textWrapping"/>
      </w:r>
      <w:r>
        <w:rPr>
          <w:rFonts w:ascii="宋体" w:hAnsi="宋体" w:eastAsia="宋体" w:cs="宋体"/>
          <w:sz w:val="24"/>
        </w:rPr>
        <w:t>中期通过网络发放问卷并且进行一些调查。</w:t>
      </w:r>
      <w:r>
        <w:rPr>
          <w:rFonts w:ascii="宋体" w:hAnsi="宋体" w:eastAsia="宋体" w:cs="宋体"/>
          <w:sz w:val="24"/>
        </w:rPr>
        <w:br w:type="textWrapping"/>
      </w:r>
      <w:r>
        <w:rPr>
          <w:rFonts w:ascii="宋体" w:hAnsi="宋体" w:eastAsia="宋体" w:cs="宋体"/>
          <w:sz w:val="24"/>
        </w:rPr>
        <w:t>后期进行一些总结、分析、思考最终形成调查报告。</w:t>
      </w:r>
    </w:p>
    <w:p>
      <w:pPr>
        <w:rPr>
          <w:b/>
          <w:bCs/>
          <w:sz w:val="28"/>
          <w:szCs w:val="28"/>
        </w:rPr>
      </w:pPr>
      <w:r>
        <w:rPr>
          <w:rFonts w:hint="eastAsia"/>
          <w:b/>
          <w:bCs/>
          <w:sz w:val="28"/>
          <w:szCs w:val="28"/>
        </w:rPr>
        <w:t>五、实践过程</w:t>
      </w:r>
    </w:p>
    <w:p>
      <w:pPr>
        <w:numPr>
          <w:ilvl w:val="0"/>
          <w:numId w:val="1"/>
        </w:numPr>
        <w:spacing w:line="300" w:lineRule="auto"/>
        <w:rPr>
          <w:rFonts w:ascii="宋体" w:hAnsi="宋体" w:eastAsia="宋体" w:cs="宋体"/>
          <w:sz w:val="24"/>
        </w:rPr>
      </w:pPr>
      <w:r>
        <w:rPr>
          <w:rFonts w:ascii="宋体" w:hAnsi="宋体" w:eastAsia="宋体" w:cs="宋体"/>
          <w:sz w:val="24"/>
        </w:rPr>
        <w:t>推进青年学生贯彻二十大精神</w:t>
      </w:r>
      <w:r>
        <w:rPr>
          <w:rFonts w:ascii="宋体" w:hAnsi="宋体" w:eastAsia="宋体" w:cs="宋体"/>
          <w:sz w:val="24"/>
        </w:rPr>
        <w:br w:type="textWrapping"/>
      </w:r>
      <w:r>
        <w:rPr>
          <w:rFonts w:ascii="宋体" w:hAnsi="宋体" w:eastAsia="宋体" w:cs="宋体"/>
          <w:sz w:val="24"/>
        </w:rPr>
        <w:t>习近平总书记在党的二十大报告中对青年一代寄予殷切期望，号召广大青年要“立志做有理想、敢担当、能吃苦、肯奋斗的新时代好青年”。大学生，中学生作为青年中的佼佼者，理应不负时代、砥砺前行，做红色血脉的坚定传承者、博学力行的堪当重任者、开拓创新的顽强奋斗者、文明风尚的时代引领者，在强国之路上奋力奔跑，让青春在全面建设社会主义现代化国家的火热实践中绽放绚丽之花。所以实践小组面向中学生开展了线上的视频会议宣讲，弘扬理论联系实际的学风，以党的二十大精神、习近平新时代中国特色社会主义思想、党史、新中国史、改革开放史、社会主义发展史、中华民族发展史、政策和形势法规、党章党规党纪等为重点学习内容，教育引导广大青年坚定理想信念，砥砺意志品质，深刻领会“两个确立”的决定性意义，增强“四个意识”、坚定“四个自信”、做到“两个维护”。自觉深入学习二十大精神，做新时代中国特色社会主义思想的信仰者和践行者。</w:t>
      </w:r>
      <w:r>
        <w:rPr>
          <w:rFonts w:ascii="宋体" w:hAnsi="宋体" w:eastAsia="宋体" w:cs="宋体"/>
          <w:sz w:val="24"/>
        </w:rPr>
        <w:br w:type="textWrapping"/>
      </w:r>
      <w:r>
        <w:rPr>
          <w:rFonts w:ascii="宋体" w:hAnsi="宋体" w:eastAsia="宋体" w:cs="宋体"/>
          <w:sz w:val="24"/>
        </w:rPr>
        <w:t>2.二十大精神传千家万户</w:t>
      </w:r>
      <w:r>
        <w:rPr>
          <w:rFonts w:ascii="宋体" w:hAnsi="宋体" w:eastAsia="宋体" w:cs="宋体"/>
          <w:sz w:val="24"/>
        </w:rPr>
        <w:br w:type="textWrapping"/>
      </w:r>
      <w:r>
        <w:rPr>
          <w:rFonts w:ascii="宋体" w:hAnsi="宋体" w:eastAsia="宋体" w:cs="宋体"/>
          <w:sz w:val="24"/>
        </w:rPr>
        <w:t>“习近平总书记始终把人民放在心中最高位置，以实际行动践行‘人民至上、生命至上’的理念，在部署今后5年的工作时，专门对增进民生福祉、提高人民生活品质作出系统安排，充分彰显了习近平总书记‘我将无我、不负人民’的崇高情怀。”为将党的好声音，好期望，好政策切实传播到群众内心，我们实践小组以小区为单位，通过小区业主群，社区网格管理群等渠道，在群里发送关于二十大精神的学习宣讲视频，对关乎人民切身利益的思想进行阐释解答，用党的二十大精神武装头脑，以党对人民的殷切期盼为信念，各司其职推动工作。</w:t>
      </w:r>
      <w:r>
        <w:rPr>
          <w:rFonts w:ascii="宋体" w:hAnsi="宋体" w:eastAsia="宋体" w:cs="宋体"/>
          <w:sz w:val="24"/>
        </w:rPr>
        <w:br w:type="textWrapping"/>
      </w:r>
      <w:r>
        <w:rPr>
          <w:rFonts w:ascii="宋体" w:hAnsi="宋体" w:eastAsia="宋体" w:cs="宋体"/>
          <w:sz w:val="24"/>
        </w:rPr>
        <w:t>3.给老一辈带来党的新思想</w:t>
      </w:r>
      <w:r>
        <w:rPr>
          <w:rFonts w:ascii="宋体" w:hAnsi="宋体" w:eastAsia="宋体" w:cs="宋体"/>
          <w:sz w:val="24"/>
        </w:rPr>
        <w:br w:type="textWrapping"/>
      </w:r>
      <w:r>
        <w:rPr>
          <w:rFonts w:ascii="宋体" w:hAnsi="宋体" w:eastAsia="宋体" w:cs="宋体"/>
          <w:sz w:val="24"/>
        </w:rPr>
        <w:t>习近平总书记在党的二十大报告中着眼全面建设社会主义现代化国家的目标任务，对增进民生福祉、提高人民生活品质作出重要部署。学习贯彻党的二十大精神，就要坚持以人民为中心的发展思想，不断实现发展为了人民、发展依靠人民、发展成果由人民共享。我们实践小组在宣讲过程中发现，不仅青壮年人，老一辈人也时刻关注着党，想听到党的声音。由于老年人不好通过线上的电子设备了解二十大精神，我们小组去到各个社区的老年活动中心进行方言宣讲，宣讲内容以人民群众对美好生活的向往作为现代化建设的出发点和落脚点，紧紧抓住人民群众最关心最直接最现实的利益问题，比如：惠民生、暖民心的举措，教育、就业、医疗、社保、住房、“一老一少”等涉及群众切身利益的问题。列举生活中老人能切实感受到的便民之处，结合二十大内容，让老年人了解党的二十大精神，紧跟党的步伐。</w:t>
      </w:r>
    </w:p>
    <w:p>
      <w:pPr>
        <w:rPr>
          <w:b/>
          <w:bCs/>
          <w:sz w:val="28"/>
          <w:szCs w:val="28"/>
        </w:rPr>
      </w:pPr>
      <w:r>
        <w:rPr>
          <w:rFonts w:hint="eastAsia"/>
          <w:b/>
          <w:bCs/>
          <w:sz w:val="28"/>
          <w:szCs w:val="28"/>
        </w:rPr>
        <w:t>六、结果及分析</w:t>
      </w:r>
    </w:p>
    <w:p>
      <w:pPr>
        <w:spacing w:line="300" w:lineRule="auto"/>
        <w:ind w:firstLine="480" w:firstLineChars="200"/>
        <w:rPr>
          <w:rFonts w:ascii="宋体" w:hAnsi="宋体" w:eastAsia="宋体" w:cs="宋体"/>
          <w:sz w:val="24"/>
        </w:rPr>
      </w:pPr>
      <w:r>
        <w:rPr>
          <w:rFonts w:ascii="宋体" w:hAnsi="宋体" w:eastAsia="宋体" w:cs="宋体"/>
          <w:sz w:val="24"/>
        </w:rPr>
        <w:t>通过调查问卷的结果可以看出人们对于有关中国共产党第二</w:t>
      </w:r>
      <w:r>
        <w:rPr>
          <w:rFonts w:hint="eastAsia" w:ascii="宋体" w:hAnsi="宋体" w:eastAsia="宋体" w:cs="宋体"/>
          <w:sz w:val="24"/>
        </w:rPr>
        <w:t>十次</w:t>
      </w:r>
      <w:r>
        <w:rPr>
          <w:rFonts w:ascii="宋体" w:hAnsi="宋体" w:eastAsia="宋体" w:cs="宋体"/>
          <w:sz w:val="24"/>
        </w:rPr>
        <w:t>全国代表大大会的基本问题并没有进行进一步了解。</w:t>
      </w:r>
    </w:p>
    <w:p>
      <w:pPr>
        <w:rPr>
          <w:b/>
          <w:bCs/>
          <w:sz w:val="28"/>
          <w:szCs w:val="28"/>
        </w:rPr>
      </w:pPr>
      <w:r>
        <w:rPr>
          <w:rFonts w:hint="eastAsia"/>
          <w:b/>
          <w:bCs/>
          <w:sz w:val="28"/>
          <w:szCs w:val="28"/>
        </w:rPr>
        <w:t>七、总结</w:t>
      </w:r>
    </w:p>
    <w:p>
      <w:pPr>
        <w:spacing w:line="300" w:lineRule="auto"/>
        <w:ind w:firstLine="480" w:firstLineChars="200"/>
        <w:rPr>
          <w:rFonts w:ascii="宋体" w:hAnsi="宋体" w:eastAsia="宋体" w:cs="宋体"/>
          <w:sz w:val="24"/>
        </w:rPr>
      </w:pPr>
      <w:r>
        <w:rPr>
          <w:rFonts w:ascii="宋体" w:hAnsi="宋体" w:eastAsia="宋体" w:cs="宋体"/>
          <w:sz w:val="24"/>
        </w:rPr>
        <w:t>通过这次宣传活动，红色星火传递队实践团成员对二十大精神也有了更深入的理解。如今，站在新的起点上，我们会以更大的勇气、更有力的措施，抢抓机遇，勇担使命，全力做好每一份工作，尽力每一个责任。相信无论风云如何变幻，无论挑战如何严峻，只要我们团结奋斗，就没有任何力量能够阻挡我们昂首阔步向前进。</w:t>
      </w:r>
      <w:r>
        <w:rPr>
          <w:rFonts w:ascii="宋体" w:hAnsi="宋体" w:eastAsia="宋体" w:cs="宋体"/>
          <w:sz w:val="24"/>
        </w:rPr>
        <w:br w:type="textWrapping"/>
      </w:r>
      <w:r>
        <w:rPr>
          <w:rFonts w:hint="eastAsia" w:ascii="宋体" w:hAnsi="宋体" w:eastAsia="宋体" w:cs="宋体"/>
          <w:sz w:val="24"/>
        </w:rPr>
        <w:t xml:space="preserve"> </w:t>
      </w:r>
      <w:r>
        <w:rPr>
          <w:rFonts w:ascii="宋体" w:hAnsi="宋体" w:eastAsia="宋体" w:cs="宋体"/>
          <w:sz w:val="24"/>
        </w:rPr>
        <w:t xml:space="preserve">   必将始终贯彻二十大精神，预祝我们的祖国更加美好！</w:t>
      </w:r>
    </w:p>
    <w:p>
      <w:pPr>
        <w:spacing w:line="300" w:lineRule="auto"/>
        <w:ind w:firstLine="5760" w:firstLineChars="2400"/>
        <w:jc w:val="right"/>
        <w:rPr>
          <w:rFonts w:ascii="宋体" w:hAnsi="宋体" w:eastAsia="宋体" w:cs="宋体"/>
          <w:sz w:val="24"/>
        </w:rPr>
      </w:pPr>
      <w:r>
        <w:rPr>
          <w:rFonts w:hint="eastAsia" w:ascii="宋体" w:hAnsi="宋体" w:eastAsia="宋体" w:cs="宋体"/>
          <w:sz w:val="24"/>
        </w:rPr>
        <w:t>无锡商业职业技术学院</w:t>
      </w:r>
    </w:p>
    <w:p>
      <w:pPr>
        <w:spacing w:line="300" w:lineRule="auto"/>
        <w:ind w:firstLine="5040" w:firstLineChars="2100"/>
        <w:jc w:val="right"/>
        <w:rPr>
          <w:rFonts w:ascii="宋体" w:hAnsi="宋体" w:eastAsia="宋体" w:cs="宋体"/>
          <w:sz w:val="24"/>
        </w:rPr>
      </w:pPr>
      <w:r>
        <w:rPr>
          <w:rFonts w:hint="eastAsia" w:ascii="宋体" w:hAnsi="宋体" w:eastAsia="宋体" w:cs="宋体"/>
          <w:sz w:val="24"/>
        </w:rPr>
        <w:t>旅游烹饪学院旅游2206刘书雅</w:t>
      </w:r>
    </w:p>
    <w:p>
      <w:pPr>
        <w:spacing w:line="300" w:lineRule="auto"/>
        <w:ind w:firstLine="5040" w:firstLineChars="2100"/>
        <w:rPr>
          <w:rFonts w:ascii="宋体" w:hAnsi="宋体" w:eastAsia="宋体" w:cs="宋体"/>
          <w:sz w:val="24"/>
        </w:rPr>
      </w:pPr>
    </w:p>
    <w:p>
      <w:pPr>
        <w:spacing w:line="300" w:lineRule="auto"/>
        <w:ind w:firstLine="5040" w:firstLineChars="2100"/>
        <w:rPr>
          <w:rFonts w:ascii="宋体" w:hAnsi="宋体" w:eastAsia="宋体" w:cs="宋体"/>
          <w:sz w:val="24"/>
        </w:rPr>
      </w:pPr>
    </w:p>
    <w:p>
      <w:pPr>
        <w:spacing w:line="300" w:lineRule="auto"/>
        <w:ind w:firstLine="480" w:firstLineChars="200"/>
        <w:rPr>
          <w:rFonts w:ascii="宋体" w:hAnsi="宋体" w:eastAsia="宋体" w:cs="宋体"/>
          <w:sz w:val="24"/>
        </w:rPr>
      </w:pPr>
    </w:p>
    <w:p>
      <w:pPr>
        <w:widowControl/>
        <w:jc w:val="left"/>
        <w:rPr>
          <w:rFonts w:ascii="宋体" w:hAnsi="宋体" w:eastAsia="宋体" w:cs="宋体"/>
          <w:sz w:val="24"/>
        </w:rPr>
      </w:pPr>
      <w:r>
        <w:rPr>
          <w:rFonts w:ascii="宋体" w:hAnsi="宋体" w:eastAsia="宋体" w:cs="宋体"/>
          <w:sz w:val="24"/>
        </w:rPr>
        <w:br w:type="page"/>
      </w:r>
    </w:p>
    <w:p>
      <w:pPr>
        <w:spacing w:line="300" w:lineRule="auto"/>
        <w:jc w:val="center"/>
        <w:rPr>
          <w:rFonts w:ascii="黑体" w:hAnsi="黑体" w:eastAsia="黑体" w:cs="宋体"/>
          <w:sz w:val="28"/>
          <w:szCs w:val="28"/>
        </w:rPr>
      </w:pPr>
      <w:r>
        <w:rPr>
          <w:rFonts w:hint="eastAsia" w:ascii="黑体" w:hAnsi="黑体" w:eastAsia="黑体" w:cs="宋体"/>
          <w:sz w:val="28"/>
          <w:szCs w:val="28"/>
        </w:rPr>
        <w:t>个人小结</w:t>
      </w:r>
    </w:p>
    <w:p>
      <w:pPr>
        <w:spacing w:line="300" w:lineRule="auto"/>
        <w:ind w:firstLine="480" w:firstLineChars="200"/>
        <w:rPr>
          <w:rFonts w:ascii="宋体" w:hAnsi="宋体" w:eastAsia="宋体" w:cs="宋体"/>
          <w:sz w:val="24"/>
        </w:rPr>
      </w:pPr>
      <w:r>
        <w:rPr>
          <w:rFonts w:ascii="宋体" w:hAnsi="宋体" w:eastAsia="宋体" w:cs="宋体"/>
          <w:sz w:val="24"/>
        </w:rPr>
        <w:t>宏伟蓝图要变为现实，离不开理论的指引。在领导中国革命、建设和改革过程中，我们党始终坚持将制度建设和制度创新放在突出位置，根据形势和任务变化，在实践的基础上不断推进理论创新。习近平总书记深刻指出，“马克思主义之所以行，就在于党不断推进马克思主义中国化时代化并用以指导实践”。党的十八大以来，以习近平同志为核心的党中央坚持解放思想、实事求是、守正创新，更好把坚持马克思主义和发展马克思主义统一起来，坚持用马克思主义之“矢”去射新时代中国之“的”，推进马克思主义基本原理同中国具体实际相结合、同中华优秀传统文化相结合，以科学理论深刻回答重大时代课题，推动党的指导思想与时俱进、国家的事业不断前进。</w:t>
      </w:r>
      <w:r>
        <w:rPr>
          <w:rFonts w:ascii="宋体" w:hAnsi="宋体" w:eastAsia="宋体" w:cs="宋体"/>
          <w:sz w:val="24"/>
        </w:rPr>
        <w:br w:type="textWrapping"/>
      </w:r>
      <w:r>
        <w:rPr>
          <w:rFonts w:ascii="宋体" w:hAnsi="宋体" w:eastAsia="宋体" w:cs="宋体"/>
          <w:sz w:val="24"/>
        </w:rPr>
        <w:t>　　近年来，百年变局和世纪疫情交织叠加，外部环境更趋复杂严峻和不确定，国内改革发展稳定任务艰巨繁重，治国理政考验之大前所未有。面对世所罕见、史所罕见的风险挑战，习近平总书记统筹国内国际两个大局，对关系新时代党和国家事业发展的一系列重大理论和实践问题进行了深邃思考和科学判断，提出一系列原创性的治国理政新理念新思想新战略，进一步科学回答了中国之问、世界之问、人民之问、时代之问。第四卷集中展现了习近平新时代中国特色社会主义思想的最新成果。学习第四卷，要深刻领悟这一思想强大的真理力量，体会其独到的理论创新、思想创新之处。</w:t>
      </w:r>
      <w:r>
        <w:rPr>
          <w:rFonts w:ascii="宋体" w:hAnsi="宋体" w:eastAsia="宋体" w:cs="宋体"/>
          <w:sz w:val="24"/>
        </w:rPr>
        <w:br w:type="textWrapping"/>
      </w:r>
      <w:r>
        <w:rPr>
          <w:rFonts w:ascii="宋体" w:hAnsi="宋体" w:eastAsia="宋体" w:cs="宋体"/>
          <w:sz w:val="24"/>
        </w:rPr>
        <w:t>　　举其要者，习近平总书记明确提出“坚持把马克思主义基本原理同中国具体实际相结合、同中华优秀传统文化相结合”的重大论断，科学回答了新时代怎样坚持马克思主义、如何发展马克思主义这一重大时代课题，开辟了马克思主义中国化时代化的新境界，为推进党的理论创新提供了根本遵循，对指导实现中华民族伟大复兴具有重大而深远的意义。“两个结合”开阔了认识社会主义发展规律的新视野，有助于马克思主义和中华优秀传统文化在马克思主义中国化的进程中真正实现相融相通。一方面要科学运用马克思主义世界观和方法论，推动中华优秀传统文化创造性转化、创新性发展，用马克思主义真理的力量激活中华文明；另一方面要充分认识到中华优秀传统文化是中国特色社会主义不断发展壮大的重要精神源泉，从中华优秀传统文化中汲取养分发展马克思主义，更加坚定中国特色社会主义道路自信、理论自信、制度自信、文化自信。</w:t>
      </w:r>
      <w:bookmarkStart w:id="0" w:name="_GoBack"/>
      <w:bookmarkEnd w:id="0"/>
    </w:p>
    <w:p>
      <w:pPr>
        <w:spacing w:line="300" w:lineRule="auto"/>
        <w:ind w:firstLine="6720" w:firstLineChars="2800"/>
        <w:jc w:val="right"/>
        <w:rPr>
          <w:rFonts w:ascii="宋体" w:hAnsi="宋体" w:eastAsia="宋体" w:cs="宋体"/>
          <w:sz w:val="24"/>
        </w:rPr>
      </w:pPr>
      <w:r>
        <w:rPr>
          <w:rFonts w:hint="eastAsia" w:ascii="宋体" w:hAnsi="宋体" w:eastAsia="宋体" w:cs="宋体"/>
          <w:sz w:val="24"/>
        </w:rPr>
        <w:t>旅游烹饪学院</w:t>
      </w:r>
    </w:p>
    <w:p>
      <w:pPr>
        <w:spacing w:line="300" w:lineRule="auto"/>
        <w:ind w:firstLine="6240" w:firstLineChars="2600"/>
        <w:jc w:val="right"/>
        <w:rPr>
          <w:rFonts w:ascii="宋体" w:hAnsi="宋体" w:eastAsia="宋体" w:cs="宋体"/>
          <w:sz w:val="24"/>
        </w:rPr>
      </w:pPr>
      <w:r>
        <w:rPr>
          <w:rFonts w:hint="eastAsia" w:ascii="宋体" w:hAnsi="宋体" w:eastAsia="宋体" w:cs="宋体"/>
          <w:sz w:val="24"/>
        </w:rPr>
        <w:t xml:space="preserve">  旅游2206刘书雅</w:t>
      </w:r>
    </w:p>
    <w:p>
      <w:pPr>
        <w:spacing w:line="300" w:lineRule="auto"/>
        <w:ind w:firstLine="6480" w:firstLineChars="2700"/>
        <w:jc w:val="right"/>
        <w:rPr>
          <w:rFonts w:ascii="宋体" w:hAnsi="宋体" w:eastAsia="宋体" w:cs="宋体"/>
          <w:sz w:val="24"/>
        </w:rPr>
      </w:pPr>
      <w:r>
        <w:rPr>
          <w:rFonts w:hint="eastAsia" w:ascii="宋体" w:hAnsi="宋体" w:eastAsia="宋体" w:cs="宋体"/>
          <w:sz w:val="24"/>
        </w:rPr>
        <w:t>2023年7月20日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8F1851"/>
    <w:multiLevelType w:val="singleLevel"/>
    <w:tmpl w:val="3F8F1851"/>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mNTAxYTA0NTllZTU0OWY5NWY0MWNlMzBjNGU2OTYifQ=="/>
  </w:docVars>
  <w:rsids>
    <w:rsidRoot w:val="DFFF4822"/>
    <w:rsid w:val="004B1330"/>
    <w:rsid w:val="005E56B2"/>
    <w:rsid w:val="250A123A"/>
    <w:rsid w:val="5E8545C5"/>
    <w:rsid w:val="606437AC"/>
    <w:rsid w:val="699A37B5"/>
    <w:rsid w:val="71BDBD94"/>
    <w:rsid w:val="76B0037E"/>
    <w:rsid w:val="776B2B46"/>
    <w:rsid w:val="DD7F8A45"/>
    <w:rsid w:val="DFFF4822"/>
    <w:rsid w:val="EFFF40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paragraph" w:customStyle="1" w:styleId="4">
    <w:name w:val="WPSOffice手动目录 1"/>
    <w:qFormat/>
    <w:uiPriority w:val="0"/>
    <w:rPr>
      <w:rFonts w:asciiTheme="minorHAnsi" w:hAnsiTheme="minorHAnsi" w:eastAsiaTheme="minorEastAsia" w:cstheme="minorBidi"/>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glossaryDocument" Target="glossary/document.xml"/><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7c96659a-66f4-4f53-9f7f-90b1998f1c27}"/>
        <w:style w:val=""/>
        <w:category>
          <w:name w:val="常规"/>
          <w:gallery w:val="placeholder"/>
        </w:category>
        <w:types>
          <w:type w:val="bbPlcHdr"/>
        </w:types>
        <w:behaviors>
          <w:behavior w:val="content"/>
        </w:behaviors>
        <w:description w:val=""/>
        <w:guid w:val="{7C96659A-66F4-4F53-9F7F-90B1998F1C27}"/>
      </w:docPartPr>
      <w:docPartBody>
        <w:p>
          <w:r>
            <w:rPr>
              <w:color w:val="808080"/>
            </w:rPr>
            <w:t>单击此处输入文字。</w:t>
          </w:r>
        </w:p>
      </w:docPartBody>
    </w:docPart>
    <w:docPart>
      <w:docPartPr>
        <w:name w:val="{fa37e3a9-6b42-4d2f-9ce8-46c9c9d73beb}"/>
        <w:style w:val=""/>
        <w:category>
          <w:name w:val="常规"/>
          <w:gallery w:val="placeholder"/>
        </w:category>
        <w:types>
          <w:type w:val="bbPlcHdr"/>
        </w:types>
        <w:behaviors>
          <w:behavior w:val="content"/>
        </w:behaviors>
        <w:description w:val=""/>
        <w:guid w:val="{FA37E3A9-6B42-4D2F-9CE8-46C9C9D73BEB}"/>
      </w:docPartPr>
      <w:docPartBody>
        <w:p>
          <w:r>
            <w:rPr>
              <w:color w:val="808080"/>
            </w:rPr>
            <w:t>单击此处输入文字。</w:t>
          </w:r>
        </w:p>
      </w:docPartBody>
    </w:docPart>
    <w:docPart>
      <w:docPartPr>
        <w:name w:val="{573595e1-6e8d-4ea1-9bc8-a1488463a79f}"/>
        <w:style w:val=""/>
        <w:category>
          <w:name w:val="常规"/>
          <w:gallery w:val="placeholder"/>
        </w:category>
        <w:types>
          <w:type w:val="bbPlcHdr"/>
        </w:types>
        <w:behaviors>
          <w:behavior w:val="content"/>
        </w:behaviors>
        <w:description w:val=""/>
        <w:guid w:val="{573595E1-6E8D-4EA1-9BC8-A1488463A79F}"/>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splitPgBreakAndParaMark/>
    <w:compatSetting w:name="compatibilityMode" w:uri="http://schemas.microsoft.com/office/word" w:val="14"/>
  </w:compat>
  <w:rsids>
    <w:rsidRoot w:val="00BA2D1A"/>
    <w:rsid w:val="00333F95"/>
    <w:rsid w:val="00BA2D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atentStyles>
  <w:style w:type="paragraph" w:default="1" w:styleId="1">
    <w:name w:val="Normal"/>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795</Words>
  <Characters>4536</Characters>
  <Lines>37</Lines>
  <Paragraphs>10</Paragraphs>
  <TotalTime>57</TotalTime>
  <ScaleCrop>false</ScaleCrop>
  <LinksUpToDate>false</LinksUpToDate>
  <CharactersWithSpaces>5321</CharactersWithSpaces>
  <Application>WPS Office_12.1.0.15066_F1E327BC-269C-435d-A152-05C5408002CA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2023-06-14T13:47:00Z</dcterms:created>
  <dc:creator>屿.</dc:creator>
  <cp:lastModifiedBy>周敏</cp:lastModifiedBy>
  <dcterms:modified xsi:type="dcterms:W3CDTF">2023-07-21T13:28:00Z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2052-12.1.0.15066</vt:lpwstr>
  </property>
  <property fmtid="{D5CDD505-2E9C-101B-9397-08002B2CF9AE}" pid="3" name="ICV">
    <vt:lpwstr>12E9E9E4EBA9484AA5A79FC9F01A4BF6_13</vt:lpwstr>
  </property>
</Properties>
</file>