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kinsoku/>
        <w:wordWrap/>
        <w:overflowPunct/>
        <w:topLinePunct w:val="0"/>
        <w:autoSpaceDE/>
        <w:autoSpaceDN/>
        <w:bidi w:val="0"/>
        <w:adjustRightInd/>
        <w:snapToGrid/>
        <w:spacing w:before="0" w:beforeLines="100" w:after="0" w:afterLines="100" w:line="480" w:lineRule="auto"/>
        <w:ind w:left="0" w:firstLine="0" w:firstLineChars="0"/>
        <w:jc w:val="center"/>
        <w:textAlignment w:val="auto"/>
        <w:rPr>
          <w:rFonts w:hint="eastAsia" w:ascii="微软雅黑" w:hAnsi="微软雅黑" w:eastAsia="微软雅黑" w:cs="微软雅黑"/>
          <w:sz w:val="32"/>
          <w:szCs w:val="32"/>
        </w:rPr>
      </w:pPr>
      <w:r>
        <w:rPr>
          <w:rFonts w:hint="eastAsia" w:ascii="微软雅黑" w:hAnsi="微软雅黑" w:eastAsia="微软雅黑" w:cs="微软雅黑"/>
          <w:b/>
          <w:sz w:val="32"/>
          <w:szCs w:val="32"/>
        </w:rPr>
        <w:t>医疗器械注册如何做同品种比对？</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同品种比对是医疗器械注册申报过程中进行临床评价的重要方式之一，包括通过等同器械的临床数据进行临床评价以及使用可比器械的临床数据进行部分临床评价。它可以有效地帮助企业节省大量研发费用，缩短新产品上市时间。</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那么在医疗器械注册过程中哪些产品适合做同品种比对？医疗器械同品种比对要如何做，数据如何收集？本文将为大家进行详细介绍。</w:t>
      </w:r>
    </w:p>
    <w:p>
      <w:pPr>
        <w:pStyle w:val="2"/>
        <w:pageBreakBefore w:val="0"/>
        <w:kinsoku/>
        <w:wordWrap/>
        <w:overflowPunct/>
        <w:topLinePunct w:val="0"/>
        <w:autoSpaceDE/>
        <w:autoSpaceDN/>
        <w:bidi w:val="0"/>
        <w:adjustRightInd/>
        <w:snapToGrid/>
        <w:spacing w:before="0" w:beforeLines="100" w:after="0" w:afterLines="100"/>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sz w:val="21"/>
          <w:szCs w:val="21"/>
          <w:shd w:val="clear" w:color="auto" w:fill="FDFDFE"/>
          <w:lang w:val="en-US" w:eastAsia="zh-CN"/>
        </w:rPr>
        <w:t>一、</w:t>
      </w:r>
      <w:r>
        <w:rPr>
          <w:rFonts w:hint="eastAsia" w:ascii="微软雅黑" w:hAnsi="微软雅黑" w:eastAsia="微软雅黑" w:cs="微软雅黑"/>
          <w:b/>
          <w:color w:val="000000"/>
          <w:sz w:val="21"/>
          <w:szCs w:val="21"/>
          <w:shd w:val="clear" w:color="auto" w:fill="FDFDFE"/>
        </w:rPr>
        <w:t>哪些产品适合做同品种比对</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b w:val="0"/>
          <w:sz w:val="21"/>
          <w:szCs w:val="21"/>
        </w:rPr>
        <w:t>根据《医疗器械注册与备案管理办法》（2021年8月26日 国家市场监督管理总局令第47号）规定和要求，医疗器械临床评价可分为三种情况：1.免于进行临床评价；2.同品种比对；3.临床试验。</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其中免于进行临床评价的医疗器械目录由国家药品监督管理局制定、调整并公布。</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适用于同品种比对的产品，一般应具备以下特点：</w:t>
      </w:r>
    </w:p>
    <w:p>
      <w:pPr>
        <w:pageBreakBefore w:val="0"/>
        <w:numPr>
          <w:ilvl w:val="0"/>
          <w:numId w:val="1"/>
        </w:numPr>
        <w:tabs>
          <w:tab w:val="clear" w:pos="420"/>
        </w:tabs>
        <w:kinsoku/>
        <w:wordWrap/>
        <w:overflowPunct/>
        <w:topLinePunct w:val="0"/>
        <w:autoSpaceDE/>
        <w:autoSpaceDN/>
        <w:bidi w:val="0"/>
        <w:adjustRightInd/>
        <w:snapToGrid/>
        <w:spacing w:before="0" w:beforeLines="100" w:after="0" w:afterLines="100"/>
        <w:ind w:left="840" w:leftChars="0" w:hanging="42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技术特征相似：</w:t>
      </w:r>
      <w:r>
        <w:rPr>
          <w:rFonts w:hint="eastAsia" w:ascii="微软雅黑" w:hAnsi="微软雅黑" w:eastAsia="微软雅黑" w:cs="微软雅黑"/>
          <w:sz w:val="21"/>
          <w:szCs w:val="21"/>
        </w:rPr>
        <w:t>与同品种产品在基本原理、结构组成、生产工艺等方面具有相似性。</w:t>
      </w:r>
    </w:p>
    <w:p>
      <w:pPr>
        <w:pageBreakBefore w:val="0"/>
        <w:numPr>
          <w:ilvl w:val="0"/>
          <w:numId w:val="1"/>
        </w:numPr>
        <w:tabs>
          <w:tab w:val="clear" w:pos="420"/>
        </w:tabs>
        <w:kinsoku/>
        <w:wordWrap/>
        <w:overflowPunct/>
        <w:topLinePunct w:val="0"/>
        <w:autoSpaceDE/>
        <w:autoSpaceDN/>
        <w:bidi w:val="0"/>
        <w:adjustRightInd/>
        <w:snapToGrid/>
        <w:spacing w:before="0" w:beforeLines="100" w:after="0" w:afterLines="100"/>
        <w:ind w:left="840" w:leftChars="0" w:hanging="42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适用范围相同或相近：</w:t>
      </w:r>
      <w:r>
        <w:rPr>
          <w:rFonts w:hint="eastAsia" w:ascii="微软雅黑" w:hAnsi="微软雅黑" w:eastAsia="微软雅黑" w:cs="微软雅黑"/>
          <w:sz w:val="21"/>
          <w:szCs w:val="21"/>
        </w:rPr>
        <w:t>能够覆盖同品种产品的适用人群、适用部位及适应症。</w:t>
      </w:r>
    </w:p>
    <w:p>
      <w:pPr>
        <w:pageBreakBefore w:val="0"/>
        <w:numPr>
          <w:ilvl w:val="0"/>
          <w:numId w:val="1"/>
        </w:numPr>
        <w:tabs>
          <w:tab w:val="clear" w:pos="420"/>
        </w:tabs>
        <w:kinsoku/>
        <w:wordWrap/>
        <w:overflowPunct/>
        <w:topLinePunct w:val="0"/>
        <w:autoSpaceDE/>
        <w:autoSpaceDN/>
        <w:bidi w:val="0"/>
        <w:adjustRightInd/>
        <w:snapToGrid/>
        <w:spacing w:before="0" w:beforeLines="100" w:after="0" w:afterLines="100"/>
        <w:ind w:left="840" w:leftChars="0" w:hanging="42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安全性有效性已得到临床公认：</w:t>
      </w:r>
      <w:r>
        <w:rPr>
          <w:rFonts w:hint="eastAsia" w:ascii="微软雅黑" w:hAnsi="微软雅黑" w:eastAsia="微软雅黑" w:cs="微软雅黑"/>
          <w:sz w:val="21"/>
          <w:szCs w:val="21"/>
        </w:rPr>
        <w:t>同品种产品的安全有效性在现有认知下已得到广泛认可。</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例如，有源手术器械、医用成像器械、骨科手术器械等，由于其技术成熟、市场应用广泛，因此较适合进行同品种比对。</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关于具体产品采用哪种临床评价路径，国家药品监督管理局也会不定期发布通告，对医疗器械分类目录中相关产品的临床评价推荐路径进行说明。</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7124700" cy="5632450"/>
            <wp:effectExtent l="0" t="0" r="0" b="0"/>
            <wp:docPr id="1" name="1720417638009.png"/>
            <wp:cNvGraphicFramePr/>
            <a:graphic xmlns:a="http://schemas.openxmlformats.org/drawingml/2006/main">
              <a:graphicData uri="http://schemas.openxmlformats.org/drawingml/2006/picture">
                <pic:pic xmlns:pic="http://schemas.openxmlformats.org/drawingml/2006/picture">
                  <pic:nvPicPr>
                    <pic:cNvPr id="1" name="1720417638009.png"/>
                    <pic:cNvPicPr/>
                  </pic:nvPicPr>
                  <pic:blipFill>
                    <a:blip r:embed="rId4"/>
                    <a:stretch>
                      <a:fillRect/>
                    </a:stretch>
                  </pic:blipFill>
                  <pic:spPr>
                    <a:xfrm>
                      <a:off x="0" y="0"/>
                      <a:ext cx="7124700" cy="5632966"/>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color w:val="494949"/>
          <w:sz w:val="21"/>
          <w:szCs w:val="21"/>
        </w:rPr>
        <w:t>图片来源：药智医械数据-政策法规数据库</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此外，药智医械数据-中国上</w:t>
      </w:r>
      <w:r>
        <w:rPr>
          <w:rFonts w:hint="eastAsia" w:ascii="微软雅黑" w:hAnsi="微软雅黑" w:eastAsia="微软雅黑" w:cs="微软雅黑"/>
          <w:sz w:val="21"/>
          <w:szCs w:val="21"/>
        </w:rPr>
        <w:t>市器械筛选系统根据国家药监局公布信息及医疗器械分类，也对各类医疗器械产品进行了推荐临床路径标注与筛选，用户在查询医疗器械产品的同时就能清楚其推荐临床路径。</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7124700" cy="3536315"/>
            <wp:effectExtent l="0" t="0" r="0" b="0"/>
            <wp:docPr id="2" name="2.png"/>
            <wp:cNvGraphicFramePr/>
            <a:graphic xmlns:a="http://schemas.openxmlformats.org/drawingml/2006/main">
              <a:graphicData uri="http://schemas.openxmlformats.org/drawingml/2006/picture">
                <pic:pic xmlns:pic="http://schemas.openxmlformats.org/drawingml/2006/picture">
                  <pic:nvPicPr>
                    <pic:cNvPr id="2" name="2.png"/>
                    <pic:cNvPicPr/>
                  </pic:nvPicPr>
                  <pic:blipFill>
                    <a:blip r:embed="rId5"/>
                    <a:stretch>
                      <a:fillRect/>
                    </a:stretch>
                  </pic:blipFill>
                  <pic:spPr>
                    <a:xfrm>
                      <a:off x="0" y="0"/>
                      <a:ext cx="7124700" cy="3536375"/>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t>图片来源：药智医械数据-中国上市器械筛选系统、中国医疗器械分类目录</w:t>
      </w:r>
    </w:p>
    <w:p>
      <w:pPr>
        <w:pStyle w:val="2"/>
        <w:pageBreakBefore w:val="0"/>
        <w:kinsoku/>
        <w:wordWrap/>
        <w:overflowPunct/>
        <w:topLinePunct w:val="0"/>
        <w:autoSpaceDE/>
        <w:autoSpaceDN/>
        <w:bidi w:val="0"/>
        <w:adjustRightInd/>
        <w:snapToGrid/>
        <w:spacing w:before="0" w:beforeLines="100" w:after="0" w:afterLine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sz w:val="21"/>
          <w:szCs w:val="21"/>
          <w:shd w:val="clear" w:color="auto" w:fill="FDFDFE"/>
          <w:lang w:val="en-US" w:eastAsia="zh-CN"/>
        </w:rPr>
        <w:t>二、</w:t>
      </w:r>
      <w:r>
        <w:rPr>
          <w:rFonts w:hint="eastAsia" w:ascii="微软雅黑" w:hAnsi="微软雅黑" w:eastAsia="微软雅黑" w:cs="微软雅黑"/>
          <w:b/>
          <w:color w:val="000000"/>
          <w:sz w:val="21"/>
          <w:szCs w:val="21"/>
          <w:shd w:val="clear" w:color="auto" w:fill="FDFDFE"/>
        </w:rPr>
        <w:t>如何做医疗器械同品种比对</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shd w:val="clear" w:color="auto" w:fill="FDFDFE"/>
        </w:rPr>
        <w:t>医疗器械同品种比对大致包括5个步骤：</w:t>
      </w:r>
    </w:p>
    <w:p>
      <w:pPr>
        <w:pageBreakBefore w:val="0"/>
        <w:numPr>
          <w:numId w:val="0"/>
        </w:numPr>
        <w:kinsoku/>
        <w:wordWrap/>
        <w:overflowPunct/>
        <w:topLinePunct w:val="0"/>
        <w:autoSpaceDE/>
        <w:autoSpaceDN/>
        <w:bidi w:val="0"/>
        <w:adjustRightInd/>
        <w:snapToGrid/>
        <w:spacing w:before="0" w:beforeLines="100" w:after="0" w:afterLines="100"/>
        <w:ind w:firstLine="42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sz w:val="21"/>
          <w:szCs w:val="21"/>
          <w:shd w:val="clear" w:color="auto" w:fill="FDFDFE"/>
          <w:lang w:val="en-US" w:eastAsia="zh-CN"/>
        </w:rPr>
        <w:t>1、</w:t>
      </w:r>
      <w:r>
        <w:rPr>
          <w:rFonts w:hint="eastAsia" w:ascii="微软雅黑" w:hAnsi="微软雅黑" w:eastAsia="微软雅黑" w:cs="微软雅黑"/>
          <w:b/>
          <w:color w:val="000000"/>
          <w:sz w:val="21"/>
          <w:szCs w:val="21"/>
          <w:shd w:val="clear" w:color="auto" w:fill="FDFDFE"/>
        </w:rPr>
        <w:t>确定同品种医疗器械</w:t>
      </w:r>
      <w:r>
        <w:rPr>
          <w:rFonts w:hint="eastAsia" w:ascii="微软雅黑" w:hAnsi="微软雅黑" w:eastAsia="微软雅黑" w:cs="微软雅黑"/>
          <w:b/>
          <w:color w:val="000000"/>
          <w:sz w:val="21"/>
          <w:szCs w:val="21"/>
          <w:shd w:val="clear" w:color="auto" w:fill="FDFDFE"/>
          <w:lang w:eastAsia="zh-CN"/>
        </w:rPr>
        <w:t>：</w:t>
      </w:r>
      <w:r>
        <w:rPr>
          <w:rFonts w:hint="eastAsia" w:ascii="微软雅黑" w:hAnsi="微软雅黑" w:eastAsia="微软雅黑" w:cs="微软雅黑"/>
          <w:color w:val="000000"/>
          <w:sz w:val="21"/>
          <w:szCs w:val="21"/>
          <w:shd w:val="clear" w:color="auto" w:fill="FDFDFE"/>
        </w:rPr>
        <w:t>根据申报产品的技术特征和适用范围，筛选出合适的同品种医疗器械。通常是前往国家药品监督管理局官网查询相同或相似产品名称，然后逐个产品进行对比，但这个方式相对比较耗时，而且往往查询结果不够全面。</w:t>
      </w:r>
      <w:r>
        <w:rPr>
          <w:rFonts w:hint="eastAsia" w:ascii="微软雅黑" w:hAnsi="微软雅黑" w:eastAsia="微软雅黑" w:cs="微软雅黑"/>
          <w:color w:val="494949"/>
          <w:sz w:val="21"/>
          <w:szCs w:val="21"/>
        </w:rPr>
        <w:t>药智医械数据</w:t>
      </w:r>
      <w:r>
        <w:rPr>
          <w:rFonts w:hint="eastAsia" w:ascii="微软雅黑" w:hAnsi="微软雅黑" w:eastAsia="微软雅黑" w:cs="微软雅黑"/>
          <w:sz w:val="21"/>
          <w:szCs w:val="21"/>
        </w:rPr>
        <w:t>-中国上市器械筛选系统支持对结构及组成、适用范围进行检索，更支持通用名查询，可以一次性检索出更为全面的</w:t>
      </w:r>
      <w:r>
        <w:rPr>
          <w:rFonts w:hint="eastAsia" w:ascii="微软雅黑" w:hAnsi="微软雅黑" w:eastAsia="微软雅黑" w:cs="微软雅黑"/>
          <w:color w:val="000000"/>
          <w:sz w:val="21"/>
          <w:szCs w:val="21"/>
          <w:shd w:val="clear" w:color="auto" w:fill="FDFDFE"/>
        </w:rPr>
        <w:t>同品种医疗器械产品。</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drawing>
          <wp:inline distT="0" distB="0" distL="0" distR="0">
            <wp:extent cx="7124700" cy="3536315"/>
            <wp:effectExtent l="0" t="0" r="0" b="0"/>
            <wp:docPr id="3" name="3.png"/>
            <wp:cNvGraphicFramePr/>
            <a:graphic xmlns:a="http://schemas.openxmlformats.org/drawingml/2006/main">
              <a:graphicData uri="http://schemas.openxmlformats.org/drawingml/2006/picture">
                <pic:pic xmlns:pic="http://schemas.openxmlformats.org/drawingml/2006/picture">
                  <pic:nvPicPr>
                    <pic:cNvPr id="3" name="3.png"/>
                    <pic:cNvPicPr/>
                  </pic:nvPicPr>
                  <pic:blipFill>
                    <a:blip r:embed="rId6"/>
                    <a:stretch>
                      <a:fillRect/>
                    </a:stretch>
                  </pic:blipFill>
                  <pic:spPr>
                    <a:xfrm>
                      <a:off x="0" y="0"/>
                      <a:ext cx="7124700" cy="3536375"/>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t>图片来源：药智医械数据-中国上市器械筛选系统</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shd w:val="clear" w:color="auto" w:fill="FDFDFE"/>
        </w:rPr>
        <w:t>此外，</w:t>
      </w:r>
      <w:r>
        <w:rPr>
          <w:rFonts w:hint="eastAsia" w:ascii="微软雅黑" w:hAnsi="微软雅黑" w:eastAsia="微软雅黑" w:cs="微软雅黑"/>
          <w:sz w:val="21"/>
          <w:szCs w:val="21"/>
        </w:rPr>
        <w:t>中国上市器械筛选系统还支持单次对最多10个产品进行横向对比，从而直观了解各产品结构组成、适用范围等维度异同，便于筛选出更为合适的</w:t>
      </w:r>
      <w:r>
        <w:rPr>
          <w:rFonts w:hint="eastAsia" w:ascii="微软雅黑" w:hAnsi="微软雅黑" w:eastAsia="微软雅黑" w:cs="微软雅黑"/>
          <w:color w:val="000000"/>
          <w:sz w:val="21"/>
          <w:szCs w:val="21"/>
          <w:shd w:val="clear" w:color="auto" w:fill="FDFDFE"/>
        </w:rPr>
        <w:t>同品种产品。</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drawing>
          <wp:inline distT="0" distB="0" distL="0" distR="0">
            <wp:extent cx="7124700" cy="3536315"/>
            <wp:effectExtent l="0" t="0" r="0" b="0"/>
            <wp:docPr id="4" name="4.png"/>
            <wp:cNvGraphicFramePr/>
            <a:graphic xmlns:a="http://schemas.openxmlformats.org/drawingml/2006/main">
              <a:graphicData uri="http://schemas.openxmlformats.org/drawingml/2006/picture">
                <pic:pic xmlns:pic="http://schemas.openxmlformats.org/drawingml/2006/picture">
                  <pic:nvPicPr>
                    <pic:cNvPr id="4" name="4.png"/>
                    <pic:cNvPicPr/>
                  </pic:nvPicPr>
                  <pic:blipFill>
                    <a:blip r:embed="rId7"/>
                    <a:stretch>
                      <a:fillRect/>
                    </a:stretch>
                  </pic:blipFill>
                  <pic:spPr>
                    <a:xfrm>
                      <a:off x="0" y="0"/>
                      <a:ext cx="7124700" cy="3536375"/>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t>图片来源：药智医械数据-中国上市器械筛选系统</w:t>
      </w:r>
    </w:p>
    <w:p>
      <w:pPr>
        <w:pageBreakBefore w:val="0"/>
        <w:numPr>
          <w:ilvl w:val="0"/>
          <w:numId w:val="0"/>
        </w:numPr>
        <w:kinsoku/>
        <w:wordWrap/>
        <w:overflowPunct/>
        <w:topLinePunct w:val="0"/>
        <w:autoSpaceDE/>
        <w:autoSpaceDN/>
        <w:bidi w:val="0"/>
        <w:adjustRightInd/>
        <w:snapToGrid/>
        <w:spacing w:before="0" w:beforeLines="100" w:after="0" w:afterLines="100"/>
        <w:ind w:firstLine="42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kern w:val="2"/>
          <w:sz w:val="21"/>
          <w:szCs w:val="21"/>
          <w:shd w:val="clear" w:fill="FDFDFE"/>
        </w:rPr>
        <w:t>2、</w:t>
      </w:r>
      <w:r>
        <w:rPr>
          <w:rFonts w:hint="eastAsia" w:ascii="微软雅黑" w:hAnsi="微软雅黑" w:eastAsia="微软雅黑" w:cs="微软雅黑"/>
          <w:b/>
          <w:color w:val="000000"/>
          <w:sz w:val="21"/>
          <w:szCs w:val="21"/>
          <w:shd w:val="clear" w:color="auto" w:fill="FDFDFE"/>
        </w:rPr>
        <w:t>收集对比资料</w:t>
      </w:r>
      <w:r>
        <w:rPr>
          <w:rFonts w:hint="eastAsia" w:ascii="微软雅黑" w:hAnsi="微软雅黑" w:eastAsia="微软雅黑" w:cs="微软雅黑"/>
          <w:b/>
          <w:color w:val="000000"/>
          <w:sz w:val="21"/>
          <w:szCs w:val="21"/>
          <w:shd w:val="clear" w:color="auto" w:fill="FDFDFE"/>
          <w:lang w:eastAsia="zh-CN"/>
        </w:rPr>
        <w:t>：</w:t>
      </w:r>
      <w:r>
        <w:rPr>
          <w:rFonts w:hint="eastAsia" w:ascii="微软雅黑" w:hAnsi="微软雅黑" w:eastAsia="微软雅黑" w:cs="微软雅黑"/>
          <w:color w:val="000000"/>
          <w:sz w:val="21"/>
          <w:szCs w:val="21"/>
          <w:shd w:val="clear" w:color="auto" w:fill="FDFDFE"/>
        </w:rPr>
        <w:t>包括同品种医疗器械的临床数据、技术文件、使用说明书、不良事件等信息，这些资料将作为比对分析的基础，因此需要确保其全面、精准、具有可重复性。这里同样可以通过药智医械数</w:t>
      </w:r>
      <w:r>
        <w:rPr>
          <w:rFonts w:hint="eastAsia" w:ascii="微软雅黑" w:hAnsi="微软雅黑" w:eastAsia="微软雅黑" w:cs="微软雅黑"/>
          <w:b w:val="0"/>
          <w:color w:val="000000"/>
          <w:sz w:val="21"/>
          <w:szCs w:val="21"/>
          <w:shd w:val="clear" w:color="auto" w:fill="FDFDFE"/>
        </w:rPr>
        <w:t>据——中国地方药监局注册产品信息、</w:t>
      </w:r>
      <w:r>
        <w:rPr>
          <w:rFonts w:hint="eastAsia" w:ascii="微软雅黑" w:hAnsi="微软雅黑" w:eastAsia="微软雅黑" w:cs="微软雅黑"/>
          <w:color w:val="000000"/>
          <w:sz w:val="21"/>
          <w:szCs w:val="21"/>
          <w:shd w:val="clear" w:color="auto" w:fill="FDFDFE"/>
        </w:rPr>
        <w:t>全球医疗器械产品说明书、文献等数据库进行相关资料查找。</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drawing>
          <wp:inline distT="0" distB="0" distL="0" distR="0">
            <wp:extent cx="5591175" cy="2773680"/>
            <wp:effectExtent l="0" t="0" r="0" b="0"/>
            <wp:docPr id="5" name="5.png"/>
            <wp:cNvGraphicFramePr/>
            <a:graphic xmlns:a="http://schemas.openxmlformats.org/drawingml/2006/main">
              <a:graphicData uri="http://schemas.openxmlformats.org/drawingml/2006/picture">
                <pic:pic xmlns:pic="http://schemas.openxmlformats.org/drawingml/2006/picture">
                  <pic:nvPicPr>
                    <pic:cNvPr id="5" name="5.png"/>
                    <pic:cNvPicPr/>
                  </pic:nvPicPr>
                  <pic:blipFill>
                    <a:blip r:embed="rId8"/>
                    <a:stretch>
                      <a:fillRect/>
                    </a:stretch>
                  </pic:blipFill>
                  <pic:spPr>
                    <a:xfrm>
                      <a:off x="0" y="0"/>
                      <a:ext cx="5591175" cy="2773747"/>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t>图片来源：药智医械数据-中国地方药监局注册产品信息</w:t>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drawing>
          <wp:inline distT="0" distB="0" distL="0" distR="0">
            <wp:extent cx="5591175" cy="2773680"/>
            <wp:effectExtent l="0" t="0" r="0" b="0"/>
            <wp:docPr id="6" name="4.png"/>
            <wp:cNvGraphicFramePr/>
            <a:graphic xmlns:a="http://schemas.openxmlformats.org/drawingml/2006/main">
              <a:graphicData uri="http://schemas.openxmlformats.org/drawingml/2006/picture">
                <pic:pic xmlns:pic="http://schemas.openxmlformats.org/drawingml/2006/picture">
                  <pic:nvPicPr>
                    <pic:cNvPr id="6" name="4.png"/>
                    <pic:cNvPicPr/>
                  </pic:nvPicPr>
                  <pic:blipFill>
                    <a:blip r:embed="rId9"/>
                    <a:stretch>
                      <a:fillRect/>
                    </a:stretch>
                  </pic:blipFill>
                  <pic:spPr>
                    <a:xfrm>
                      <a:off x="0" y="0"/>
                      <a:ext cx="5591175" cy="2773747"/>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t>图片来源：药智医械数据-全球医疗器械产品说明书</w:t>
      </w:r>
    </w:p>
    <w:p>
      <w:pPr>
        <w:pageBreakBefore w:val="0"/>
        <w:numPr>
          <w:numId w:val="0"/>
        </w:numPr>
        <w:kinsoku/>
        <w:wordWrap/>
        <w:overflowPunct/>
        <w:topLinePunct w:val="0"/>
        <w:autoSpaceDE/>
        <w:autoSpaceDN/>
        <w:bidi w:val="0"/>
        <w:adjustRightInd/>
        <w:snapToGrid/>
        <w:spacing w:before="0" w:beforeLines="100" w:after="0" w:afterLines="100"/>
        <w:ind w:firstLine="42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sz w:val="21"/>
          <w:szCs w:val="21"/>
          <w:shd w:val="clear" w:color="auto" w:fill="FDFDFE"/>
          <w:lang w:val="en-US" w:eastAsia="zh-CN"/>
        </w:rPr>
        <w:t>3、</w:t>
      </w:r>
      <w:r>
        <w:rPr>
          <w:rFonts w:hint="eastAsia" w:ascii="微软雅黑" w:hAnsi="微软雅黑" w:eastAsia="微软雅黑" w:cs="微软雅黑"/>
          <w:b/>
          <w:color w:val="000000"/>
          <w:sz w:val="21"/>
          <w:szCs w:val="21"/>
          <w:shd w:val="clear" w:color="auto" w:fill="FDFDFE"/>
        </w:rPr>
        <w:t>详细对比分析</w:t>
      </w:r>
      <w:r>
        <w:rPr>
          <w:rFonts w:hint="eastAsia" w:ascii="微软雅黑" w:hAnsi="微软雅黑" w:eastAsia="微软雅黑" w:cs="微软雅黑"/>
          <w:color w:val="000000"/>
          <w:sz w:val="21"/>
          <w:szCs w:val="21"/>
          <w:shd w:val="clear" w:color="auto" w:fill="FDFDFE"/>
        </w:rPr>
        <w:t>：按照《医疗器械临床评价技术指导原则》的要求，对申报产品与同品种产品在基本原理、结构组成、生产工艺、性能要求、安全性评价等方面进行逐项对比，确保两者在关键指标上基本一致。详细列出申报产品与同品种产品的差异点，并论证这些差异点是否对产品的安全、有效产生不利影响。</w:t>
      </w:r>
    </w:p>
    <w:p>
      <w:pPr>
        <w:pageBreakBefore w:val="0"/>
        <w:kinsoku/>
        <w:wordWrap/>
        <w:overflowPunct/>
        <w:topLinePunct w:val="0"/>
        <w:autoSpaceDE/>
        <w:autoSpaceDN/>
        <w:bidi w:val="0"/>
        <w:adjustRightInd/>
        <w:snapToGrid/>
        <w:spacing w:before="0" w:beforeLines="100" w:after="0" w:afterLines="10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0" distR="0">
            <wp:extent cx="7124700" cy="6254750"/>
            <wp:effectExtent l="0" t="0" r="0" b="0"/>
            <wp:docPr id="7" name="C5538482-8FF6-4328-A061-77A7C677BA3F.png"/>
            <wp:cNvGraphicFramePr/>
            <a:graphic xmlns:a="http://schemas.openxmlformats.org/drawingml/2006/main">
              <a:graphicData uri="http://schemas.openxmlformats.org/drawingml/2006/picture">
                <pic:pic xmlns:pic="http://schemas.openxmlformats.org/drawingml/2006/picture">
                  <pic:nvPicPr>
                    <pic:cNvPr id="7" name="C5538482-8FF6-4328-A061-77A7C677BA3F.png"/>
                    <pic:cNvPicPr/>
                  </pic:nvPicPr>
                  <pic:blipFill>
                    <a:blip r:embed="rId10"/>
                    <a:stretch>
                      <a:fillRect/>
                    </a:stretch>
                  </pic:blipFill>
                  <pic:spPr>
                    <a:xfrm>
                      <a:off x="0" y="0"/>
                      <a:ext cx="7124700" cy="6255295"/>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drawing>
          <wp:inline distT="0" distB="0" distL="0" distR="0">
            <wp:extent cx="7124700" cy="5785485"/>
            <wp:effectExtent l="0" t="0" r="0" b="0"/>
            <wp:docPr id="8" name="E43E4E3B-50EE-4579-838C-C0B107470B16.png"/>
            <wp:cNvGraphicFramePr/>
            <a:graphic xmlns:a="http://schemas.openxmlformats.org/drawingml/2006/main">
              <a:graphicData uri="http://schemas.openxmlformats.org/drawingml/2006/picture">
                <pic:pic xmlns:pic="http://schemas.openxmlformats.org/drawingml/2006/picture">
                  <pic:nvPicPr>
                    <pic:cNvPr id="8" name="E43E4E3B-50EE-4579-838C-C0B107470B16.png"/>
                    <pic:cNvPicPr/>
                  </pic:nvPicPr>
                  <pic:blipFill>
                    <a:blip r:embed="rId11"/>
                    <a:stretch>
                      <a:fillRect/>
                    </a:stretch>
                  </pic:blipFill>
                  <pic:spPr>
                    <a:xfrm>
                      <a:off x="0" y="0"/>
                      <a:ext cx="7124700" cy="5785527"/>
                    </a:xfrm>
                    <a:prstGeom prst="rect">
                      <a:avLst/>
                    </a:prstGeom>
                  </pic:spPr>
                </pic:pic>
              </a:graphicData>
            </a:graphic>
          </wp:inline>
        </w:drawing>
      </w:r>
    </w:p>
    <w:p>
      <w:pPr>
        <w:pageBreakBefore w:val="0"/>
        <w:kinsoku/>
        <w:wordWrap/>
        <w:overflowPunct/>
        <w:topLinePunct w:val="0"/>
        <w:autoSpaceDE/>
        <w:autoSpaceDN/>
        <w:bidi w:val="0"/>
        <w:adjustRightInd/>
        <w:snapToGrid/>
        <w:spacing w:before="0" w:beforeLines="100" w:after="0" w:afterLines="100"/>
        <w:jc w:val="center"/>
        <w:textAlignment w:val="auto"/>
        <w:rPr>
          <w:rFonts w:hint="eastAsia" w:ascii="微软雅黑" w:hAnsi="微软雅黑" w:eastAsia="微软雅黑" w:cs="微软雅黑"/>
          <w:color w:val="494949"/>
          <w:sz w:val="21"/>
          <w:szCs w:val="21"/>
        </w:rPr>
      </w:pPr>
      <w:r>
        <w:rPr>
          <w:rFonts w:hint="eastAsia" w:ascii="微软雅黑" w:hAnsi="微软雅黑" w:eastAsia="微软雅黑" w:cs="微软雅黑"/>
          <w:color w:val="494949"/>
          <w:sz w:val="21"/>
          <w:szCs w:val="21"/>
        </w:rPr>
        <w:t>图片来源：医疗器械临床评价技术指导原则</w:t>
      </w:r>
    </w:p>
    <w:p>
      <w:pPr>
        <w:pageBreakBefore w:val="0"/>
        <w:numPr>
          <w:numId w:val="0"/>
        </w:numPr>
        <w:kinsoku/>
        <w:wordWrap/>
        <w:overflowPunct/>
        <w:topLinePunct w:val="0"/>
        <w:autoSpaceDE/>
        <w:autoSpaceDN/>
        <w:bidi w:val="0"/>
        <w:adjustRightInd/>
        <w:snapToGrid/>
        <w:spacing w:before="0" w:beforeLines="100" w:after="0" w:afterLines="100"/>
        <w:ind w:leftChars="200"/>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sz w:val="21"/>
          <w:szCs w:val="21"/>
          <w:shd w:val="clear" w:color="auto" w:fill="FDFDFE"/>
          <w:lang w:val="en-US" w:eastAsia="zh-CN"/>
        </w:rPr>
        <w:t>4、</w:t>
      </w:r>
      <w:r>
        <w:rPr>
          <w:rFonts w:hint="eastAsia" w:ascii="微软雅黑" w:hAnsi="微软雅黑" w:eastAsia="微软雅黑" w:cs="微软雅黑"/>
          <w:b/>
          <w:color w:val="000000"/>
          <w:sz w:val="21"/>
          <w:szCs w:val="21"/>
          <w:shd w:val="clear" w:color="auto" w:fill="FDFDFE"/>
        </w:rPr>
        <w:t>临床数据分析评价</w:t>
      </w:r>
      <w:r>
        <w:rPr>
          <w:rFonts w:hint="eastAsia" w:ascii="微软雅黑" w:hAnsi="微软雅黑" w:eastAsia="微软雅黑" w:cs="微软雅黑"/>
          <w:color w:val="000000"/>
          <w:sz w:val="21"/>
          <w:szCs w:val="21"/>
          <w:shd w:val="clear" w:color="auto" w:fill="FDFDFE"/>
        </w:rPr>
        <w:t>：对同品种医疗器械的临床数据进行质量评价、数据集建立、统计分析、数据评价等，以确认其安全性和有效性。</w:t>
      </w:r>
    </w:p>
    <w:p>
      <w:pPr>
        <w:pageBreakBefore w:val="0"/>
        <w:numPr>
          <w:numId w:val="0"/>
        </w:numPr>
        <w:kinsoku/>
        <w:wordWrap/>
        <w:overflowPunct/>
        <w:topLinePunct w:val="0"/>
        <w:autoSpaceDE/>
        <w:autoSpaceDN/>
        <w:bidi w:val="0"/>
        <w:adjustRightInd/>
        <w:snapToGrid/>
        <w:spacing w:before="0" w:beforeLines="100" w:after="0" w:afterLines="100"/>
        <w:ind w:leftChars="200"/>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sz w:val="21"/>
          <w:szCs w:val="21"/>
          <w:shd w:val="clear" w:color="auto" w:fill="FDFDFE"/>
          <w:lang w:val="en-US" w:eastAsia="zh-CN"/>
        </w:rPr>
        <w:t>5、</w:t>
      </w:r>
      <w:r>
        <w:rPr>
          <w:rFonts w:hint="eastAsia" w:ascii="微软雅黑" w:hAnsi="微软雅黑" w:eastAsia="微软雅黑" w:cs="微软雅黑"/>
          <w:b/>
          <w:color w:val="000000"/>
          <w:sz w:val="21"/>
          <w:szCs w:val="21"/>
          <w:shd w:val="clear" w:color="auto" w:fill="FDFDFE"/>
        </w:rPr>
        <w:t>形成临床评价报告</w:t>
      </w:r>
      <w:r>
        <w:rPr>
          <w:rFonts w:hint="eastAsia" w:ascii="微软雅黑" w:hAnsi="微软雅黑" w:eastAsia="微软雅黑" w:cs="微软雅黑"/>
          <w:color w:val="000000"/>
          <w:sz w:val="21"/>
          <w:szCs w:val="21"/>
          <w:shd w:val="clear" w:color="auto" w:fill="FDFDFE"/>
        </w:rPr>
        <w:t>：</w:t>
      </w:r>
      <w:r>
        <w:rPr>
          <w:rFonts w:hint="eastAsia" w:ascii="微软雅黑" w:hAnsi="微软雅黑" w:eastAsia="微软雅黑" w:cs="微软雅黑"/>
          <w:b w:val="0"/>
          <w:color w:val="000000"/>
          <w:sz w:val="21"/>
          <w:szCs w:val="21"/>
          <w:shd w:val="clear" w:color="auto" w:fill="FDFDFE"/>
        </w:rPr>
        <w:t>综合上述分析，参考《医疗器械注册申报临床评价报告技术指导原则》附件的要求和格式，编写临床评价报告，作为医疗器械注册的依据</w:t>
      </w:r>
      <w:r>
        <w:rPr>
          <w:rFonts w:hint="eastAsia" w:ascii="微软雅黑" w:hAnsi="微软雅黑" w:eastAsia="微软雅黑" w:cs="微软雅黑"/>
          <w:color w:val="000000"/>
          <w:sz w:val="21"/>
          <w:szCs w:val="21"/>
          <w:shd w:val="clear" w:color="auto" w:fill="FDFDFE"/>
        </w:rPr>
        <w:t>。</w:t>
      </w:r>
    </w:p>
    <w:p>
      <w:pPr>
        <w:pStyle w:val="2"/>
        <w:pageBreakBefore w:val="0"/>
        <w:kinsoku/>
        <w:wordWrap/>
        <w:overflowPunct/>
        <w:topLinePunct w:val="0"/>
        <w:autoSpaceDE/>
        <w:autoSpaceDN/>
        <w:bidi w:val="0"/>
        <w:adjustRightInd/>
        <w:snapToGrid/>
        <w:spacing w:before="0" w:beforeLines="100" w:after="0" w:afterLine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b/>
          <w:color w:val="000000"/>
          <w:sz w:val="21"/>
          <w:szCs w:val="21"/>
          <w:shd w:val="clear" w:color="auto" w:fill="FDFDFE"/>
          <w:lang w:val="en-US" w:eastAsia="zh-CN"/>
        </w:rPr>
        <w:t>三、</w:t>
      </w:r>
      <w:r>
        <w:rPr>
          <w:rFonts w:hint="eastAsia" w:ascii="微软雅黑" w:hAnsi="微软雅黑" w:eastAsia="微软雅黑" w:cs="微软雅黑"/>
          <w:b/>
          <w:color w:val="000000"/>
          <w:sz w:val="21"/>
          <w:szCs w:val="21"/>
          <w:shd w:val="clear" w:color="auto" w:fill="FDFDFE"/>
        </w:rPr>
        <w:t>同品种比对数据获取及注意事项</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shd w:val="clear" w:color="auto" w:fill="FDFDFE"/>
        </w:rPr>
        <w:t>在获取和使用同品种比对数据时，应注意以下事项：</w:t>
      </w:r>
    </w:p>
    <w:p>
      <w:pPr>
        <w:pageBreakBefore w:val="0"/>
        <w:numPr>
          <w:ilvl w:val="0"/>
          <w:numId w:val="0"/>
        </w:numPr>
        <w:kinsoku/>
        <w:wordWrap/>
        <w:overflowPunct/>
        <w:topLinePunct w:val="0"/>
        <w:autoSpaceDE/>
        <w:autoSpaceDN/>
        <w:bidi w:val="0"/>
        <w:adjustRightInd/>
        <w:snapToGrid/>
        <w:spacing w:before="0" w:beforeLines="100" w:after="0" w:afterLines="100"/>
        <w:ind w:left="0" w:leftChars="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b/>
          <w:bCs/>
          <w:kern w:val="2"/>
          <w:sz w:val="21"/>
          <w:szCs w:val="21"/>
        </w:rPr>
        <w:t>1</w:t>
      </w:r>
      <w:r>
        <w:rPr>
          <w:rFonts w:hint="eastAsia" w:ascii="微软雅黑" w:hAnsi="微软雅黑" w:eastAsia="微软雅黑" w:cs="微软雅黑"/>
          <w:b/>
          <w:bCs/>
          <w:kern w:val="2"/>
          <w:sz w:val="21"/>
          <w:szCs w:val="21"/>
          <w:lang w:eastAsia="zh-CN"/>
        </w:rPr>
        <w:t>、</w:t>
      </w:r>
      <w:r>
        <w:rPr>
          <w:rFonts w:hint="eastAsia" w:ascii="微软雅黑" w:hAnsi="微软雅黑" w:eastAsia="微软雅黑" w:cs="微软雅黑"/>
          <w:b/>
          <w:bCs/>
          <w:color w:val="000000"/>
          <w:sz w:val="21"/>
          <w:szCs w:val="21"/>
          <w:shd w:val="clear" w:color="auto" w:fill="FDFDFE"/>
        </w:rPr>
        <w:t>数据合法性：</w:t>
      </w:r>
      <w:r>
        <w:rPr>
          <w:rFonts w:hint="eastAsia" w:ascii="微软雅黑" w:hAnsi="微软雅黑" w:eastAsia="微软雅黑" w:cs="微软雅黑"/>
          <w:color w:val="000000"/>
          <w:sz w:val="21"/>
          <w:szCs w:val="21"/>
          <w:shd w:val="clear" w:color="auto" w:fill="FDFDFE"/>
        </w:rPr>
        <w:t>确保所使用数据的合法性和真实性，避免侵犯他人知识产权。</w:t>
      </w:r>
    </w:p>
    <w:p>
      <w:pPr>
        <w:pageBreakBefore w:val="0"/>
        <w:numPr>
          <w:ilvl w:val="0"/>
          <w:numId w:val="0"/>
        </w:numPr>
        <w:kinsoku/>
        <w:wordWrap/>
        <w:overflowPunct/>
        <w:topLinePunct w:val="0"/>
        <w:autoSpaceDE/>
        <w:autoSpaceDN/>
        <w:bidi w:val="0"/>
        <w:adjustRightInd/>
        <w:snapToGrid/>
        <w:spacing w:before="0" w:beforeLines="100" w:after="0" w:afterLines="100"/>
        <w:ind w:left="0" w:leftChars="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b/>
          <w:bCs/>
          <w:kern w:val="2"/>
          <w:sz w:val="21"/>
          <w:szCs w:val="21"/>
        </w:rPr>
        <w:t>2</w:t>
      </w:r>
      <w:r>
        <w:rPr>
          <w:rFonts w:hint="eastAsia" w:ascii="微软雅黑" w:hAnsi="微软雅黑" w:eastAsia="微软雅黑" w:cs="微软雅黑"/>
          <w:b/>
          <w:bCs/>
          <w:kern w:val="2"/>
          <w:sz w:val="21"/>
          <w:szCs w:val="21"/>
          <w:lang w:eastAsia="zh-CN"/>
        </w:rPr>
        <w:t>、</w:t>
      </w:r>
      <w:r>
        <w:rPr>
          <w:rFonts w:hint="eastAsia" w:ascii="微软雅黑" w:hAnsi="微软雅黑" w:eastAsia="微软雅黑" w:cs="微软雅黑"/>
          <w:b/>
          <w:bCs/>
          <w:color w:val="000000"/>
          <w:sz w:val="21"/>
          <w:szCs w:val="21"/>
          <w:shd w:val="clear" w:color="auto" w:fill="FDFDFE"/>
        </w:rPr>
        <w:t>数据全面性：</w:t>
      </w:r>
      <w:r>
        <w:rPr>
          <w:rFonts w:hint="eastAsia" w:ascii="微软雅黑" w:hAnsi="微软雅黑" w:eastAsia="微软雅黑" w:cs="微软雅黑"/>
          <w:color w:val="000000"/>
          <w:sz w:val="21"/>
          <w:szCs w:val="21"/>
          <w:shd w:val="clear" w:color="auto" w:fill="FDFDFE"/>
        </w:rPr>
        <w:t>尽可能收集全面的同品种比对数据，以保证分析结果的准确性和可靠性。</w:t>
      </w:r>
    </w:p>
    <w:p>
      <w:pPr>
        <w:pageBreakBefore w:val="0"/>
        <w:numPr>
          <w:ilvl w:val="0"/>
          <w:numId w:val="0"/>
        </w:numPr>
        <w:kinsoku/>
        <w:wordWrap/>
        <w:overflowPunct/>
        <w:topLinePunct w:val="0"/>
        <w:autoSpaceDE/>
        <w:autoSpaceDN/>
        <w:bidi w:val="0"/>
        <w:adjustRightInd/>
        <w:snapToGrid/>
        <w:spacing w:before="0" w:beforeLines="100" w:after="0" w:afterLines="100"/>
        <w:ind w:left="0" w:leftChars="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b/>
          <w:bCs/>
          <w:kern w:val="2"/>
          <w:sz w:val="21"/>
          <w:szCs w:val="21"/>
        </w:rPr>
        <w:t>3</w:t>
      </w:r>
      <w:r>
        <w:rPr>
          <w:rFonts w:hint="eastAsia" w:ascii="微软雅黑" w:hAnsi="微软雅黑" w:eastAsia="微软雅黑" w:cs="微软雅黑"/>
          <w:b/>
          <w:bCs/>
          <w:kern w:val="2"/>
          <w:sz w:val="21"/>
          <w:szCs w:val="21"/>
          <w:lang w:eastAsia="zh-CN"/>
        </w:rPr>
        <w:t>、</w:t>
      </w:r>
      <w:r>
        <w:rPr>
          <w:rFonts w:hint="eastAsia" w:ascii="微软雅黑" w:hAnsi="微软雅黑" w:eastAsia="微软雅黑" w:cs="微软雅黑"/>
          <w:b/>
          <w:bCs/>
          <w:color w:val="000000"/>
          <w:sz w:val="21"/>
          <w:szCs w:val="21"/>
          <w:shd w:val="clear" w:color="auto" w:fill="FDFDFE"/>
        </w:rPr>
        <w:t>数据时效性</w:t>
      </w:r>
      <w:r>
        <w:rPr>
          <w:rFonts w:hint="eastAsia" w:ascii="微软雅黑" w:hAnsi="微软雅黑" w:eastAsia="微软雅黑" w:cs="微软雅黑"/>
          <w:color w:val="000000"/>
          <w:sz w:val="21"/>
          <w:szCs w:val="21"/>
          <w:shd w:val="clear" w:color="auto" w:fill="FDFDFE"/>
        </w:rPr>
        <w:t>：关注同品种医疗器械的最新研究进展和临床数据更新，确保比对分析结果的时效性。</w:t>
      </w:r>
    </w:p>
    <w:p>
      <w:pPr>
        <w:pageBreakBefore w:val="0"/>
        <w:numPr>
          <w:ilvl w:val="0"/>
          <w:numId w:val="0"/>
        </w:numPr>
        <w:kinsoku/>
        <w:wordWrap/>
        <w:overflowPunct/>
        <w:topLinePunct w:val="0"/>
        <w:autoSpaceDE/>
        <w:autoSpaceDN/>
        <w:bidi w:val="0"/>
        <w:adjustRightInd/>
        <w:snapToGrid/>
        <w:spacing w:before="0" w:beforeLines="100" w:after="0" w:afterLines="100"/>
        <w:ind w:left="0" w:leftChars="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b/>
          <w:bCs/>
          <w:kern w:val="2"/>
          <w:sz w:val="21"/>
          <w:szCs w:val="21"/>
        </w:rPr>
        <w:t>4</w:t>
      </w:r>
      <w:r>
        <w:rPr>
          <w:rFonts w:hint="eastAsia" w:ascii="微软雅黑" w:hAnsi="微软雅黑" w:eastAsia="微软雅黑" w:cs="微软雅黑"/>
          <w:b/>
          <w:bCs/>
          <w:kern w:val="2"/>
          <w:sz w:val="21"/>
          <w:szCs w:val="21"/>
          <w:lang w:eastAsia="zh-CN"/>
        </w:rPr>
        <w:t>、</w:t>
      </w:r>
      <w:r>
        <w:rPr>
          <w:rFonts w:hint="eastAsia" w:ascii="微软雅黑" w:hAnsi="微软雅黑" w:eastAsia="微软雅黑" w:cs="微软雅黑"/>
          <w:b/>
          <w:bCs/>
          <w:color w:val="000000"/>
          <w:sz w:val="21"/>
          <w:szCs w:val="21"/>
          <w:shd w:val="clear" w:color="auto" w:fill="FDFDFE"/>
        </w:rPr>
        <w:t>合规性：</w:t>
      </w:r>
      <w:r>
        <w:rPr>
          <w:rFonts w:hint="eastAsia" w:ascii="微软雅黑" w:hAnsi="微软雅黑" w:eastAsia="微软雅黑" w:cs="微软雅黑"/>
          <w:color w:val="000000"/>
          <w:sz w:val="21"/>
          <w:szCs w:val="21"/>
          <w:shd w:val="clear" w:color="auto" w:fill="FDFDFE"/>
        </w:rPr>
        <w:t>在整个同品种比对过程中，应严格遵守相关法律法规和监管要求，确保注册过程的合规性。</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shd w:val="clear" w:color="auto" w:fill="FDFDFE"/>
        </w:rPr>
        <w:t>由于医疗器械产品的这些信息过于分散，在实际工作中，绝大多数产品的相关信息都很难快速找到。因此，同品种比对产品数据的获取成为广大医疗器械注册人进行同品种比对的主要难点。</w:t>
      </w:r>
    </w:p>
    <w:p>
      <w:pPr>
        <w:pageBreakBefore w:val="0"/>
        <w:kinsoku/>
        <w:wordWrap/>
        <w:overflowPunct/>
        <w:topLinePunct w:val="0"/>
        <w:autoSpaceDE/>
        <w:autoSpaceDN/>
        <w:bidi w:val="0"/>
        <w:adjustRightInd/>
        <w:snapToGrid/>
        <w:spacing w:before="0" w:beforeLines="100" w:after="0" w:afterLines="100"/>
        <w:ind w:left="0" w:firstLine="420" w:firstLineChars="200"/>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shd w:val="clear" w:color="auto" w:fill="FDFDFE"/>
        </w:rPr>
        <w:t>药智医械数据可以提供大量医疗器械企业产品注册过程中所需的产品专利信息、文献资料、技术要求、性能指标、说明书、发补记录、临床数据、注册数据等，相关信息大多来源于官方及企业公开信息，经过药智网加工整合处理，让用户检索更高效。建议大家在资料收集阶段多使用药智医械数据等专业数据库，可以让我们的注册工作事半功倍。</w:t>
      </w:r>
      <w:r>
        <w:rPr>
          <w:rFonts w:hint="eastAsia" w:ascii="微软雅黑" w:hAnsi="微软雅黑" w:eastAsia="微软雅黑" w:cs="微软雅黑"/>
          <w:color w:val="494949"/>
          <w:sz w:val="21"/>
          <w:szCs w:val="21"/>
        </w:rPr>
        <w:t>欢迎感兴趣的朋友前往药智医械数据深度体验了解！</w:t>
      </w:r>
      <w:bookmarkStart w:id="0" w:name="_GoBack"/>
      <w:bookmarkEnd w:id="0"/>
    </w:p>
    <w:sectPr>
      <w:pgSz w:w="13380" w:h="16905"/>
      <w:pgMar w:top="1440" w:right="1080" w:bottom="1440" w:left="1080" w:header="850" w:footer="99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3B797"/>
    <w:multiLevelType w:val="multilevel"/>
    <w:tmpl w:val="8E73B797"/>
    <w:lvl w:ilvl="0" w:tentative="0">
      <w:start w:val="1"/>
      <w:numFmt w:val="bullet"/>
      <w:lvlText w:val=""/>
      <w:lvlJc w:val="left"/>
      <w:pPr>
        <w:tabs>
          <w:tab w:val="left" w:pos="420"/>
        </w:tabs>
        <w:ind w:left="840" w:hanging="420"/>
      </w:pPr>
      <w:rPr>
        <w:rFonts w:hint="default" w:ascii="Wingdings" w:hAnsi="Wingdings"/>
      </w:rPr>
    </w:lvl>
    <w:lvl w:ilvl="1" w:tentative="0">
      <w:start w:val="1"/>
      <w:numFmt w:val="bullet"/>
      <w:lvlText w:val=""/>
      <w:lvlJc w:val="left"/>
      <w:pPr>
        <w:tabs>
          <w:tab w:val="left" w:pos="840"/>
        </w:tabs>
        <w:ind w:left="1260" w:leftChars="0" w:hanging="420" w:firstLineChars="0"/>
      </w:pPr>
      <w:rPr>
        <w:rFonts w:hint="default" w:ascii="Wingdings" w:hAnsi="Wingdings"/>
      </w:rPr>
    </w:lvl>
    <w:lvl w:ilvl="2" w:tentative="0">
      <w:start w:val="1"/>
      <w:numFmt w:val="bullet"/>
      <w:lvlText w:val=""/>
      <w:lvlJc w:val="left"/>
      <w:pPr>
        <w:tabs>
          <w:tab w:val="left" w:pos="1260"/>
        </w:tabs>
        <w:ind w:left="1680" w:leftChars="0" w:hanging="420" w:firstLineChars="0"/>
      </w:pPr>
      <w:rPr>
        <w:rFonts w:hint="default" w:ascii="Wingdings" w:hAnsi="Wingdings"/>
      </w:rPr>
    </w:lvl>
    <w:lvl w:ilvl="3" w:tentative="0">
      <w:start w:val="1"/>
      <w:numFmt w:val="bullet"/>
      <w:lvlText w:val=""/>
      <w:lvlJc w:val="left"/>
      <w:pPr>
        <w:tabs>
          <w:tab w:val="left" w:pos="1680"/>
        </w:tabs>
        <w:ind w:left="2100" w:leftChars="0" w:hanging="420" w:firstLineChars="0"/>
      </w:pPr>
      <w:rPr>
        <w:rFonts w:hint="default" w:ascii="Wingdings" w:hAnsi="Wingdings"/>
      </w:rPr>
    </w:lvl>
    <w:lvl w:ilvl="4" w:tentative="0">
      <w:start w:val="1"/>
      <w:numFmt w:val="bullet"/>
      <w:lvlText w:val=""/>
      <w:lvlJc w:val="left"/>
      <w:pPr>
        <w:tabs>
          <w:tab w:val="left" w:pos="2100"/>
        </w:tabs>
        <w:ind w:left="2520" w:leftChars="0" w:hanging="420" w:firstLineChars="0"/>
      </w:pPr>
      <w:rPr>
        <w:rFonts w:hint="default" w:ascii="Wingdings" w:hAnsi="Wingdings"/>
      </w:rPr>
    </w:lvl>
    <w:lvl w:ilvl="5" w:tentative="0">
      <w:start w:val="1"/>
      <w:numFmt w:val="bullet"/>
      <w:lvlText w:val=""/>
      <w:lvlJc w:val="left"/>
      <w:pPr>
        <w:tabs>
          <w:tab w:val="left" w:pos="2520"/>
        </w:tabs>
        <w:ind w:left="2940" w:leftChars="0" w:hanging="420" w:firstLineChars="0"/>
      </w:pPr>
      <w:rPr>
        <w:rFonts w:hint="default" w:ascii="Wingdings" w:hAnsi="Wingdings"/>
      </w:rPr>
    </w:lvl>
    <w:lvl w:ilvl="6" w:tentative="0">
      <w:start w:val="1"/>
      <w:numFmt w:val="bullet"/>
      <w:lvlText w:val=""/>
      <w:lvlJc w:val="left"/>
      <w:pPr>
        <w:tabs>
          <w:tab w:val="left" w:pos="2940"/>
        </w:tabs>
        <w:ind w:left="3360" w:leftChars="0" w:hanging="420" w:firstLineChars="0"/>
      </w:pPr>
      <w:rPr>
        <w:rFonts w:hint="default" w:ascii="Wingdings" w:hAnsi="Wingdings"/>
      </w:rPr>
    </w:lvl>
    <w:lvl w:ilvl="7" w:tentative="0">
      <w:start w:val="1"/>
      <w:numFmt w:val="bullet"/>
      <w:lvlText w:val=""/>
      <w:lvlJc w:val="left"/>
      <w:pPr>
        <w:tabs>
          <w:tab w:val="left" w:pos="3360"/>
        </w:tabs>
        <w:ind w:left="3780" w:leftChars="0" w:hanging="420" w:firstLineChars="0"/>
      </w:pPr>
      <w:rPr>
        <w:rFonts w:hint="default" w:ascii="Wingdings" w:hAnsi="Wingdings"/>
      </w:rPr>
    </w:lvl>
    <w:lvl w:ilvl="8" w:tentative="0">
      <w:start w:val="1"/>
      <w:numFmt w:val="bullet"/>
      <w:lvlText w:val=""/>
      <w:lvlJc w:val="left"/>
      <w:pPr>
        <w:tabs>
          <w:tab w:val="left" w:pos="3780"/>
        </w:tabs>
        <w:ind w:left="4200" w:leftChars="0" w:hanging="420" w:firstLineChars="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FhZDA2ZGIwODkzY2JmNGUzZGFlZjRmMDJmMGY1ZDQifQ=="/>
    <w:docVar w:name="KSO_WPS_MARK_KEY" w:val="f4868f7e-8249-48d0-a042-b7ba508054b7"/>
  </w:docVars>
  <w:rsids>
    <w:rsidRoot w:val="00000000"/>
    <w:rsid w:val="47C518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rPr>
  </w:style>
  <w:style w:type="paragraph" w:styleId="2">
    <w:name w:val="heading 1"/>
    <w:next w:val="1"/>
    <w:uiPriority w:val="0"/>
    <w:pPr>
      <w:keepNext/>
      <w:keepLines/>
      <w:spacing w:before="348" w:after="210"/>
    </w:pPr>
    <w:rPr>
      <w:rFonts w:asciiTheme="minorHAnsi" w:hAnsiTheme="minorHAnsi" w:eastAsiaTheme="minorEastAsia" w:cstheme="minorBidi"/>
      <w:b/>
      <w:kern w:val="2"/>
      <w:sz w:val="34"/>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style>
  <w:style w:type="paragraph" w:customStyle="1" w:styleId="6">
    <w:name w:val="dingdocnormal"/>
    <w:qFormat/>
    <w:uiPriority w:val="0"/>
    <w:rPr>
      <w:rFonts w:asciiTheme="minorHAnsi" w:hAnsiTheme="minorHAnsi" w:eastAsiaTheme="minorEastAsia" w:cstheme="minorBidi"/>
      <w:kern w:val="2"/>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1955</Words>
  <Characters>2066</Characters>
  <TotalTime>105</TotalTime>
  <ScaleCrop>false</ScaleCrop>
  <LinksUpToDate>false</LinksUpToDate>
  <CharactersWithSpaces>2072</CharactersWithSpaces>
  <Application>WPS Office_11.1.0.15319_F1E327BC-269C-435d-A152-05C5408002CA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1970-01-01T00:00:00Z</dcterms:created>
  <dc:creator>DingTalk</dc:creator>
  <dc:description>DingTalk Document</dc:description>
  <cp:lastModifiedBy>零度℃</cp:lastModifiedBy>
  <dcterms:modified xsi:type="dcterms:W3CDTF">2025-03-18T05:36:45Z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84F12314327348B690AF2D4BF601E968_12</vt:lpwstr>
  </property>
</Properties>
</file>