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79BA5">
      <w:pPr>
        <w:pStyle w:val="146"/>
        <w:rPr>
          <w:lang w:eastAsia="zh-CN"/>
        </w:rPr>
      </w:pPr>
      <w:bookmarkStart w:id="0" w:name="_Toc438987549"/>
      <w:bookmarkStart w:id="1" w:name="OLE_LINK15"/>
      <w:bookmarkStart w:id="2" w:name="_Toc517262917"/>
      <w:bookmarkStart w:id="3" w:name="_Toc415142861"/>
      <w:bookmarkStart w:id="4" w:name="OLE_LINK13"/>
      <w:bookmarkStart w:id="5" w:name="_Toc453597319"/>
      <w:bookmarkStart w:id="6" w:name="_Toc415818939"/>
      <w:bookmarkStart w:id="7" w:name="OLE_LINK40"/>
      <w:bookmarkStart w:id="8" w:name="_Toc418070112"/>
      <w:bookmarkStart w:id="9" w:name="OLE_LINK24"/>
      <w:bookmarkStart w:id="10" w:name="_Toc415143481"/>
      <w:bookmarkStart w:id="11" w:name="_Toc481801204"/>
      <w:bookmarkStart w:id="12" w:name="OLE_LINK39"/>
      <w:r>
        <w:drawing>
          <wp:inline distT="0" distB="0" distL="114300" distR="114300">
            <wp:extent cx="6187440" cy="4401820"/>
            <wp:effectExtent l="0" t="0" r="38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44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激光焊接头是激光焊接设备的核心组件，负责将激光器产生的高能量激光束高效地聚焦到工件表面特定区域，利用其能量将材料熔化并连接起来，实现精密、高速、高质量的焊接，它集光学聚焦、气体保护、监控反馈等功能于一体，是实现自动化焊接的关键部件</w:t>
      </w:r>
      <w:r>
        <w:rPr>
          <w:rFonts w:hint="eastAsia"/>
          <w:lang w:val="en-US" w:eastAsia="zh-CN"/>
        </w:rPr>
        <w:t>。</w:t>
      </w:r>
    </w:p>
    <w:p w14:paraId="1BEAA74A">
      <w:pPr>
        <w:pStyle w:val="149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激光焊接头产品图片</w:t>
      </w:r>
    </w:p>
    <w:p w14:paraId="14208B04">
      <w:pPr>
        <w:pStyle w:val="146"/>
        <w:rPr>
          <w:lang w:val="en-US" w:eastAsia="zh-CN"/>
        </w:rPr>
      </w:pPr>
      <w:r>
        <w:drawing>
          <wp:inline distT="0" distB="0" distL="0" distR="0">
            <wp:extent cx="4197350" cy="2686050"/>
            <wp:effectExtent l="0" t="0" r="0" b="0"/>
            <wp:docPr id="4614274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2746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01368" cy="268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F822F">
      <w:pPr>
        <w:pStyle w:val="144"/>
        <w:rPr>
          <w:lang w:eastAsia="zh-CN"/>
        </w:rPr>
      </w:pPr>
      <w:r>
        <w:rPr>
          <w:rFonts w:hint="eastAsia"/>
          <w:lang w:eastAsia="zh-CN"/>
        </w:rPr>
        <w:t>来源：QYResearch 电子与半导体研究中心</w:t>
      </w:r>
    </w:p>
    <w:p w14:paraId="73E56126">
      <w:pPr>
        <w:pStyle w:val="146"/>
        <w:rPr>
          <w:lang w:val="en-US"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2年全球激光焊接头市场规模将达到</w:t>
      </w:r>
      <w:r>
        <w:rPr>
          <w:rFonts w:hint="eastAsia"/>
          <w:lang w:val="en-US" w:eastAsia="zh-CN"/>
        </w:rPr>
        <w:t>238.89百万</w:t>
      </w:r>
      <w:r>
        <w:rPr>
          <w:rFonts w:hint="eastAsia"/>
          <w:lang w:eastAsia="zh-CN"/>
        </w:rPr>
        <w:t>美元，未来几年年复合增长率CAGR为</w:t>
      </w:r>
      <w:r>
        <w:rPr>
          <w:rFonts w:hint="eastAsia"/>
          <w:lang w:val="en-US" w:eastAsia="zh-CN"/>
        </w:rPr>
        <w:t>5.97</w:t>
      </w:r>
      <w:r>
        <w:rPr>
          <w:rFonts w:hint="eastAsia"/>
          <w:lang w:eastAsia="zh-CN"/>
        </w:rPr>
        <w:t>%（</w:t>
      </w:r>
      <w:r>
        <w:rPr>
          <w:lang w:eastAsia="zh-CN"/>
        </w:rPr>
        <w:t>202</w:t>
      </w:r>
      <w:r>
        <w:rPr>
          <w:rFonts w:hint="eastAsia"/>
          <w:lang w:eastAsia="zh-CN"/>
        </w:rPr>
        <w:t>6</w:t>
      </w:r>
      <w:r>
        <w:rPr>
          <w:lang w:eastAsia="zh-CN"/>
        </w:rPr>
        <w:t>-203</w:t>
      </w:r>
      <w:r>
        <w:rPr>
          <w:rFonts w:hint="eastAsia"/>
          <w:lang w:eastAsia="zh-CN"/>
        </w:rPr>
        <w:t>2）。</w:t>
      </w:r>
    </w:p>
    <w:p w14:paraId="41CCD48F">
      <w:pPr>
        <w:pStyle w:val="149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激光焊接头，全球市场总体规模</w:t>
      </w:r>
    </w:p>
    <w:p w14:paraId="6A033F33">
      <w:pPr>
        <w:pStyle w:val="144"/>
        <w:jc w:val="center"/>
        <w:rPr>
          <w:lang w:val="en-US" w:eastAsia="zh-CN"/>
        </w:rPr>
      </w:pPr>
      <w:r>
        <w:drawing>
          <wp:inline distT="0" distB="0" distL="0" distR="0">
            <wp:extent cx="6188710" cy="2950210"/>
            <wp:effectExtent l="0" t="0" r="2540" b="2540"/>
            <wp:docPr id="107249143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0DFB2D9">
      <w:pPr>
        <w:pStyle w:val="144"/>
        <w:rPr>
          <w:lang w:eastAsia="zh-CN"/>
        </w:rPr>
      </w:pPr>
      <w:r>
        <w:rPr>
          <w:rFonts w:hint="eastAsia"/>
          <w:lang w:eastAsia="zh-CN"/>
        </w:rPr>
        <w:t>来源：QYResearch电子与半导体研究中心</w:t>
      </w:r>
    </w:p>
    <w:p w14:paraId="40DCE47B">
      <w:pPr>
        <w:pStyle w:val="149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全球激光焊接头市场前13强生产商排名及市场占有率（基于2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5年调研数据；目前最新数据以本公司最新调研数据为准）</w:t>
      </w:r>
    </w:p>
    <w:p w14:paraId="75361E9E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412615" cy="3911600"/>
            <wp:effectExtent l="4445" t="4445" r="21590" b="8255"/>
            <wp:docPr id="194481629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8418EBB">
      <w:pPr>
        <w:pStyle w:val="144"/>
        <w:rPr>
          <w:lang w:eastAsia="zh-CN"/>
        </w:rPr>
      </w:pPr>
      <w:r>
        <w:rPr>
          <w:rFonts w:hint="eastAsia"/>
          <w:lang w:eastAsia="zh-CN"/>
        </w:rPr>
        <w:t>来源：QYResearch电子与半导体研究中心。行业处于不断变动之中，最新数据请联系QYResearch咨询。</w:t>
      </w:r>
    </w:p>
    <w:p w14:paraId="0D54FFA4">
      <w:pPr>
        <w:pStyle w:val="146"/>
        <w:rPr>
          <w:lang w:eastAsia="zh-CN"/>
        </w:rPr>
      </w:pPr>
      <w:r>
        <w:rPr>
          <w:rFonts w:hint="eastAsia"/>
          <w:lang w:eastAsia="zh-CN"/>
        </w:rPr>
        <w:t>全球范围内，激光焊接头主要生产商包括</w:t>
      </w:r>
      <w:bookmarkStart w:id="13" w:name="_Hlk215673326"/>
      <w:bookmarkStart w:id="14" w:name="_Hlk214458047"/>
      <w:r>
        <w:rPr>
          <w:lang w:eastAsia="zh-CN"/>
        </w:rPr>
        <w:t>Precitec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大族激光</w:t>
      </w:r>
      <w:r>
        <w:rPr>
          <w:lang w:eastAsia="zh-CN"/>
        </w:rPr>
        <w:t>, Coherent,</w:t>
      </w:r>
      <w:r>
        <w:rPr>
          <w:rFonts w:hint="eastAsia"/>
          <w:lang w:eastAsia="zh-CN"/>
        </w:rPr>
        <w:t xml:space="preserve"> 嘉强, </w:t>
      </w:r>
      <w:bookmarkEnd w:id="13"/>
      <w:bookmarkEnd w:id="14"/>
      <w:r>
        <w:rPr>
          <w:lang w:eastAsia="zh-CN"/>
        </w:rPr>
        <w:t>TRUMPF</w:t>
      </w:r>
      <w:r>
        <w:rPr>
          <w:rFonts w:hint="eastAsia"/>
          <w:lang w:eastAsia="zh-CN"/>
        </w:rPr>
        <w:t>等，前三大厂商占有约38%的市场收入份额。</w:t>
      </w:r>
    </w:p>
    <w:p w14:paraId="10DFE436">
      <w:pPr>
        <w:pStyle w:val="149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激光焊接头，全球市场规模，按产品类型细分</w:t>
      </w:r>
    </w:p>
    <w:p w14:paraId="7842B6D8">
      <w:pPr>
        <w:pStyle w:val="146"/>
        <w:jc w:val="center"/>
        <w:rPr>
          <w:lang w:val="en-US" w:eastAsia="zh-CN"/>
        </w:rPr>
      </w:pPr>
      <w:r>
        <w:drawing>
          <wp:inline distT="0" distB="0" distL="0" distR="0">
            <wp:extent cx="6188710" cy="3500120"/>
            <wp:effectExtent l="0" t="0" r="2540" b="5080"/>
            <wp:docPr id="52877978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26D6465">
      <w:pPr>
        <w:pStyle w:val="144"/>
        <w:rPr>
          <w:lang w:eastAsia="zh-CN"/>
        </w:rPr>
      </w:pPr>
      <w:r>
        <w:rPr>
          <w:rFonts w:hint="eastAsia"/>
          <w:lang w:eastAsia="zh-CN"/>
        </w:rPr>
        <w:t>来源：QYResearch电子与半导体研究中心</w:t>
      </w:r>
    </w:p>
    <w:p w14:paraId="29B14E22">
      <w:pPr>
        <w:pStyle w:val="146"/>
        <w:rPr>
          <w:lang w:eastAsia="zh-CN"/>
        </w:rPr>
      </w:pPr>
      <w:r>
        <w:rPr>
          <w:rFonts w:hint="eastAsia"/>
          <w:lang w:eastAsia="zh-CN"/>
        </w:rPr>
        <w:t>就产品类型而言，目前振镜扫描式焊接头是最主要的需求来源，占据大约51%的收入份额。</w:t>
      </w:r>
      <w:bookmarkStart w:id="15" w:name="_GoBack"/>
      <w:bookmarkEnd w:id="15"/>
    </w:p>
    <w:p w14:paraId="6F2BF327">
      <w:pPr>
        <w:pStyle w:val="149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激光焊接头，全球市场规模，按应用细分</w:t>
      </w:r>
    </w:p>
    <w:p w14:paraId="041C07C6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101351968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262D9EC">
      <w:pPr>
        <w:pStyle w:val="144"/>
        <w:rPr>
          <w:lang w:eastAsia="zh-CN"/>
        </w:rPr>
      </w:pPr>
      <w:r>
        <w:rPr>
          <w:rFonts w:hint="eastAsia"/>
          <w:lang w:eastAsia="zh-CN"/>
        </w:rPr>
        <w:t>来源：QYResearch电子与半导体研究中心</w:t>
      </w:r>
    </w:p>
    <w:p w14:paraId="654F05E7">
      <w:pPr>
        <w:pStyle w:val="146"/>
        <w:rPr>
          <w:lang w:eastAsia="zh-CN"/>
        </w:rPr>
      </w:pPr>
      <w:r>
        <w:rPr>
          <w:rFonts w:hint="eastAsia"/>
          <w:lang w:eastAsia="zh-CN"/>
        </w:rPr>
        <w:t>就产品应用而言，目前汽车是最主要的需求来源，占据大约48%的收入份额。</w:t>
      </w:r>
    </w:p>
    <w:p w14:paraId="62DB571C">
      <w:pPr>
        <w:pStyle w:val="146"/>
        <w:rPr>
          <w:lang w:val="en-US" w:eastAsia="zh-CN"/>
        </w:rPr>
      </w:pPr>
    </w:p>
    <w:p w14:paraId="23A26096">
      <w:pPr>
        <w:pStyle w:val="146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驱动因素</w:t>
      </w:r>
      <w:r>
        <w:rPr>
          <w:b/>
          <w:bCs/>
          <w:lang w:eastAsia="zh-CN"/>
        </w:rPr>
        <w:t>:</w:t>
      </w:r>
    </w:p>
    <w:p w14:paraId="528DD185">
      <w:pPr>
        <w:pStyle w:val="146"/>
        <w:rPr>
          <w:bCs/>
          <w:lang w:val="en-US" w:eastAsia="zh-CN"/>
        </w:rPr>
      </w:pPr>
      <w:r>
        <w:rPr>
          <w:rFonts w:hint="eastAsia"/>
          <w:bCs/>
          <w:lang w:val="en-US" w:eastAsia="zh-CN"/>
        </w:rPr>
        <w:t>较电弧/MIG/TIG等传统熔焊，激光焊接的光束能量高度集中，可实现深而窄的熔深与更小的热影响区，因此热输入更低、工件热变形与性能损失更小，薄板与精密件更容易获得外观整洁、尺寸稳定的焊缝。同时激光焊通常焊接速度更快、可实现单道高穿透与高质量连接，适合高节拍量产。</w:t>
      </w:r>
    </w:p>
    <w:p w14:paraId="44A14800">
      <w:pPr>
        <w:pStyle w:val="146"/>
        <w:rPr>
          <w:rFonts w:hint="eastAsia"/>
          <w:lang w:val="en-US" w:eastAsia="zh-CN"/>
        </w:rPr>
      </w:pPr>
      <w:r>
        <w:rPr>
          <w:rFonts w:hint="eastAsia"/>
          <w:bCs/>
          <w:lang w:val="en-US" w:eastAsia="zh-CN"/>
        </w:rPr>
        <w:t>近几年，激光焊接在动力电池、汽车、消费电子等精细微加工领域和航空发动机、火箭飞行器、汽车发动机等零部件结构高度复杂的尖端科技领域的应用逐渐增多，激光焊接设备迎来了新的发展机遇。</w:t>
      </w:r>
    </w:p>
    <w:p w14:paraId="2E2C706D">
      <w:pPr>
        <w:pStyle w:val="146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阻碍因素</w:t>
      </w:r>
      <w:r>
        <w:rPr>
          <w:b/>
          <w:bCs/>
          <w:lang w:eastAsia="zh-CN"/>
        </w:rPr>
        <w:t>:</w:t>
      </w:r>
    </w:p>
    <w:p w14:paraId="373A2D13">
      <w:pPr>
        <w:pStyle w:val="146"/>
        <w:rPr>
          <w:rFonts w:hint="eastAsia"/>
          <w:lang w:val="en-US" w:eastAsia="zh-CN"/>
        </w:rPr>
      </w:pPr>
      <w:r>
        <w:rPr>
          <w:rFonts w:hint="eastAsia"/>
          <w:bCs/>
          <w:lang w:val="en-US" w:eastAsia="zh-CN"/>
        </w:rPr>
        <w:t>尽管国内厂商在中低功率市场已实现高度国产化，但在超高功率石英基材、特种光学镀膜及高端扫描振镜等核心上游领域，依然面临严峻的供应风险。这种对海外单一供应源的依赖，不仅使得原材料成本受汇率和关税波动影响剧烈，更在极端情况下可能导致产线停摆。</w:t>
      </w:r>
    </w:p>
    <w:p w14:paraId="68234A6B">
      <w:pPr>
        <w:pStyle w:val="146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行业发展趋势</w:t>
      </w:r>
      <w:r>
        <w:rPr>
          <w:b/>
          <w:bCs/>
          <w:lang w:eastAsia="zh-CN"/>
        </w:rPr>
        <w:t>:</w:t>
      </w:r>
    </w:p>
    <w:p w14:paraId="1E5C0831">
      <w:pPr>
        <w:pStyle w:val="146"/>
        <w:rPr>
          <w:lang w:val="en-US" w:eastAsia="zh-CN"/>
        </w:rPr>
      </w:pPr>
      <w:r>
        <w:rPr>
          <w:rFonts w:hint="eastAsia"/>
          <w:lang w:val="en-US" w:eastAsia="zh-CN"/>
        </w:rPr>
        <w:t>智能化与自动化融合：未来，激光焊接技术将与先进的智能化系统深度融合。借助传感器技术、机器视觉系统以及人工智能算法，焊接设备能够实时监测焊接过程中的各种参数，从而实现高度自动化和智能化的焊接操作。</w:t>
      </w:r>
    </w:p>
    <w:p w14:paraId="655BC1DB">
      <w:pPr>
        <w:pStyle w:val="146"/>
        <w:rPr>
          <w:lang w:eastAsia="zh-CN"/>
        </w:rPr>
      </w:pPr>
      <w:r>
        <w:rPr>
          <w:rFonts w:hint="eastAsia"/>
          <w:lang w:eastAsia="zh-CN"/>
        </w:rPr>
        <w:t>多材料焊接能力拓展：</w:t>
      </w:r>
      <w:r>
        <w:rPr>
          <w:lang w:val="en-US" w:eastAsia="zh-CN"/>
        </w:rPr>
        <w:t>激光焊接技术在未来将不断拓展其多材料焊接的能力</w:t>
      </w:r>
      <w:r>
        <w:rPr>
          <w:rFonts w:hint="eastAsia"/>
          <w:lang w:val="en-US" w:eastAsia="zh-CN"/>
        </w:rPr>
        <w:t>，</w:t>
      </w:r>
      <w:r>
        <w:rPr>
          <w:lang w:val="en-US" w:eastAsia="zh-CN"/>
        </w:rPr>
        <w:t>以解决不同材料之间热导率差异大、熔点不同、化学性质各异等带来的焊接难题。</w:t>
      </w:r>
    </w:p>
    <w:p w14:paraId="4C7161B9">
      <w:pPr>
        <w:pStyle w:val="146"/>
        <w:rPr>
          <w:lang w:eastAsia="zh-CN"/>
        </w:rPr>
      </w:pPr>
      <w:r>
        <w:rPr>
          <w:rFonts w:hint="eastAsia"/>
          <w:lang w:val="en-US" w:eastAsia="zh-CN"/>
        </w:rPr>
        <w:t>绿色与可持续发展：激光焊接技术将进一步降低能源消耗，提高能源利用效率。通过优化激光器的设计和工作模式，以及采用更高效的冷却系统，减少能源浪费。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1D3FE">
    <w:pPr>
      <w:pStyle w:val="21"/>
      <w:jc w:val="center"/>
    </w:pPr>
    <w:r>
      <w:t>Copyright © QYResearch | market@qyresearch.com | www.qyresearch.com.cn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1DD7A3">
    <w:pPr>
      <w:pStyle w:val="2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2DBD5"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5642C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C7381F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C7381F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3FF0B08B">
    <w:pPr>
      <w:pStyle w:val="22"/>
      <w:pBdr>
        <w:bottom w:val="none" w:color="auto" w:sz="0" w:space="0"/>
      </w:pBdr>
      <w:jc w:val="both"/>
    </w:pPr>
  </w:p>
  <w:p w14:paraId="0FB1A60E">
    <w:pPr>
      <w:pStyle w:val="22"/>
      <w:pBdr>
        <w:bottom w:val="none" w:color="auto" w:sz="0" w:space="0"/>
      </w:pBdr>
      <w:jc w:val="both"/>
    </w:pPr>
  </w:p>
  <w:p w14:paraId="2D3C2D98">
    <w:pPr>
      <w:pStyle w:val="22"/>
      <w:pBdr>
        <w:bottom w:val="none" w:color="auto" w:sz="0" w:space="0"/>
      </w:pBdr>
      <w:jc w:val="both"/>
    </w:pPr>
  </w:p>
  <w:p w14:paraId="78ADF722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D8A57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F1872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9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2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56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0D3"/>
    <w:rsid w:val="0003028C"/>
    <w:rsid w:val="00030477"/>
    <w:rsid w:val="000305F5"/>
    <w:rsid w:val="00030747"/>
    <w:rsid w:val="000309FC"/>
    <w:rsid w:val="00030D82"/>
    <w:rsid w:val="00030FF1"/>
    <w:rsid w:val="000318EB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B7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47FFB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C72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805"/>
    <w:rsid w:val="000619DA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7BA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1C1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A5F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461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1FF4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0E8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ECB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67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8D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53D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1"/>
    <w:rsid w:val="00100EC6"/>
    <w:rsid w:val="001013D8"/>
    <w:rsid w:val="0010156D"/>
    <w:rsid w:val="0010179E"/>
    <w:rsid w:val="001017A2"/>
    <w:rsid w:val="00101803"/>
    <w:rsid w:val="00101BDA"/>
    <w:rsid w:val="00101EF2"/>
    <w:rsid w:val="00101F4E"/>
    <w:rsid w:val="00102480"/>
    <w:rsid w:val="001028B1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3B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0F1D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6E9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973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3C7C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689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4DD"/>
    <w:rsid w:val="00185558"/>
    <w:rsid w:val="001855C9"/>
    <w:rsid w:val="0018576B"/>
    <w:rsid w:val="0018578E"/>
    <w:rsid w:val="00185D35"/>
    <w:rsid w:val="0018604D"/>
    <w:rsid w:val="001868C2"/>
    <w:rsid w:val="00186C4F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BD2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5FFD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26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25A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571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DBA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21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06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4B5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242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5E"/>
    <w:rsid w:val="0028557A"/>
    <w:rsid w:val="00285734"/>
    <w:rsid w:val="00285DD9"/>
    <w:rsid w:val="00285EF2"/>
    <w:rsid w:val="002861BB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358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A24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38A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C51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650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425"/>
    <w:rsid w:val="002C3895"/>
    <w:rsid w:val="002C39A1"/>
    <w:rsid w:val="002C3B11"/>
    <w:rsid w:val="002C3B4C"/>
    <w:rsid w:val="002C3BDE"/>
    <w:rsid w:val="002C3E12"/>
    <w:rsid w:val="002C4005"/>
    <w:rsid w:val="002C41D2"/>
    <w:rsid w:val="002C49BC"/>
    <w:rsid w:val="002C49D7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B38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6F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8D1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0DC0"/>
    <w:rsid w:val="002E135C"/>
    <w:rsid w:val="002E18BA"/>
    <w:rsid w:val="002E1A9B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9F5"/>
    <w:rsid w:val="002E5C2F"/>
    <w:rsid w:val="002E5CC1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C82"/>
    <w:rsid w:val="00300EF1"/>
    <w:rsid w:val="0030105C"/>
    <w:rsid w:val="003012AA"/>
    <w:rsid w:val="0030159D"/>
    <w:rsid w:val="003015DF"/>
    <w:rsid w:val="00301A75"/>
    <w:rsid w:val="00301A9B"/>
    <w:rsid w:val="00301B96"/>
    <w:rsid w:val="00301E95"/>
    <w:rsid w:val="0030204E"/>
    <w:rsid w:val="00302118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6E7D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06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8F9"/>
    <w:rsid w:val="00322960"/>
    <w:rsid w:val="00322BA7"/>
    <w:rsid w:val="00322D00"/>
    <w:rsid w:val="00322D2F"/>
    <w:rsid w:val="00322FBE"/>
    <w:rsid w:val="003233B0"/>
    <w:rsid w:val="00323898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B2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05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3E78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3D39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B94"/>
    <w:rsid w:val="00397ECA"/>
    <w:rsid w:val="003A02D6"/>
    <w:rsid w:val="003A08D9"/>
    <w:rsid w:val="003A1308"/>
    <w:rsid w:val="003A1412"/>
    <w:rsid w:val="003A1587"/>
    <w:rsid w:val="003A16BD"/>
    <w:rsid w:val="003A1739"/>
    <w:rsid w:val="003A1B84"/>
    <w:rsid w:val="003A24E6"/>
    <w:rsid w:val="003A2631"/>
    <w:rsid w:val="003A2C17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D19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6E1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52F"/>
    <w:rsid w:val="003B07DA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1B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CB9"/>
    <w:rsid w:val="003C3E62"/>
    <w:rsid w:val="003C40D8"/>
    <w:rsid w:val="003C42AB"/>
    <w:rsid w:val="003C44B0"/>
    <w:rsid w:val="003C4551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3F2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0C0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15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2E8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648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6A8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69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BE9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28B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0AE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3A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3DB"/>
    <w:rsid w:val="004B6A0F"/>
    <w:rsid w:val="004B6CBD"/>
    <w:rsid w:val="004B709D"/>
    <w:rsid w:val="004B70E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440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67D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464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0C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4D07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695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530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5BC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2E9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BE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6ED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0AF"/>
    <w:rsid w:val="005A3108"/>
    <w:rsid w:val="005A314E"/>
    <w:rsid w:val="005A31FF"/>
    <w:rsid w:val="005A3328"/>
    <w:rsid w:val="005A3477"/>
    <w:rsid w:val="005A38F8"/>
    <w:rsid w:val="005A3B31"/>
    <w:rsid w:val="005A3B58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9CD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3F2B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A5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431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6AC9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49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3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0D1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ADE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BA6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3DA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8D8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A47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1B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A7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C3F"/>
    <w:rsid w:val="00676DAA"/>
    <w:rsid w:val="00676EFB"/>
    <w:rsid w:val="00677359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B10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753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B0B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0EF8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85F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2C3"/>
    <w:rsid w:val="006F6422"/>
    <w:rsid w:val="006F644F"/>
    <w:rsid w:val="006F6756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86D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A46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7EF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1B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20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8F1"/>
    <w:rsid w:val="00757B81"/>
    <w:rsid w:val="00757C85"/>
    <w:rsid w:val="00757F56"/>
    <w:rsid w:val="00760446"/>
    <w:rsid w:val="007604E5"/>
    <w:rsid w:val="00760914"/>
    <w:rsid w:val="00760961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35BF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67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7F5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2D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2D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E81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D7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0963"/>
    <w:rsid w:val="007E14FB"/>
    <w:rsid w:val="007E1871"/>
    <w:rsid w:val="007E1EF2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4D3"/>
    <w:rsid w:val="007F5641"/>
    <w:rsid w:val="007F56B7"/>
    <w:rsid w:val="007F59A9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D86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DD7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63C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E93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10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4FC3"/>
    <w:rsid w:val="00865025"/>
    <w:rsid w:val="008651DC"/>
    <w:rsid w:val="00865448"/>
    <w:rsid w:val="0086566C"/>
    <w:rsid w:val="008657F8"/>
    <w:rsid w:val="00865995"/>
    <w:rsid w:val="00865AC9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388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7E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741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D8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5A3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225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41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754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0AF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8F7ED8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7C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D6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AE0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4C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94C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E1F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9FF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A6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E0D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D9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22E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C3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A6F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20D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9B1"/>
    <w:rsid w:val="009B4A00"/>
    <w:rsid w:val="009B4A04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2CC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82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39C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20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612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BB9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76F"/>
    <w:rsid w:val="00A11772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D8F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4C"/>
    <w:rsid w:val="00A2465E"/>
    <w:rsid w:val="00A24680"/>
    <w:rsid w:val="00A24BCF"/>
    <w:rsid w:val="00A24D1C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474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3FB0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62E"/>
    <w:rsid w:val="00A36755"/>
    <w:rsid w:val="00A36E8B"/>
    <w:rsid w:val="00A374E1"/>
    <w:rsid w:val="00A37912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B87"/>
    <w:rsid w:val="00A50D77"/>
    <w:rsid w:val="00A50FB1"/>
    <w:rsid w:val="00A512D2"/>
    <w:rsid w:val="00A5174E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85E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3A5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3F1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8FC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4F1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3D4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D92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3F2E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289"/>
    <w:rsid w:val="00AE63A0"/>
    <w:rsid w:val="00AE6412"/>
    <w:rsid w:val="00AE64E1"/>
    <w:rsid w:val="00AE66FD"/>
    <w:rsid w:val="00AE69C6"/>
    <w:rsid w:val="00AE6B4F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0F55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608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8A7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63A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2C45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4BB5"/>
    <w:rsid w:val="00B252C1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88A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CFD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9B4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0C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14A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8E5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A07"/>
    <w:rsid w:val="00B97B59"/>
    <w:rsid w:val="00B97CF6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8A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2A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6D3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B5C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C58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27B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9AF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E06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4D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202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4EA1"/>
    <w:rsid w:val="00C95363"/>
    <w:rsid w:val="00C95415"/>
    <w:rsid w:val="00C9553C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36B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3A2B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130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10E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2EA9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3F1A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5FA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21D"/>
    <w:rsid w:val="00D2243F"/>
    <w:rsid w:val="00D22566"/>
    <w:rsid w:val="00D225C6"/>
    <w:rsid w:val="00D225F1"/>
    <w:rsid w:val="00D2261D"/>
    <w:rsid w:val="00D22A18"/>
    <w:rsid w:val="00D22E78"/>
    <w:rsid w:val="00D22FDF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2E2A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4F8F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0F34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5A8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37B"/>
    <w:rsid w:val="00D94628"/>
    <w:rsid w:val="00D94673"/>
    <w:rsid w:val="00D947AF"/>
    <w:rsid w:val="00D948D9"/>
    <w:rsid w:val="00D94911"/>
    <w:rsid w:val="00D94B04"/>
    <w:rsid w:val="00D94BF5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1D9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62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803"/>
    <w:rsid w:val="00DC782A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3B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6FE"/>
    <w:rsid w:val="00E01797"/>
    <w:rsid w:val="00E01A01"/>
    <w:rsid w:val="00E01B1D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AA"/>
    <w:rsid w:val="00E102FE"/>
    <w:rsid w:val="00E10409"/>
    <w:rsid w:val="00E10752"/>
    <w:rsid w:val="00E10755"/>
    <w:rsid w:val="00E1086B"/>
    <w:rsid w:val="00E109EC"/>
    <w:rsid w:val="00E109FA"/>
    <w:rsid w:val="00E10DCA"/>
    <w:rsid w:val="00E10E85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9E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9F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16C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CA5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6758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7CC"/>
    <w:rsid w:val="00E76893"/>
    <w:rsid w:val="00E768D3"/>
    <w:rsid w:val="00E769B1"/>
    <w:rsid w:val="00E769F8"/>
    <w:rsid w:val="00E76CA6"/>
    <w:rsid w:val="00E771F0"/>
    <w:rsid w:val="00E7766B"/>
    <w:rsid w:val="00E77804"/>
    <w:rsid w:val="00E77E33"/>
    <w:rsid w:val="00E805C0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19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443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419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853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96E"/>
    <w:rsid w:val="00EE0973"/>
    <w:rsid w:val="00EE0C30"/>
    <w:rsid w:val="00EE0E1D"/>
    <w:rsid w:val="00EE0E4F"/>
    <w:rsid w:val="00EE0EEF"/>
    <w:rsid w:val="00EE1024"/>
    <w:rsid w:val="00EE166B"/>
    <w:rsid w:val="00EE171F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187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8DD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132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36F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1A6"/>
    <w:rsid w:val="00F536A6"/>
    <w:rsid w:val="00F53A84"/>
    <w:rsid w:val="00F5439B"/>
    <w:rsid w:val="00F54411"/>
    <w:rsid w:val="00F54424"/>
    <w:rsid w:val="00F5466E"/>
    <w:rsid w:val="00F54E15"/>
    <w:rsid w:val="00F54F10"/>
    <w:rsid w:val="00F5523C"/>
    <w:rsid w:val="00F554DC"/>
    <w:rsid w:val="00F5556C"/>
    <w:rsid w:val="00F55739"/>
    <w:rsid w:val="00F5574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798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0B4A"/>
    <w:rsid w:val="00F71161"/>
    <w:rsid w:val="00F71232"/>
    <w:rsid w:val="00F7123E"/>
    <w:rsid w:val="00F71ED5"/>
    <w:rsid w:val="00F7207D"/>
    <w:rsid w:val="00F7229C"/>
    <w:rsid w:val="00F729CE"/>
    <w:rsid w:val="00F72A06"/>
    <w:rsid w:val="00F72D84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076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5E65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CA5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D1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4D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93C1461"/>
    <w:rsid w:val="1CEC226B"/>
    <w:rsid w:val="2C03002F"/>
    <w:rsid w:val="3CC5668C"/>
    <w:rsid w:val="64814073"/>
    <w:rsid w:val="7CDA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2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3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4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5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6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7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3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4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8">
    <w:name w:val="Default Paragraph Font"/>
    <w:unhideWhenUsed/>
    <w:qFormat/>
    <w:uiPriority w:val="1"/>
  </w:style>
  <w:style w:type="table" w:default="1" w:styleId="3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2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7"/>
    <w:unhideWhenUsed/>
    <w:qFormat/>
    <w:uiPriority w:val="0"/>
    <w:pPr>
      <w:jc w:val="left"/>
    </w:pPr>
  </w:style>
  <w:style w:type="paragraph" w:styleId="13">
    <w:name w:val="Body Text"/>
    <w:basedOn w:val="1"/>
    <w:link w:val="113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9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1"/>
    <w:qFormat/>
    <w:uiPriority w:val="0"/>
    <w:pPr>
      <w:ind w:left="100" w:leftChars="2500"/>
    </w:pPr>
  </w:style>
  <w:style w:type="paragraph" w:styleId="19">
    <w:name w:val="endnote text"/>
    <w:basedOn w:val="1"/>
    <w:link w:val="141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5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9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2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8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HTML Preformatted"/>
    <w:basedOn w:val="1"/>
    <w:link w:val="206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3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3">
    <w:name w:val="Title"/>
    <w:basedOn w:val="1"/>
    <w:next w:val="1"/>
    <w:link w:val="99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4">
    <w:name w:val="annotation subject"/>
    <w:basedOn w:val="1"/>
    <w:next w:val="1"/>
    <w:link w:val="119"/>
    <w:qFormat/>
    <w:uiPriority w:val="0"/>
    <w:pPr>
      <w:jc w:val="left"/>
    </w:pPr>
    <w:rPr>
      <w:b/>
      <w:bCs/>
    </w:rPr>
  </w:style>
  <w:style w:type="table" w:styleId="36">
    <w:name w:val="Table Grid"/>
    <w:basedOn w:val="35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7">
    <w:name w:val="Table Colorful 2"/>
    <w:basedOn w:val="35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lassic 1"/>
    <w:basedOn w:val="35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2"/>
    <w:basedOn w:val="35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3"/>
    <w:basedOn w:val="35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1">
    <w:name w:val="Table Columns 5"/>
    <w:basedOn w:val="35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2">
    <w:name w:val="Table Grid 3"/>
    <w:basedOn w:val="35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3">
    <w:name w:val="Table Grid 4"/>
    <w:basedOn w:val="35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4">
    <w:name w:val="Table Grid 8"/>
    <w:basedOn w:val="35"/>
    <w:qFormat/>
    <w:uiPriority w:val="0"/>
    <w:pPr>
      <w:widowControl w:val="0"/>
      <w:jc w:val="right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5">
    <w:name w:val="Light List"/>
    <w:basedOn w:val="35"/>
    <w:qFormat/>
    <w:uiPriority w:val="61"/>
    <w:rPr>
      <w:rFonts w:ascii="Calibri" w:hAnsi="Calibri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6">
    <w:name w:val="Light List Accent 2"/>
    <w:basedOn w:val="35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7">
    <w:name w:val="Light List Accent 3"/>
    <w:basedOn w:val="35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8">
    <w:name w:val="Light List Accent 4"/>
    <w:basedOn w:val="35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9">
    <w:name w:val="Light List Accent 5"/>
    <w:basedOn w:val="35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50">
    <w:name w:val="Medium Shading 1"/>
    <w:basedOn w:val="35"/>
    <w:qFormat/>
    <w:uiPriority w:val="63"/>
    <w:rPr>
      <w:rFonts w:ascii="Calibri" w:hAnsi="Calibri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1"/>
    <w:basedOn w:val="35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2"/>
    <w:basedOn w:val="35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3"/>
    <w:basedOn w:val="35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4"/>
    <w:basedOn w:val="35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1 Accent 5"/>
    <w:basedOn w:val="35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2 Accent 2"/>
    <w:basedOn w:val="35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35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5"/>
    <w:basedOn w:val="35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Grid 1 Accent 3"/>
    <w:basedOn w:val="35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0">
    <w:name w:val="Medium Grid 3 Accent 1"/>
    <w:basedOn w:val="35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1">
    <w:name w:val="Medium Grid 3 Accent 3"/>
    <w:basedOn w:val="35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2">
    <w:name w:val="Dark List Accent 3"/>
    <w:basedOn w:val="35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3">
    <w:name w:val="Dark List Accent 4"/>
    <w:basedOn w:val="35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4">
    <w:name w:val="Dark List Accent 5"/>
    <w:basedOn w:val="35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5">
    <w:name w:val="Colorful Grid"/>
    <w:basedOn w:val="35"/>
    <w:qFormat/>
    <w:uiPriority w:val="73"/>
    <w:rPr>
      <w:rFonts w:ascii="Calibri" w:hAnsi="Calibri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6">
    <w:name w:val="Colorful Grid Accent 3"/>
    <w:basedOn w:val="35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7">
    <w:name w:val="Colorful Grid Accent 5"/>
    <w:basedOn w:val="35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9">
    <w:name w:val="Strong"/>
    <w:qFormat/>
    <w:uiPriority w:val="22"/>
    <w:rPr>
      <w:b/>
      <w:bCs/>
    </w:rPr>
  </w:style>
  <w:style w:type="character" w:styleId="70">
    <w:name w:val="endnote reference"/>
    <w:basedOn w:val="68"/>
    <w:semiHidden/>
    <w:unhideWhenUsed/>
    <w:qFormat/>
    <w:uiPriority w:val="99"/>
    <w:rPr>
      <w:vertAlign w:val="superscript"/>
    </w:rPr>
  </w:style>
  <w:style w:type="character" w:styleId="71">
    <w:name w:val="Emphasis"/>
    <w:qFormat/>
    <w:uiPriority w:val="0"/>
    <w:rPr>
      <w:i/>
      <w:iCs/>
    </w:rPr>
  </w:style>
  <w:style w:type="character" w:styleId="72">
    <w:name w:val="Hyperlink"/>
    <w:unhideWhenUsed/>
    <w:qFormat/>
    <w:uiPriority w:val="99"/>
    <w:rPr>
      <w:color w:val="0000FF"/>
      <w:u w:val="single"/>
    </w:rPr>
  </w:style>
  <w:style w:type="character" w:styleId="73">
    <w:name w:val="annotation reference"/>
    <w:qFormat/>
    <w:uiPriority w:val="0"/>
    <w:rPr>
      <w:sz w:val="21"/>
      <w:szCs w:val="21"/>
    </w:rPr>
  </w:style>
  <w:style w:type="character" w:customStyle="1" w:styleId="74">
    <w:name w:val="页眉 字符"/>
    <w:basedOn w:val="68"/>
    <w:link w:val="22"/>
    <w:qFormat/>
    <w:uiPriority w:val="99"/>
    <w:rPr>
      <w:sz w:val="18"/>
      <w:szCs w:val="18"/>
    </w:rPr>
  </w:style>
  <w:style w:type="character" w:customStyle="1" w:styleId="75">
    <w:name w:val="页脚 字符"/>
    <w:basedOn w:val="68"/>
    <w:link w:val="21"/>
    <w:qFormat/>
    <w:uiPriority w:val="99"/>
    <w:rPr>
      <w:sz w:val="18"/>
      <w:szCs w:val="18"/>
    </w:rPr>
  </w:style>
  <w:style w:type="character" w:customStyle="1" w:styleId="76">
    <w:name w:val="标题 1 字符"/>
    <w:basedOn w:val="68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7">
    <w:name w:val="标题 2 字符"/>
    <w:basedOn w:val="68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8">
    <w:name w:val="标题 3 字符"/>
    <w:basedOn w:val="68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9">
    <w:name w:val="标题 4 字符"/>
    <w:basedOn w:val="68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80">
    <w:name w:val="标题 5 字符"/>
    <w:basedOn w:val="68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8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2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3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5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6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7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8">
    <w:name w:val="Table Normal"/>
    <w:semiHidden/>
    <w:unhideWhenUsed/>
    <w:qFormat/>
    <w:uiPriority w:val="2"/>
    <w:pPr>
      <w:widowControl w:val="0"/>
    </w:pPr>
    <w:rPr>
      <w:rFonts w:ascii="Calibri" w:hAnsi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9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90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2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3">
    <w:name w:val="文档结构图 字符"/>
    <w:basedOn w:val="68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4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5">
    <w:name w:val="纯文本 字符"/>
    <w:basedOn w:val="68"/>
    <w:qFormat/>
    <w:uiPriority w:val="99"/>
    <w:rPr>
      <w:rFonts w:hAnsi="Courier New" w:cs="Courier New" w:asciiTheme="minorEastAsia"/>
      <w:szCs w:val="21"/>
    </w:rPr>
  </w:style>
  <w:style w:type="paragraph" w:customStyle="1" w:styleId="96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7">
    <w:name w:val="TOC 标题1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8">
    <w:name w:val="标题 字符"/>
    <w:basedOn w:val="6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9">
    <w:name w:val="标题 字符1"/>
    <w:link w:val="33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10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1">
    <w:name w:val="副标题 字符"/>
    <w:basedOn w:val="68"/>
    <w:qFormat/>
    <w:uiPriority w:val="11"/>
    <w:rPr>
      <w:b/>
      <w:bCs/>
      <w:kern w:val="28"/>
      <w:sz w:val="32"/>
      <w:szCs w:val="32"/>
    </w:rPr>
  </w:style>
  <w:style w:type="character" w:customStyle="1" w:styleId="102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3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4">
    <w:name w:val="批注框文本 字符"/>
    <w:basedOn w:val="68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5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6">
    <w:name w:val="网格表 4 - 着色 11"/>
    <w:basedOn w:val="35"/>
    <w:qFormat/>
    <w:uiPriority w:val="49"/>
    <w:pPr>
      <w:widowControl w:val="0"/>
      <w:jc w:val="both"/>
    </w:p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7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8">
    <w:name w:val="样式 标题 5 + (中文) 宋体"/>
    <w:basedOn w:val="6"/>
    <w:qFormat/>
    <w:uiPriority w:val="0"/>
  </w:style>
  <w:style w:type="character" w:customStyle="1" w:styleId="109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10">
    <w:name w:val="网格表 4 - 着色 12"/>
    <w:basedOn w:val="35"/>
    <w:qFormat/>
    <w:uiPriority w:val="49"/>
    <w:pPr>
      <w:widowControl w:val="0"/>
    </w:pPr>
    <w:rPr>
      <w:rFonts w:ascii="Calibri" w:hAnsi="Calibri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1">
    <w:name w:val="网格表 5 深色 - 着色 11"/>
    <w:basedOn w:val="35"/>
    <w:qFormat/>
    <w:uiPriority w:val="50"/>
    <w:pPr>
      <w:widowControl w:val="0"/>
    </w:pPr>
    <w:rPr>
      <w:rFonts w:ascii="Calibri" w:hAnsi="Calibri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2">
    <w:name w:val="正文文本 字符"/>
    <w:basedOn w:val="68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3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4">
    <w:name w:val="List Paragraph"/>
    <w:basedOn w:val="1"/>
    <w:link w:val="148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5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6">
    <w:name w:val="批注文字 字符"/>
    <w:basedOn w:val="68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8">
    <w:name w:val="批注主题 字符"/>
    <w:basedOn w:val="116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批注主题 字符1"/>
    <w:link w:val="34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20">
    <w:name w:val="日期 字符"/>
    <w:basedOn w:val="68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1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2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3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4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5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6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7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9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30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1">
    <w:name w:val="apple-converted-space"/>
    <w:qFormat/>
    <w:uiPriority w:val="0"/>
  </w:style>
  <w:style w:type="paragraph" w:styleId="132">
    <w:name w:val="No Spacing"/>
    <w:link w:val="133"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3">
    <w:name w:val="无间隔 字符"/>
    <w:link w:val="132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4">
    <w:name w:val="概述标题"/>
    <w:basedOn w:val="1"/>
    <w:qFormat/>
    <w:uiPriority w:val="0"/>
    <w:rPr>
      <w:b/>
    </w:rPr>
  </w:style>
  <w:style w:type="table" w:customStyle="1" w:styleId="135">
    <w:name w:val="网格表 4 - 着色 13"/>
    <w:basedOn w:val="35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6">
    <w:name w:val="网格表 4 - 着色 51"/>
    <w:basedOn w:val="35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7">
    <w:name w:val="无格式表格 51"/>
    <w:basedOn w:val="35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8">
    <w:name w:val="未处理的提及1"/>
    <w:basedOn w:val="6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9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40">
    <w:name w:val="Style1"/>
    <w:link w:val="169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1">
    <w:name w:val="尾注文本 字符"/>
    <w:basedOn w:val="68"/>
    <w:link w:val="19"/>
    <w:semiHidden/>
    <w:qFormat/>
    <w:uiPriority w:val="99"/>
    <w:rPr>
      <w:rFonts w:ascii="Times New Roman" w:hAnsi="Times New Roman"/>
    </w:rPr>
  </w:style>
  <w:style w:type="character" w:customStyle="1" w:styleId="142">
    <w:name w:val="未处理的提及11"/>
    <w:basedOn w:val="6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3">
    <w:name w:val="未处理的提及2"/>
    <w:basedOn w:val="6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4">
    <w:name w:val="Source"/>
    <w:basedOn w:val="1"/>
    <w:link w:val="145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5">
    <w:name w:val="Source 字符"/>
    <w:basedOn w:val="68"/>
    <w:link w:val="144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6">
    <w:name w:val="正文-段落"/>
    <w:basedOn w:val="1"/>
    <w:link w:val="147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正文-段落 字符"/>
    <w:basedOn w:val="68"/>
    <w:link w:val="146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8">
    <w:name w:val="列表段落 字符"/>
    <w:basedOn w:val="68"/>
    <w:link w:val="114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9">
    <w:name w:val="Figure Style"/>
    <w:basedOn w:val="114"/>
    <w:link w:val="151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50">
    <w:name w:val="Figure Style Char"/>
    <w:basedOn w:val="148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1">
    <w:name w:val="Figure Style 字符"/>
    <w:basedOn w:val="148"/>
    <w:link w:val="149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2">
    <w:name w:val="Table Style"/>
    <w:basedOn w:val="114"/>
    <w:link w:val="153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3">
    <w:name w:val="Table Style Char"/>
    <w:basedOn w:val="68"/>
    <w:link w:val="152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4">
    <w:name w:val="Table of Contents"/>
    <w:basedOn w:val="140"/>
    <w:link w:val="155"/>
    <w:qFormat/>
    <w:uiPriority w:val="0"/>
    <w:pPr>
      <w:pageBreakBefore/>
      <w:jc w:val="both"/>
    </w:pPr>
    <w:rPr>
      <w:szCs w:val="20"/>
    </w:rPr>
  </w:style>
  <w:style w:type="character" w:customStyle="1" w:styleId="155">
    <w:name w:val="Table of Contents Char"/>
    <w:basedOn w:val="68"/>
    <w:link w:val="154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6">
    <w:name w:val="Source Char"/>
    <w:basedOn w:val="68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7">
    <w:name w:val="目录2"/>
    <w:basedOn w:val="29"/>
    <w:next w:val="29"/>
    <w:link w:val="159"/>
    <w:qFormat/>
    <w:uiPriority w:val="0"/>
    <w:pPr>
      <w:tabs>
        <w:tab w:val="right" w:pos="9736"/>
      </w:tabs>
    </w:pPr>
  </w:style>
  <w:style w:type="character" w:customStyle="1" w:styleId="158">
    <w:name w:val="TOC 2 字符"/>
    <w:basedOn w:val="68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目录2 字符"/>
    <w:basedOn w:val="158"/>
    <w:link w:val="157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60">
    <w:name w:val="未处理的提及3"/>
    <w:basedOn w:val="68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1">
    <w:name w:val="清单表 2 - 着色 41"/>
    <w:basedOn w:val="35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2">
    <w:name w:val="表格-lpi"/>
    <w:basedOn w:val="35"/>
    <w:qFormat/>
    <w:uiPriority w:val="99"/>
    <w:rPr>
      <w:rFonts w:eastAsia="Times New Roman"/>
      <w:color w:val="00B050"/>
    </w:rPr>
  </w:style>
  <w:style w:type="character" w:customStyle="1" w:styleId="163">
    <w:name w:val="未处理的提及31"/>
    <w:basedOn w:val="6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4">
    <w:name w:val="Paragraph"/>
    <w:basedOn w:val="1"/>
    <w:link w:val="165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5">
    <w:name w:val="Paragraph Char"/>
    <w:basedOn w:val="68"/>
    <w:link w:val="164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6">
    <w:name w:val="清单表 1 浅色 - 着色 11"/>
    <w:basedOn w:val="35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7">
    <w:name w:val="未处理的提及4"/>
    <w:basedOn w:val="6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8">
    <w:name w:val="概述"/>
    <w:basedOn w:val="140"/>
    <w:link w:val="170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9">
    <w:name w:val="Style1 字符"/>
    <w:basedOn w:val="68"/>
    <w:link w:val="140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70">
    <w:name w:val="概述 字符"/>
    <w:basedOn w:val="169"/>
    <w:link w:val="168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1">
    <w:name w:val="彩色网格 - 强调文字颜色 51"/>
    <w:basedOn w:val="35"/>
    <w:qFormat/>
    <w:uiPriority w:val="73"/>
    <w:rPr>
      <w:rFonts w:ascii="Calibri" w:hAnsi="Calibri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2">
    <w:name w:val="彩色网格 - 强调文字颜色 31"/>
    <w:basedOn w:val="35"/>
    <w:qFormat/>
    <w:uiPriority w:val="73"/>
    <w:rPr>
      <w:rFonts w:ascii="Calibri" w:hAnsi="Calibri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3">
    <w:name w:val="深色列表 - 强调文字颜色 31"/>
    <w:basedOn w:val="35"/>
    <w:qFormat/>
    <w:uiPriority w:val="70"/>
    <w:rPr>
      <w:rFonts w:ascii="Calibri" w:hAnsi="Calibri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4">
    <w:name w:val="深色列表 - 强调文字颜色 41"/>
    <w:basedOn w:val="35"/>
    <w:qFormat/>
    <w:uiPriority w:val="70"/>
    <w:rPr>
      <w:rFonts w:ascii="Calibri" w:hAnsi="Calibri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5">
    <w:name w:val="深色列表 - 强调文字颜色 51"/>
    <w:basedOn w:val="35"/>
    <w:qFormat/>
    <w:uiPriority w:val="70"/>
    <w:rPr>
      <w:rFonts w:ascii="Calibri" w:hAnsi="Calibri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6">
    <w:name w:val="中等深浅底纹 1 - 强调文字颜色 41"/>
    <w:basedOn w:val="35"/>
    <w:qFormat/>
    <w:uiPriority w:val="63"/>
    <w:rPr>
      <w:rFonts w:ascii="Calibri" w:hAnsi="Calibri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7">
    <w:name w:val="浅色列表 - 强调文字颜色 31"/>
    <w:basedOn w:val="35"/>
    <w:qFormat/>
    <w:uiPriority w:val="61"/>
    <w:rPr>
      <w:rFonts w:ascii="Calibri" w:hAnsi="Calibri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8">
    <w:name w:val="浅色列表 - 强调文字颜色 21"/>
    <w:basedOn w:val="35"/>
    <w:qFormat/>
    <w:uiPriority w:val="61"/>
    <w:rPr>
      <w:rFonts w:ascii="Calibri" w:hAnsi="Calibri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9">
    <w:name w:val="浅色列表 - 强调文字颜色 41"/>
    <w:basedOn w:val="35"/>
    <w:qFormat/>
    <w:uiPriority w:val="61"/>
    <w:rPr>
      <w:rFonts w:ascii="Calibri" w:hAnsi="Calibri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80">
    <w:name w:val="中等深浅底纹 2 - 强调文字颜色 21"/>
    <w:basedOn w:val="35"/>
    <w:qFormat/>
    <w:uiPriority w:val="64"/>
    <w:rPr>
      <w:rFonts w:ascii="Calibri" w:hAnsi="Calibri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1">
    <w:name w:val="中等深浅底纹 1 - 强调文字颜色 21"/>
    <w:basedOn w:val="35"/>
    <w:qFormat/>
    <w:uiPriority w:val="63"/>
    <w:rPr>
      <w:rFonts w:ascii="Calibri" w:hAnsi="Calibri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2">
    <w:name w:val="中等深浅网格 3 - 强调文字颜色 11"/>
    <w:basedOn w:val="35"/>
    <w:qFormat/>
    <w:uiPriority w:val="69"/>
    <w:rPr>
      <w:rFonts w:ascii="Calibri" w:hAnsi="Calibri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3">
    <w:name w:val="中等深浅底纹 2 - 强调文字颜色 31"/>
    <w:basedOn w:val="35"/>
    <w:qFormat/>
    <w:uiPriority w:val="64"/>
    <w:rPr>
      <w:rFonts w:ascii="Calibri" w:hAnsi="Calibri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4">
    <w:name w:val="浅色列表 - 强调文字颜色 51"/>
    <w:basedOn w:val="35"/>
    <w:qFormat/>
    <w:uiPriority w:val="61"/>
    <w:rPr>
      <w:rFonts w:ascii="Calibri" w:hAnsi="Calibri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5">
    <w:name w:val="中等深浅网格 3 - 强调文字颜色 31"/>
    <w:basedOn w:val="35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6">
    <w:name w:val="中等深浅网格 1 - 强调文字颜色 31"/>
    <w:basedOn w:val="35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7">
    <w:name w:val="中等深浅底纹 1 - 强调文字颜色 31"/>
    <w:basedOn w:val="35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8">
    <w:name w:val="中等深浅底纹 2 - 强调文字颜色 51"/>
    <w:basedOn w:val="35"/>
    <w:qFormat/>
    <w:uiPriority w:val="64"/>
    <w:rPr>
      <w:rFonts w:ascii="Calibri" w:hAnsi="Calibri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9">
    <w:name w:val="中等深浅底纹 1 - 强调文字颜色 51"/>
    <w:basedOn w:val="35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中等深浅底纹 1 - 强调文字颜色 11"/>
    <w:basedOn w:val="35"/>
    <w:qFormat/>
    <w:uiPriority w:val="63"/>
    <w:rPr>
      <w:rFonts w:ascii="Calibri" w:hAnsi="Calibri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1">
    <w:name w:val="网格表 4 - 着色 52"/>
    <w:basedOn w:val="35"/>
    <w:qFormat/>
    <w:uiPriority w:val="49"/>
    <w:rPr>
      <w:rFonts w:ascii="Calibri" w:hAnsi="Calibri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2">
    <w:name w:val="未处理的提及41"/>
    <w:basedOn w:val="6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3">
    <w:name w:val="标题 7 字符"/>
    <w:basedOn w:val="68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4">
    <w:name w:val="标题 8 字符"/>
    <w:basedOn w:val="68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5">
    <w:name w:val="未处理的提及5"/>
    <w:basedOn w:val="68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6">
    <w:name w:val="清单表 2 - 着色 21"/>
    <w:basedOn w:val="35"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7">
    <w:name w:val="lpi 专用"/>
    <w:basedOn w:val="198"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1"/>
    <w:basedOn w:val="35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9">
    <w:name w:val="网格表 2 - 着色 41"/>
    <w:basedOn w:val="35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200">
    <w:name w:val="网格表 2 - 着色 51"/>
    <w:basedOn w:val="35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1">
    <w:name w:val="季度-样式"/>
    <w:basedOn w:val="35"/>
    <w:qFormat/>
    <w:uiPriority w:val="99"/>
  </w:style>
  <w:style w:type="table" w:customStyle="1" w:styleId="202">
    <w:name w:val="清单表 2 - 着色 51"/>
    <w:basedOn w:val="35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3">
    <w:name w:val="清单表 1 浅色 - 着色 51"/>
    <w:basedOn w:val="35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4">
    <w:name w:val="数据-表格"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5">
    <w:name w:val="未处理的提及6"/>
    <w:basedOn w:val="6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6">
    <w:name w:val="HTML 预设格式 字符"/>
    <w:basedOn w:val="68"/>
    <w:link w:val="31"/>
    <w:semiHidden/>
    <w:qFormat/>
    <w:uiPriority w:val="99"/>
    <w:rPr>
      <w:rFonts w:ascii="Courier New" w:hAnsi="Courier New" w:eastAsia="宋体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chart" Target="charts/chart4.xml"/><Relationship Id="rId15" Type="http://schemas.openxmlformats.org/officeDocument/2006/relationships/chart" Target="charts/chart3.xml"/><Relationship Id="rId14" Type="http://schemas.openxmlformats.org/officeDocument/2006/relationships/chart" Target="charts/chart2.xml"/><Relationship Id="rId13" Type="http://schemas.openxmlformats.org/officeDocument/2006/relationships/chart" Target="charts/chart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caoli\Desktop\&#23459;&#20256;&#25991;&#20214;\&#23459;&#20256;&#25991;&#20214;&#27169;&#26495;\&#35266;&#28857;&#25968;&#25454;&#22270;&#34920;&#27169;&#26495;-&#27169;&#26495;%2020240612%20&#20026;&#20934;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caoli\Desktop\&#23459;&#20256;&#25991;&#20214;\&#23459;&#20256;&#25991;&#20214;&#27169;&#26495;\&#35266;&#28857;&#25968;&#25454;&#22270;&#34920;&#27169;&#26495;-&#27169;&#26495;%2020240612%20&#20026;&#20934;1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caoli\Desktop\&#23459;&#20256;&#25991;&#20214;\&#23459;&#20256;&#25991;&#20214;&#27169;&#26495;\&#35266;&#28857;&#25968;&#25454;&#22270;&#34920;&#27169;&#26495;-&#27169;&#26495;%2020240612%20&#20026;&#20934;1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caoli\Desktop\&#23459;&#20256;&#25991;&#20214;\&#23459;&#20256;&#25991;&#20214;&#27169;&#26495;\&#35266;&#28857;&#25968;&#25454;&#22270;&#34920;&#27169;&#26495;-&#27169;&#26495;%2020240612%20&#20026;&#20934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/>
              <a:t>全球市场规模 </a:t>
            </a:r>
            <a:r>
              <a:rPr lang="en-US" altLang="zh-CN"/>
              <a:t>(</a:t>
            </a:r>
            <a:r>
              <a:rPr lang="zh-CN" altLang="en-US"/>
              <a:t>百万美元</a:t>
            </a:r>
            <a:r>
              <a:rPr lang="en-US" altLang="zh-CN"/>
              <a:t>)</a:t>
            </a:r>
            <a:r>
              <a:rPr lang="en-US"/>
              <a:t>)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94100918967982"/>
          <c:y val="0.131440849673203"/>
          <c:w val="0.937283950617284"/>
          <c:h val="0.7930303921568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全球总体!$S$6:$U$6</c:f>
              <c:numCache>
                <c:formatCode>General</c:formatCode>
                <c:ptCount val="3"/>
                <c:pt idx="0">
                  <c:v>2021</c:v>
                </c:pt>
                <c:pt idx="1">
                  <c:v>2026</c:v>
                </c:pt>
                <c:pt idx="2">
                  <c:v>2032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124.31</c:v>
                </c:pt>
                <c:pt idx="1">
                  <c:v>168.65</c:v>
                </c:pt>
                <c:pt idx="2">
                  <c:v>238.89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e9acbee1-8fd2-4159-b739-422f677a5e0c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全球市场主要企业排名</a:t>
            </a: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2025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企业收入!$H$2:$H$14</c:f>
              <c:strCache>
                <c:ptCount val="13"/>
                <c:pt idx="0">
                  <c:v>Precitec</c:v>
                </c:pt>
                <c:pt idx="1">
                  <c:v>大族激光</c:v>
                </c:pt>
                <c:pt idx="2">
                  <c:v>Coherent</c:v>
                </c:pt>
                <c:pt idx="3">
                  <c:v>嘉强</c:v>
                </c:pt>
                <c:pt idx="4">
                  <c:v>TRUMPF</c:v>
                </c:pt>
                <c:pt idx="5">
                  <c:v>深圳市万顺兴科技</c:v>
                </c:pt>
                <c:pt idx="6">
                  <c:v>IPG Photonics</c:v>
                </c:pt>
                <c:pt idx="7">
                  <c:v>欧斯普瑞</c:v>
                </c:pt>
                <c:pt idx="8">
                  <c:v>AMADA WELD TECH</c:v>
                </c:pt>
                <c:pt idx="9">
                  <c:v>Laser Mechanisms</c:v>
                </c:pt>
                <c:pt idx="10">
                  <c:v>Scansonic</c:v>
                </c:pt>
                <c:pt idx="11">
                  <c:v>波长光电</c:v>
                </c:pt>
                <c:pt idx="12">
                  <c:v>珠峰激光</c:v>
                </c:pt>
              </c:strCache>
            </c:strRef>
          </c:cat>
          <c:val>
            <c:numRef>
              <c:f>企业收入!$I$2:$I$14</c:f>
              <c:numCache>
                <c:formatCode>0.0%</c:formatCode>
                <c:ptCount val="13"/>
                <c:pt idx="0">
                  <c:v>0.130403785080044</c:v>
                </c:pt>
                <c:pt idx="1">
                  <c:v>0.12424654870698</c:v>
                </c:pt>
                <c:pt idx="2">
                  <c:v>0.119515198651889</c:v>
                </c:pt>
                <c:pt idx="3">
                  <c:v>0.100719424460432</c:v>
                </c:pt>
                <c:pt idx="4">
                  <c:v>0.0918400414803292</c:v>
                </c:pt>
                <c:pt idx="5">
                  <c:v>0.0878864475986778</c:v>
                </c:pt>
                <c:pt idx="6">
                  <c:v>0.065201892540022</c:v>
                </c:pt>
                <c:pt idx="7">
                  <c:v>0.0521744766349083</c:v>
                </c:pt>
                <c:pt idx="8">
                  <c:v>0.0455635491606715</c:v>
                </c:pt>
                <c:pt idx="9">
                  <c:v>0.0353230928770497</c:v>
                </c:pt>
                <c:pt idx="10">
                  <c:v>0.0159440015555123</c:v>
                </c:pt>
                <c:pt idx="11">
                  <c:v>0.0101756432691684</c:v>
                </c:pt>
                <c:pt idx="12">
                  <c:v>0.00842569187892929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40"/>
        <c:overlap val="-40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1"/>
        <c:axPos val="t"/>
        <c:numFmt formatCode="0.0%" sourceLinked="1"/>
        <c:majorTickMark val="none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f5f373d-4277-4805-830a-c18638960f10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准直聚焦式焊接头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61</c:v>
                </c:pt>
                <c:pt idx="1">
                  <c:v>67.39</c:v>
                </c:pt>
                <c:pt idx="2">
                  <c:v>71.59</c:v>
                </c:pt>
                <c:pt idx="3">
                  <c:v>71.02</c:v>
                </c:pt>
                <c:pt idx="4">
                  <c:v>74.78</c:v>
                </c:pt>
                <c:pt idx="5">
                  <c:v>80.53</c:v>
                </c:pt>
                <c:pt idx="6">
                  <c:v>86.9</c:v>
                </c:pt>
                <c:pt idx="7">
                  <c:v>89.48</c:v>
                </c:pt>
                <c:pt idx="8">
                  <c:v>96.27</c:v>
                </c:pt>
                <c:pt idx="9">
                  <c:v>97.84</c:v>
                </c:pt>
                <c:pt idx="10">
                  <c:v>102.32</c:v>
                </c:pt>
                <c:pt idx="11">
                  <c:v>107.42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振镜扫描式焊接头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63.31</c:v>
                </c:pt>
                <c:pt idx="1">
                  <c:v>67.54</c:v>
                </c:pt>
                <c:pt idx="2">
                  <c:v>72.5</c:v>
                </c:pt>
                <c:pt idx="3">
                  <c:v>73.67</c:v>
                </c:pt>
                <c:pt idx="4">
                  <c:v>79.51</c:v>
                </c:pt>
                <c:pt idx="5">
                  <c:v>88.12</c:v>
                </c:pt>
                <c:pt idx="6">
                  <c:v>96.63</c:v>
                </c:pt>
                <c:pt idx="7">
                  <c:v>104</c:v>
                </c:pt>
                <c:pt idx="8">
                  <c:v>108.9</c:v>
                </c:pt>
                <c:pt idx="9">
                  <c:v>115.47</c:v>
                </c:pt>
                <c:pt idx="10">
                  <c:v>122.84</c:v>
                </c:pt>
                <c:pt idx="11">
                  <c:v>131.47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应用!$B$4:$M$4</c:f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/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val>
            <c:numRef>
              <c:f>应用!$B$11:$M$11</c:f>
            </c:numRef>
          </c:val>
          <c:smooth val="0"/>
        </c:ser>
        <c:ser>
          <c:idx val="10"/>
          <c:order val="10"/>
          <c:tx>
            <c:strRef>
              <c:f>应用!$A$12</c:f>
              <c:strCache>
                <c:ptCount val="1"/>
                <c:pt idx="0">
                  <c:v/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val>
            <c:numRef>
              <c:f>应用!$B$12:$M$12</c:f>
            </c:numRef>
          </c:val>
          <c:smooth val="0"/>
        </c:ser>
        <c:ser>
          <c:idx val="11"/>
          <c:order val="11"/>
          <c:tx>
            <c:strRef>
              <c:f>应用!$A$13</c:f>
              <c:strCache>
                <c:ptCount val="1"/>
                <c:pt idx="0">
                  <c:v/>
                </c:pt>
              </c:strCache>
            </c:strRef>
          </c:tx>
          <c:spPr>
            <a:ln w="28575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val>
            <c:numRef>
              <c:f>应用!$B$13:$M$13</c:f>
            </c:numRef>
          </c:val>
          <c:smooth val="0"/>
        </c:ser>
        <c:ser>
          <c:idx val="12"/>
          <c:order val="12"/>
          <c:tx>
            <c:strRef>
              <c:f>应用!$A$14</c:f>
              <c:strCache>
                <c:ptCount val="1"/>
                <c:pt idx="0">
                  <c:v>合计</c:v>
                </c:pt>
              </c:strCache>
            </c:strRef>
          </c:tx>
          <c:spPr>
            <a:ln w="28575" cap="rnd">
              <a:solidFill>
                <a:schemeClr val="accent1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80000"/>
                  <a:lumOff val="20000"/>
                </a:schemeClr>
              </a:solidFill>
              <a:ln w="9525">
                <a:solidFill>
                  <a:schemeClr val="accent1">
                    <a:lumMod val="80000"/>
                    <a:lumOff val="20000"/>
                  </a:schemeClr>
                </a:solidFill>
              </a:ln>
              <a:effectLst/>
            </c:spPr>
          </c:marker>
          <c:dLbls>
            <c:delete val="1"/>
          </c:dLbls>
          <c:val>
            <c:numRef>
              <c:f>应用!$B$14:$M$14</c:f>
              <c:numCache>
                <c:formatCode>#,##0_);[Red]\(#,##0\)</c:formatCode>
                <c:ptCount val="12"/>
                <c:pt idx="0">
                  <c:v>124.31</c:v>
                </c:pt>
                <c:pt idx="1">
                  <c:v>134.93</c:v>
                </c:pt>
                <c:pt idx="2">
                  <c:v>144.09</c:v>
                </c:pt>
                <c:pt idx="3">
                  <c:v>144.69</c:v>
                </c:pt>
                <c:pt idx="4">
                  <c:v>154.29</c:v>
                </c:pt>
                <c:pt idx="5">
                  <c:v>168.65</c:v>
                </c:pt>
                <c:pt idx="6">
                  <c:v>183.53</c:v>
                </c:pt>
                <c:pt idx="7">
                  <c:v>193.48</c:v>
                </c:pt>
                <c:pt idx="8">
                  <c:v>205.17</c:v>
                </c:pt>
                <c:pt idx="9">
                  <c:v>213.31</c:v>
                </c:pt>
                <c:pt idx="10">
                  <c:v>225.16</c:v>
                </c:pt>
                <c:pt idx="11">
                  <c:v>238.89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39611111111111"/>
          <c:h val="0.06584640522875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ea1df8b-969a-47c0-a245-3b3b929435ca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汽车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61.51</c:v>
                </c:pt>
                <c:pt idx="1">
                  <c:v>66.63</c:v>
                </c:pt>
                <c:pt idx="2">
                  <c:v>70.66</c:v>
                </c:pt>
                <c:pt idx="3">
                  <c:v>70.08</c:v>
                </c:pt>
                <c:pt idx="4">
                  <c:v>73.5</c:v>
                </c:pt>
                <c:pt idx="5">
                  <c:v>79.85</c:v>
                </c:pt>
                <c:pt idx="6">
                  <c:v>87.45</c:v>
                </c:pt>
                <c:pt idx="7">
                  <c:v>92.3</c:v>
                </c:pt>
                <c:pt idx="8">
                  <c:v>95.58</c:v>
                </c:pt>
                <c:pt idx="9">
                  <c:v>99.21</c:v>
                </c:pt>
                <c:pt idx="10">
                  <c:v>106.77</c:v>
                </c:pt>
                <c:pt idx="11">
                  <c:v>112.27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航空航天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13.65</c:v>
                </c:pt>
                <c:pt idx="1">
                  <c:v>14.56</c:v>
                </c:pt>
                <c:pt idx="2">
                  <c:v>16.16</c:v>
                </c:pt>
                <c:pt idx="3">
                  <c:v>16.25</c:v>
                </c:pt>
                <c:pt idx="4">
                  <c:v>17.43</c:v>
                </c:pt>
                <c:pt idx="5">
                  <c:v>18.25</c:v>
                </c:pt>
                <c:pt idx="6">
                  <c:v>20.11</c:v>
                </c:pt>
                <c:pt idx="7">
                  <c:v>21.35</c:v>
                </c:pt>
                <c:pt idx="8">
                  <c:v>23.87</c:v>
                </c:pt>
                <c:pt idx="9">
                  <c:v>24.79</c:v>
                </c:pt>
                <c:pt idx="10">
                  <c:v>25.46</c:v>
                </c:pt>
                <c:pt idx="11">
                  <c:v>26.73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电子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25.86</c:v>
                </c:pt>
                <c:pt idx="1">
                  <c:v>28.12</c:v>
                </c:pt>
                <c:pt idx="2">
                  <c:v>30.02</c:v>
                </c:pt>
                <c:pt idx="3">
                  <c:v>30.98</c:v>
                </c:pt>
                <c:pt idx="4">
                  <c:v>34.1</c:v>
                </c:pt>
                <c:pt idx="5">
                  <c:v>38.63</c:v>
                </c:pt>
                <c:pt idx="6">
                  <c:v>41.48</c:v>
                </c:pt>
                <c:pt idx="7">
                  <c:v>43.7</c:v>
                </c:pt>
                <c:pt idx="8">
                  <c:v>47.59</c:v>
                </c:pt>
                <c:pt idx="9">
                  <c:v>49.76</c:v>
                </c:pt>
                <c:pt idx="10">
                  <c:v>52.21</c:v>
                </c:pt>
                <c:pt idx="11">
                  <c:v>55.59</c:v>
                </c:pt>
              </c:numCache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>医疗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分类!$B$5:$M$5</c:f>
              <c:numCache>
                <c:formatCode>#,##0_);[Red]\(#,##0\)</c:formatCode>
                <c:ptCount val="12"/>
                <c:pt idx="0">
                  <c:v>7.15</c:v>
                </c:pt>
                <c:pt idx="1">
                  <c:v>7.81</c:v>
                </c:pt>
                <c:pt idx="2">
                  <c:v>8.4</c:v>
                </c:pt>
                <c:pt idx="3">
                  <c:v>8.46</c:v>
                </c:pt>
                <c:pt idx="4">
                  <c:v>9.11</c:v>
                </c:pt>
                <c:pt idx="5">
                  <c:v>9.87</c:v>
                </c:pt>
                <c:pt idx="6">
                  <c:v>10.72</c:v>
                </c:pt>
                <c:pt idx="7">
                  <c:v>11.4</c:v>
                </c:pt>
                <c:pt idx="8">
                  <c:v>12.26</c:v>
                </c:pt>
                <c:pt idx="9">
                  <c:v>12.97</c:v>
                </c:pt>
                <c:pt idx="10">
                  <c:v>13.85</c:v>
                </c:pt>
                <c:pt idx="11">
                  <c:v>15.08</c:v>
                </c:pt>
              </c:numCache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分类!$B$6:$M$6</c:f>
              <c:numCache>
                <c:formatCode>#,##0_);[Red]\(#,##0\)</c:formatCode>
                <c:ptCount val="12"/>
                <c:pt idx="0">
                  <c:v>16.14</c:v>
                </c:pt>
                <c:pt idx="1">
                  <c:v>17.81</c:v>
                </c:pt>
                <c:pt idx="2">
                  <c:v>18.85</c:v>
                </c:pt>
                <c:pt idx="3">
                  <c:v>18.92</c:v>
                </c:pt>
                <c:pt idx="4">
                  <c:v>20.15</c:v>
                </c:pt>
                <c:pt idx="5">
                  <c:v>22.05</c:v>
                </c:pt>
                <c:pt idx="6">
                  <c:v>23.77</c:v>
                </c:pt>
                <c:pt idx="7">
                  <c:v>24.73</c:v>
                </c:pt>
                <c:pt idx="8">
                  <c:v>25.87</c:v>
                </c:pt>
                <c:pt idx="9">
                  <c:v>26.58</c:v>
                </c:pt>
                <c:pt idx="10">
                  <c:v>26.87</c:v>
                </c:pt>
                <c:pt idx="11">
                  <c:v>29.22</c:v>
                </c:pt>
              </c:numCache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分类!$B$8:$M$8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a8fedeab-017a-45f9-825a-d8b14ef489e0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1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8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9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1624</Words>
  <Characters>1828</Characters>
  <Lines>105</Lines>
  <Paragraphs>133</Paragraphs>
  <TotalTime>273</TotalTime>
  <ScaleCrop>false</ScaleCrop>
  <LinksUpToDate>false</LinksUpToDate>
  <CharactersWithSpaces>1833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2026-02-05T09:05:36Z</dcterms:modified>
  <cp:revision>1227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9B42B819A3F14DE18E1E8430F9630F0B_12</vt:lpwstr>
  </property>
  <property fmtid="{D5CDD505-2E9C-101B-9397-08002B2CF9AE}" pid="4" name="KSOTemplateDocerSaveRecord">
    <vt:lpwstr>eyJoZGlkIjoiMjFmNGNlNTgxMTU0YzBhMjY3NTRmNDcyYjNlZTNhMDciLCJ1c2VySWQiOiI0MzI5MTg4NDMifQ==</vt:lpwstr>
  </property>
</Properties>
</file>