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000" w:x="7252" w:y="2038"/>
        <w:widowControl w:val="0"/>
        <w:autoSpaceDE w:val="0"/>
        <w:autoSpaceDN w:val="0"/>
        <w:spacing w:before="0" w:after="0" w:line="421" w:lineRule="exact"/>
        <w:ind w:left="0" w:right="0" w:firstLine="0"/>
        <w:jc w:val="left"/>
        <w:rPr>
          <w:rFonts w:ascii="Times New Roman"/>
          <w:color w:val="000000"/>
          <w:spacing w:val="0"/>
          <w:sz w:val="42"/>
        </w:rPr>
      </w:pPr>
      <w:r>
        <w:rPr>
          <w:rFonts w:ascii="SimSun" w:hAnsi="SimSun" w:cs="SimSun"/>
          <w:color w:val="000000"/>
          <w:spacing w:val="1"/>
          <w:sz w:val="42"/>
        </w:rPr>
        <w:t>中外资产评估准则</w:t>
      </w:r>
    </w:p>
    <w:p>
      <w:pPr>
        <w:framePr w:w="5100" w:x="6723"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——《投资价值评估》读书笔记</w:t>
      </w:r>
    </w:p>
    <w:p>
      <w:pPr>
        <w:framePr w:w="3420" w:x="2701" w:y="3288"/>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一、基本信息介绍</w:t>
      </w:r>
    </w:p>
    <w:p>
      <w:pPr>
        <w:framePr w:w="11068" w:x="2701" w:y="382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书名：《投资价值评估》（《</w:t>
      </w:r>
      <w:r>
        <w:rPr>
          <w:rFonts w:ascii="Times New Roman"/>
          <w:color w:val="000000"/>
          <w:spacing w:val="61"/>
          <w:sz w:val="32"/>
        </w:rPr>
        <w:t xml:space="preserve"> </w:t>
      </w:r>
      <w:r>
        <w:rPr>
          <w:rFonts w:ascii="Calibri"/>
          <w:color w:val="000000"/>
          <w:spacing w:val="-1"/>
          <w:sz w:val="32"/>
        </w:rPr>
        <w:t>Valuation</w:t>
      </w:r>
      <w:r>
        <w:rPr>
          <w:rFonts w:ascii="Calibri"/>
          <w:color w:val="000000"/>
          <w:spacing w:val="-1"/>
          <w:sz w:val="32"/>
        </w:rPr>
        <w:t xml:space="preserve"> </w:t>
      </w:r>
      <w:r>
        <w:rPr>
          <w:rFonts w:ascii="Calibri"/>
          <w:color w:val="000000"/>
          <w:spacing w:val="-2"/>
          <w:sz w:val="32"/>
        </w:rPr>
        <w:t>Based</w:t>
      </w:r>
      <w:r>
        <w:rPr>
          <w:rFonts w:ascii="Calibri"/>
          <w:color w:val="000000"/>
          <w:spacing w:val="-1"/>
          <w:sz w:val="32"/>
        </w:rPr>
        <w:t xml:space="preserve"> </w:t>
      </w:r>
      <w:r>
        <w:rPr>
          <w:rFonts w:ascii="Calibri"/>
          <w:color w:val="000000"/>
          <w:spacing w:val="-2"/>
          <w:sz w:val="32"/>
        </w:rPr>
        <w:t>on</w:t>
      </w:r>
      <w:r>
        <w:rPr>
          <w:rFonts w:ascii="Calibri"/>
          <w:color w:val="000000"/>
          <w:spacing w:val="-1"/>
          <w:sz w:val="32"/>
        </w:rPr>
        <w:t xml:space="preserve"> </w:t>
      </w:r>
      <w:r>
        <w:rPr>
          <w:rFonts w:ascii="Calibri"/>
          <w:color w:val="000000"/>
          <w:spacing w:val="-2"/>
          <w:sz w:val="32"/>
        </w:rPr>
        <w:t>Investment</w:t>
      </w:r>
      <w:r>
        <w:rPr>
          <w:rFonts w:ascii="Calibri"/>
          <w:color w:val="000000"/>
          <w:spacing w:val="0"/>
          <w:sz w:val="32"/>
        </w:rPr>
        <w:t xml:space="preserve"> </w:t>
      </w:r>
      <w:r>
        <w:rPr>
          <w:rFonts w:ascii="Calibri"/>
          <w:color w:val="000000"/>
          <w:spacing w:val="-1"/>
          <w:sz w:val="32"/>
        </w:rPr>
        <w:t>Value</w:t>
      </w:r>
      <w:r>
        <w:rPr>
          <w:rFonts w:ascii="SimSun" w:hAnsi="SimSun" w:cs="SimSun"/>
          <w:color w:val="000000"/>
          <w:spacing w:val="-3"/>
          <w:sz w:val="32"/>
        </w:rPr>
        <w:t>》）</w:t>
      </w:r>
    </w:p>
    <w:p>
      <w:pPr>
        <w:framePr w:w="11068"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编者：国务院国资委产权管理局，投资价值评估课题组</w:t>
      </w:r>
    </w:p>
    <w:p>
      <w:pPr>
        <w:framePr w:w="11068"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出版社：中国市场出版社</w:t>
      </w:r>
    </w:p>
    <w:p>
      <w:pPr>
        <w:framePr w:w="3248" w:x="2701" w:y="522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全书字数：</w:t>
      </w:r>
      <w:r>
        <w:rPr>
          <w:rFonts w:ascii="Calibri"/>
          <w:color w:val="000000"/>
          <w:spacing w:val="-2"/>
          <w:sz w:val="32"/>
        </w:rPr>
        <w:t>330</w:t>
      </w:r>
      <w:r>
        <w:rPr>
          <w:rFonts w:ascii="Calibri"/>
          <w:color w:val="000000"/>
          <w:spacing w:val="5"/>
          <w:sz w:val="32"/>
        </w:rPr>
        <w:t xml:space="preserve"> </w:t>
      </w:r>
      <w:r>
        <w:rPr>
          <w:rFonts w:ascii="SimSun" w:hAnsi="SimSun" w:cs="SimSun"/>
          <w:color w:val="000000"/>
          <w:spacing w:val="-3"/>
          <w:sz w:val="32"/>
        </w:rPr>
        <w:t>千字</w:t>
      </w:r>
    </w:p>
    <w:p>
      <w:pPr>
        <w:framePr w:w="5549" w:x="2701" w:y="56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出版时间：</w:t>
      </w:r>
      <w:r>
        <w:rPr>
          <w:rFonts w:ascii="Calibri"/>
          <w:color w:val="000000"/>
          <w:spacing w:val="-2"/>
          <w:sz w:val="32"/>
        </w:rPr>
        <w:t>2016</w:t>
      </w:r>
      <w:r>
        <w:rPr>
          <w:rFonts w:ascii="Calibri"/>
          <w:color w:val="000000"/>
          <w:spacing w:val="3"/>
          <w:sz w:val="32"/>
        </w:rPr>
        <w:t xml:space="preserve"> </w:t>
      </w:r>
      <w:r>
        <w:rPr>
          <w:rFonts w:ascii="SimSun" w:hAnsi="SimSun" w:cs="SimSun"/>
          <w:color w:val="000000"/>
          <w:spacing w:val="0"/>
          <w:sz w:val="32"/>
        </w:rPr>
        <w:t>年</w:t>
      </w:r>
      <w:r>
        <w:rPr>
          <w:rFonts w:ascii="Times New Roman"/>
          <w:color w:val="000000"/>
          <w:spacing w:val="-8"/>
          <w:sz w:val="32"/>
        </w:rPr>
        <w:t xml:space="preserve"> </w:t>
      </w:r>
      <w:r>
        <w:rPr>
          <w:rFonts w:ascii="Calibri"/>
          <w:color w:val="000000"/>
          <w:spacing w:val="0"/>
          <w:sz w:val="32"/>
        </w:rPr>
        <w:t>1</w:t>
      </w:r>
      <w:r>
        <w:rPr>
          <w:rFonts w:ascii="Calibri"/>
          <w:color w:val="000000"/>
          <w:spacing w:val="7"/>
          <w:sz w:val="32"/>
        </w:rPr>
        <w:t xml:space="preserve"> </w:t>
      </w:r>
      <w:r>
        <w:rPr>
          <w:rFonts w:ascii="SimSun" w:hAnsi="SimSun" w:cs="SimSun"/>
          <w:color w:val="000000"/>
          <w:spacing w:val="-3"/>
          <w:sz w:val="32"/>
        </w:rPr>
        <w:t>月第</w:t>
      </w:r>
      <w:r>
        <w:rPr>
          <w:rFonts w:ascii="Times New Roman"/>
          <w:color w:val="000000"/>
          <w:spacing w:val="-7"/>
          <w:sz w:val="32"/>
        </w:rPr>
        <w:t xml:space="preserve"> </w:t>
      </w:r>
      <w:r>
        <w:rPr>
          <w:rFonts w:ascii="Calibri"/>
          <w:color w:val="000000"/>
          <w:spacing w:val="0"/>
          <w:sz w:val="32"/>
        </w:rPr>
        <w:t>1</w:t>
      </w:r>
      <w:r>
        <w:rPr>
          <w:rFonts w:ascii="Calibri"/>
          <w:color w:val="000000"/>
          <w:spacing w:val="7"/>
          <w:sz w:val="32"/>
        </w:rPr>
        <w:t xml:space="preserve"> </w:t>
      </w:r>
      <w:r>
        <w:rPr>
          <w:rFonts w:ascii="SimSun" w:hAnsi="SimSun" w:cs="SimSun"/>
          <w:color w:val="000000"/>
          <w:spacing w:val="-3"/>
          <w:sz w:val="32"/>
        </w:rPr>
        <w:t>次印刷</w:t>
      </w:r>
    </w:p>
    <w:p>
      <w:pPr>
        <w:framePr w:w="8282" w:x="2701" w:y="616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阅读时间段：</w:t>
      </w:r>
      <w:r>
        <w:rPr>
          <w:rFonts w:ascii="Calibri"/>
          <w:color w:val="000000"/>
          <w:spacing w:val="-2"/>
          <w:sz w:val="32"/>
        </w:rPr>
        <w:t>2016</w:t>
      </w:r>
      <w:r>
        <w:rPr>
          <w:rFonts w:ascii="Calibri"/>
          <w:color w:val="000000"/>
          <w:spacing w:val="6"/>
          <w:sz w:val="32"/>
        </w:rPr>
        <w:t xml:space="preserve"> </w:t>
      </w:r>
      <w:r>
        <w:rPr>
          <w:rFonts w:ascii="SimSun" w:hAnsi="SimSun" w:cs="SimSun"/>
          <w:color w:val="000000"/>
          <w:spacing w:val="0"/>
          <w:sz w:val="32"/>
        </w:rPr>
        <w:t>年</w:t>
      </w:r>
      <w:r>
        <w:rPr>
          <w:rFonts w:ascii="Times New Roman"/>
          <w:color w:val="000000"/>
          <w:spacing w:val="-7"/>
          <w:sz w:val="32"/>
        </w:rPr>
        <w:t xml:space="preserve"> </w:t>
      </w:r>
      <w:r>
        <w:rPr>
          <w:rFonts w:ascii="Calibri"/>
          <w:color w:val="000000"/>
          <w:spacing w:val="0"/>
          <w:sz w:val="32"/>
        </w:rPr>
        <w:t>6</w:t>
      </w:r>
      <w:r>
        <w:rPr>
          <w:rFonts w:ascii="Calibri"/>
          <w:color w:val="000000"/>
          <w:spacing w:val="3"/>
          <w:sz w:val="32"/>
        </w:rPr>
        <w:t xml:space="preserve"> </w:t>
      </w:r>
      <w:r>
        <w:rPr>
          <w:rFonts w:ascii="SimSun" w:hAnsi="SimSun" w:cs="SimSun"/>
          <w:color w:val="000000"/>
          <w:spacing w:val="0"/>
          <w:sz w:val="32"/>
        </w:rPr>
        <w:t>月</w:t>
      </w:r>
      <w:r>
        <w:rPr>
          <w:rFonts w:ascii="Times New Roman"/>
          <w:color w:val="000000"/>
          <w:spacing w:val="-8"/>
          <w:sz w:val="32"/>
        </w:rPr>
        <w:t xml:space="preserve"> </w:t>
      </w:r>
      <w:r>
        <w:rPr>
          <w:rFonts w:ascii="Calibri"/>
          <w:color w:val="000000"/>
          <w:spacing w:val="-2"/>
          <w:sz w:val="32"/>
        </w:rPr>
        <w:t>17</w:t>
      </w:r>
      <w:r>
        <w:rPr>
          <w:rFonts w:ascii="Calibri"/>
          <w:color w:val="000000"/>
          <w:spacing w:val="6"/>
          <w:sz w:val="32"/>
        </w:rPr>
        <w:t xml:space="preserve"> </w:t>
      </w:r>
      <w:r>
        <w:rPr>
          <w:rFonts w:ascii="SimSun" w:hAnsi="SimSun" w:cs="SimSun"/>
          <w:color w:val="000000"/>
          <w:spacing w:val="-3"/>
          <w:sz w:val="32"/>
        </w:rPr>
        <w:t>日至</w:t>
      </w:r>
      <w:r>
        <w:rPr>
          <w:rFonts w:ascii="Times New Roman"/>
          <w:color w:val="000000"/>
          <w:spacing w:val="-4"/>
          <w:sz w:val="32"/>
        </w:rPr>
        <w:t xml:space="preserve"> </w:t>
      </w:r>
      <w:r>
        <w:rPr>
          <w:rFonts w:ascii="Calibri"/>
          <w:color w:val="000000"/>
          <w:spacing w:val="-2"/>
          <w:sz w:val="32"/>
        </w:rPr>
        <w:t>2016</w:t>
      </w:r>
      <w:r>
        <w:rPr>
          <w:rFonts w:ascii="Calibri"/>
          <w:color w:val="000000"/>
          <w:spacing w:val="3"/>
          <w:sz w:val="32"/>
        </w:rPr>
        <w:t xml:space="preserve"> </w:t>
      </w:r>
      <w:r>
        <w:rPr>
          <w:rFonts w:ascii="SimSun" w:hAnsi="SimSun" w:cs="SimSun"/>
          <w:color w:val="000000"/>
          <w:spacing w:val="0"/>
          <w:sz w:val="32"/>
        </w:rPr>
        <w:t>年</w:t>
      </w:r>
      <w:r>
        <w:rPr>
          <w:rFonts w:ascii="Times New Roman"/>
          <w:color w:val="000000"/>
          <w:spacing w:val="-7"/>
          <w:sz w:val="32"/>
        </w:rPr>
        <w:t xml:space="preserve"> </w:t>
      </w:r>
      <w:r>
        <w:rPr>
          <w:rFonts w:ascii="Calibri"/>
          <w:color w:val="000000"/>
          <w:spacing w:val="0"/>
          <w:sz w:val="32"/>
        </w:rPr>
        <w:t>6</w:t>
      </w:r>
      <w:r>
        <w:rPr>
          <w:rFonts w:ascii="Calibri"/>
          <w:color w:val="000000"/>
          <w:spacing w:val="7"/>
          <w:sz w:val="32"/>
        </w:rPr>
        <w:t xml:space="preserve"> </w:t>
      </w:r>
      <w:r>
        <w:rPr>
          <w:rFonts w:ascii="SimSun" w:hAnsi="SimSun" w:cs="SimSun"/>
          <w:color w:val="000000"/>
          <w:spacing w:val="0"/>
          <w:sz w:val="32"/>
        </w:rPr>
        <w:t>月</w:t>
      </w:r>
      <w:r>
        <w:rPr>
          <w:rFonts w:ascii="Times New Roman"/>
          <w:color w:val="000000"/>
          <w:spacing w:val="-8"/>
          <w:sz w:val="32"/>
        </w:rPr>
        <w:t xml:space="preserve"> </w:t>
      </w:r>
      <w:r>
        <w:rPr>
          <w:rFonts w:ascii="Calibri"/>
          <w:color w:val="000000"/>
          <w:spacing w:val="-2"/>
          <w:sz w:val="32"/>
        </w:rPr>
        <w:t>28</w:t>
      </w:r>
      <w:r>
        <w:rPr>
          <w:rFonts w:ascii="Calibri"/>
          <w:color w:val="000000"/>
          <w:spacing w:val="7"/>
          <w:sz w:val="32"/>
        </w:rPr>
        <w:t xml:space="preserve"> </w:t>
      </w:r>
      <w:r>
        <w:rPr>
          <w:rFonts w:ascii="SimSun" w:hAnsi="SimSun" w:cs="SimSun"/>
          <w:color w:val="000000"/>
          <w:spacing w:val="0"/>
          <w:sz w:val="32"/>
        </w:rPr>
        <w:t>日</w:t>
      </w:r>
    </w:p>
    <w:p>
      <w:pPr>
        <w:framePr w:w="8282" w:x="2701" w:y="6160"/>
        <w:widowControl w:val="0"/>
        <w:autoSpaceDE w:val="0"/>
        <w:autoSpaceDN w:val="0"/>
        <w:spacing w:before="82" w:after="0" w:line="360" w:lineRule="exact"/>
        <w:ind w:left="0" w:right="0" w:firstLine="0"/>
        <w:jc w:val="left"/>
        <w:rPr>
          <w:rFonts w:ascii="Times New Roman"/>
          <w:color w:val="000000"/>
          <w:spacing w:val="0"/>
          <w:sz w:val="36"/>
        </w:rPr>
      </w:pPr>
      <w:r>
        <w:rPr>
          <w:rFonts w:ascii="SimSun" w:hAnsi="SimSun" w:cs="SimSun"/>
          <w:color w:val="000000"/>
          <w:spacing w:val="0"/>
          <w:sz w:val="36"/>
        </w:rPr>
        <w:t>二、内容简介与心得</w:t>
      </w:r>
    </w:p>
    <w:p>
      <w:pPr>
        <w:framePr w:w="10565" w:x="270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要求：心得体会一定结合自己的研究内容、专业规划，不说空话。</w:t>
      </w:r>
    </w:p>
    <w:p>
      <w:pPr>
        <w:framePr w:w="14937" w:x="2701" w:y="7565"/>
        <w:widowControl w:val="0"/>
        <w:autoSpaceDE w:val="0"/>
        <w:autoSpaceDN w:val="0"/>
        <w:spacing w:before="0" w:after="0" w:line="330" w:lineRule="exact"/>
        <w:ind w:left="630" w:right="0" w:firstLine="0"/>
        <w:jc w:val="left"/>
        <w:rPr>
          <w:rFonts w:ascii="Calibri"/>
          <w:color w:val="000000"/>
          <w:spacing w:val="0"/>
          <w:sz w:val="32"/>
        </w:rPr>
      </w:pPr>
      <w:r>
        <w:rPr>
          <w:rFonts w:ascii="SimSun" w:hAnsi="SimSun" w:cs="SimSun"/>
          <w:color w:val="000000"/>
          <w:spacing w:val="-5"/>
          <w:sz w:val="32"/>
        </w:rPr>
        <w:t>本书的特点在于（</w:t>
      </w:r>
      <w:r>
        <w:rPr>
          <w:rFonts w:ascii="Calibri"/>
          <w:color w:val="000000"/>
          <w:spacing w:val="0"/>
          <w:sz w:val="32"/>
        </w:rPr>
        <w:t>1</w:t>
      </w:r>
      <w:r>
        <w:rPr>
          <w:rFonts w:ascii="SimSun" w:hAnsi="SimSun" w:cs="SimSun"/>
          <w:color w:val="000000"/>
          <w:spacing w:val="-5"/>
          <w:sz w:val="32"/>
        </w:rPr>
        <w:t>）内容安排合理，由浅入深，重点突出。按照理论基础</w:t>
      </w:r>
      <w:r>
        <w:rPr>
          <w:rFonts w:ascii="Calibri"/>
          <w:color w:val="000000"/>
          <w:spacing w:val="-4"/>
          <w:sz w:val="32"/>
        </w:rPr>
        <w:t>-</w:t>
      </w:r>
      <w:r>
        <w:rPr>
          <w:rFonts w:ascii="SimSun" w:hAnsi="SimSun" w:cs="SimSun"/>
          <w:color w:val="000000"/>
          <w:spacing w:val="-5"/>
          <w:sz w:val="32"/>
        </w:rPr>
        <w:t>内涵界定</w:t>
      </w:r>
      <w:r>
        <w:rPr>
          <w:rFonts w:ascii="Calibri"/>
          <w:color w:val="000000"/>
          <w:spacing w:val="0"/>
          <w:sz w:val="32"/>
        </w:rPr>
        <w:t>-</w:t>
      </w:r>
    </w:p>
    <w:p>
      <w:pPr>
        <w:framePr w:w="14937" w:x="2701" w:y="756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方法和参数选择</w:t>
      </w:r>
      <w:r>
        <w:rPr>
          <w:rFonts w:ascii="Calibri"/>
          <w:color w:val="000000"/>
          <w:spacing w:val="-1"/>
          <w:sz w:val="32"/>
        </w:rPr>
        <w:t>-</w:t>
      </w:r>
      <w:r>
        <w:rPr>
          <w:rFonts w:ascii="SimSun" w:hAnsi="SimSun" w:cs="SimSun"/>
          <w:color w:val="000000"/>
          <w:spacing w:val="-5"/>
          <w:sz w:val="32"/>
        </w:rPr>
        <w:t>操作实务</w:t>
      </w:r>
      <w:r>
        <w:rPr>
          <w:rFonts w:ascii="Calibri"/>
          <w:color w:val="000000"/>
          <w:spacing w:val="-4"/>
          <w:sz w:val="32"/>
        </w:rPr>
        <w:t>-</w:t>
      </w:r>
      <w:r>
        <w:rPr>
          <w:rFonts w:ascii="SimSun" w:hAnsi="SimSun" w:cs="SimSun"/>
          <w:color w:val="000000"/>
          <w:spacing w:val="-4"/>
          <w:sz w:val="32"/>
        </w:rPr>
        <w:t>应用案例</w:t>
      </w:r>
      <w:r>
        <w:rPr>
          <w:rFonts w:ascii="Calibri"/>
          <w:color w:val="000000"/>
          <w:spacing w:val="-5"/>
          <w:sz w:val="32"/>
        </w:rPr>
        <w:t>-</w:t>
      </w:r>
      <w:r>
        <w:rPr>
          <w:rFonts w:ascii="SimSun" w:hAnsi="SimSun" w:cs="SimSun"/>
          <w:color w:val="000000"/>
          <w:spacing w:val="-3"/>
          <w:sz w:val="32"/>
        </w:rPr>
        <w:t>研究结论的顺序，介绍了评估理论与实务的方方面面，</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对于初学者而言，有助于他们了解学习评估的方法和视角，对于有一定评估知识储备的人，</w:t>
      </w:r>
    </w:p>
    <w:p>
      <w:pPr>
        <w:framePr w:w="14937" w:x="2701" w:y="756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有助于他们完善自己的学习框架并通过本文的前沿研究深入思考评估中的实际问题。（</w:t>
      </w:r>
      <w:r>
        <w:rPr>
          <w:rFonts w:ascii="Calibri"/>
          <w:color w:val="000000"/>
          <w:spacing w:val="-4"/>
          <w:sz w:val="32"/>
        </w:rPr>
        <w:t>2</w:t>
      </w:r>
      <w:r>
        <w:rPr>
          <w:rFonts w:ascii="SimSun" w:hAnsi="SimSun" w:cs="SimSun"/>
          <w:color w:val="000000"/>
          <w:spacing w:val="0"/>
          <w:sz w:val="32"/>
        </w:rPr>
        <w:t>）</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论证说理严谨，有理有据。这本书里的文章不是一家之言，或者编者的凭空乱造。它清楚标</w:t>
      </w:r>
    </w:p>
    <w:p>
      <w:pPr>
        <w:framePr w:w="14937" w:x="2701" w:y="756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示的都共有</w:t>
      </w:r>
      <w:r>
        <w:rPr>
          <w:rFonts w:ascii="Times New Roman"/>
          <w:color w:val="000000"/>
          <w:spacing w:val="-8"/>
          <w:sz w:val="32"/>
        </w:rPr>
        <w:t xml:space="preserve"> </w:t>
      </w:r>
      <w:r>
        <w:rPr>
          <w:rFonts w:ascii="Calibri"/>
          <w:color w:val="000000"/>
          <w:spacing w:val="-2"/>
          <w:sz w:val="32"/>
        </w:rPr>
        <w:t>107</w:t>
      </w:r>
      <w:r>
        <w:rPr>
          <w:rFonts w:ascii="Calibri"/>
          <w:color w:val="000000"/>
          <w:spacing w:val="5"/>
          <w:sz w:val="32"/>
        </w:rPr>
        <w:t xml:space="preserve"> </w:t>
      </w:r>
      <w:r>
        <w:rPr>
          <w:rFonts w:ascii="SimSun" w:hAnsi="SimSun" w:cs="SimSun"/>
          <w:color w:val="000000"/>
          <w:spacing w:val="-5"/>
          <w:sz w:val="32"/>
        </w:rPr>
        <w:t>中外参考文献，使得行文处处闪耀着科学研究严谨的特点（</w:t>
      </w:r>
      <w:r>
        <w:rPr>
          <w:rFonts w:ascii="Calibri"/>
          <w:color w:val="000000"/>
          <w:spacing w:val="-3"/>
          <w:sz w:val="32"/>
        </w:rPr>
        <w:t>3</w:t>
      </w:r>
      <w:r>
        <w:rPr>
          <w:rFonts w:ascii="SimSun" w:hAnsi="SimSun" w:cs="SimSun"/>
          <w:color w:val="000000"/>
          <w:spacing w:val="-3"/>
          <w:sz w:val="32"/>
        </w:rPr>
        <w:t>）逻辑清晰，</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描述客观。文章不论是大章节和大章节之间，还是小节与小节之间，甚至是段与段之间，都</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具有清晰地过渡，严密地逻辑。使阅读者读起来一气呵成、思路清晰。并且很多有争议的说</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法，该书都会详细地介绍对这种争议不同的研究结果，留给读者自主判断和独立思考的权力。</w:t>
      </w:r>
    </w:p>
    <w:p>
      <w:pPr>
        <w:framePr w:w="14937" w:x="2701" w:y="756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3"/>
          <w:sz w:val="32"/>
        </w:rPr>
        <w:t>）编著者权威性。本书的编者都是国务院国资委产权管理局，投资价值评估课题组中理</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论兼具实务的权威人士，这点不同于市面上的其他数据。这一点使其内容更具有可看性、结</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论更有说服力。时任国务院国资委副秘书长郭建新同志多次听取课题进度及本书撰写工作报</w:t>
      </w:r>
    </w:p>
    <w:p>
      <w:pPr>
        <w:framePr w:w="14937" w:x="2701" w:y="756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告，时任国务院国资委产权管理局局长邓志雄同志对课题研究和本书架构设计、主要内容作</w:t>
      </w:r>
    </w:p>
    <w:p>
      <w:pPr>
        <w:framePr w:w="14937" w:x="2701" w:y="756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了悉心指导。（</w:t>
      </w:r>
      <w:r>
        <w:rPr>
          <w:rFonts w:ascii="Calibri"/>
          <w:color w:val="000000"/>
          <w:spacing w:val="-4"/>
          <w:sz w:val="32"/>
        </w:rPr>
        <w:t>5</w:t>
      </w:r>
      <w:r>
        <w:rPr>
          <w:rFonts w:ascii="SimSun" w:hAnsi="SimSun" w:cs="SimSun"/>
          <w:color w:val="000000"/>
          <w:spacing w:val="-3"/>
          <w:sz w:val="32"/>
        </w:rPr>
        <w:t>）成书时间长，反复修订。课题组成员在三年多时间里先后进行了数十次</w:t>
      </w:r>
    </w:p>
    <w:p>
      <w:pPr>
        <w:framePr w:w="14937"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专题研讨、座谈，反复讨论重点、热点、难点。</w:t>
      </w:r>
    </w:p>
    <w:p>
      <w:pPr>
        <w:framePr w:w="14937" w:x="2701" w:y="1458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我选择的阅读顺序是第二章、第三章第一节、第五章、第六章及剩余部分。第二章是有</w:t>
      </w:r>
    </w:p>
    <w:p>
      <w:pPr>
        <w:framePr w:w="14937"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关研究对象——投资价值的理论基础部分，该章节包含了中外文献研究综述和三个主要理</w:t>
      </w:r>
    </w:p>
    <w:p>
      <w:pPr>
        <w:framePr w:w="14937"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论，分别是价值类型理论、协同效应理论、定价理论；第三章讲的是评估规范中的投资价值</w:t>
      </w:r>
    </w:p>
    <w:p>
      <w:pPr>
        <w:framePr w:w="14937"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定义，第一节是以投资价值为线索，比较国际及各国评估准则对其不同的定义和应用，既与</w:t>
      </w:r>
    </w:p>
    <w:p>
      <w:pPr>
        <w:framePr w:w="14937"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中外评估准则这门课程相关，又具有实际研究的意义；第五章讲操作实务，分别从业务特点、</w:t>
      </w:r>
    </w:p>
    <w:p>
      <w:pPr>
        <w:framePr w:w="14937"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从业原则、程序、结论和报告展开论述；第六章应用部分，选取了投资价值评估的特殊问题，</w:t>
      </w:r>
    </w:p>
    <w:p>
      <w:pPr>
        <w:framePr w:w="14937" w:x="2701" w:y="1458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以案例的形式阐述，如投资价值在</w:t>
      </w:r>
      <w:r>
        <w:rPr>
          <w:rFonts w:ascii="Times New Roman"/>
          <w:color w:val="000000"/>
          <w:spacing w:val="-25"/>
          <w:sz w:val="32"/>
        </w:rPr>
        <w:t xml:space="preserve"> </w:t>
      </w:r>
      <w:r>
        <w:rPr>
          <w:rFonts w:ascii="Calibri"/>
          <w:color w:val="000000"/>
          <w:spacing w:val="-2"/>
          <w:sz w:val="32"/>
        </w:rPr>
        <w:t>PE</w:t>
      </w:r>
      <w:r>
        <w:rPr>
          <w:rFonts w:ascii="SimSun" w:hAnsi="SimSun" w:cs="SimSun"/>
          <w:color w:val="000000"/>
          <w:spacing w:val="-10"/>
          <w:sz w:val="32"/>
        </w:rPr>
        <w:t>、</w:t>
      </w:r>
      <w:r>
        <w:rPr>
          <w:rFonts w:ascii="Calibri"/>
          <w:color w:val="000000"/>
          <w:spacing w:val="-2"/>
          <w:sz w:val="32"/>
        </w:rPr>
        <w:t>VC</w:t>
      </w:r>
      <w:r>
        <w:rPr>
          <w:rFonts w:ascii="Calibri"/>
          <w:color w:val="000000"/>
          <w:spacing w:val="1"/>
          <w:sz w:val="32"/>
        </w:rPr>
        <w:t xml:space="preserve"> </w:t>
      </w:r>
      <w:r>
        <w:rPr>
          <w:rFonts w:ascii="SimSun" w:hAnsi="SimSun" w:cs="SimSun"/>
          <w:color w:val="000000"/>
          <w:spacing w:val="-3"/>
          <w:sz w:val="32"/>
        </w:rPr>
        <w:t>中的应用、在矿业投资、境外投资、电信投资中</w:t>
      </w:r>
    </w:p>
    <w:p>
      <w:pPr>
        <w:framePr w:w="14937"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的应用。</w:t>
      </w:r>
    </w:p>
    <w:p>
      <w:pPr>
        <w:framePr w:w="6368" w:x="6172" w:y="1833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（一）第二章</w:t>
      </w:r>
      <w:r>
        <w:rPr>
          <w:rFonts w:ascii="Times New Roman"/>
          <w:color w:val="000000"/>
          <w:spacing w:val="71"/>
          <w:sz w:val="32"/>
        </w:rPr>
        <w:t xml:space="preserve"> </w:t>
      </w:r>
      <w:r>
        <w:rPr>
          <w:rFonts w:ascii="SimSun" w:hAnsi="SimSun" w:cs="SimSun"/>
          <w:color w:val="000000"/>
          <w:spacing w:val="-3"/>
          <w:sz w:val="32"/>
        </w:rPr>
        <w:t>投资价值评估的理论基础</w:t>
      </w:r>
    </w:p>
    <w:p>
      <w:pPr>
        <w:framePr w:w="3829" w:x="2701" w:y="18798"/>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SimSun" w:hAnsi="SimSun" w:cs="SimSun"/>
          <w:color w:val="000000"/>
          <w:spacing w:val="-3"/>
          <w:sz w:val="32"/>
        </w:rPr>
        <w:t>、本章主要内容及结论</w:t>
      </w:r>
    </w:p>
    <w:p>
      <w:pPr>
        <w:framePr w:w="1430"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第一节</w:t>
      </w:r>
    </w:p>
    <w:p>
      <w:pPr>
        <w:framePr w:w="2698" w:x="3334" w:y="1973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理论研究的源头</w:t>
      </w:r>
    </w:p>
    <w:p>
      <w:pPr>
        <w:framePr w:w="14937" w:x="2701" w:y="2020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现代评估理论中广为应用的许多基本概念，包括根据未来收益确定价值、探讨建筑物及</w:t>
      </w:r>
    </w:p>
    <w:p>
      <w:pPr>
        <w:framePr w:w="14937"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土地折旧对供求价值的影响，都来自新古典主义经济学的代表人物阿尔弗雷德·马歇尔的《经</w:t>
      </w:r>
    </w:p>
    <w:p>
      <w:pPr>
        <w:framePr w:w="14937"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济学原理》，其后，经济学家又随着各种交易行为的发生完善和发展了评估理论。</w:t>
      </w:r>
    </w:p>
    <w:p>
      <w:pPr>
        <w:framePr w:w="14937" w:x="2701" w:y="20202"/>
        <w:widowControl w:val="0"/>
        <w:autoSpaceDE w:val="0"/>
        <w:autoSpaceDN w:val="0"/>
        <w:spacing w:before="151" w:after="0" w:line="317" w:lineRule="exact"/>
        <w:ind w:left="633" w:right="0" w:firstLine="0"/>
        <w:jc w:val="left"/>
        <w:rPr>
          <w:rFonts w:ascii="Times New Roman"/>
          <w:color w:val="000000"/>
          <w:spacing w:val="0"/>
          <w:sz w:val="32"/>
        </w:rPr>
      </w:pPr>
      <w:r>
        <w:rPr>
          <w:rFonts w:ascii="SimSun" w:hAnsi="SimSun" w:cs="SimSun"/>
          <w:color w:val="000000"/>
          <w:spacing w:val="-3"/>
          <w:sz w:val="32"/>
        </w:rPr>
        <w:t>投资价值的定义</w:t>
      </w:r>
    </w:p>
    <w:p>
      <w:pPr>
        <w:framePr w:w="13844" w:x="333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各国对投资价值的定义不完全相同，但基本要点是一致的，在第三章第一节中有各国和</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35pt;height:4pt;margin-top:367.35pt;margin-left:134pt;mso-position-horizontal-relative:page;mso-position-vertical-relative:page;position:absolute;z-index:-25163059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83" w:x="2701" w:y="194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国际准则对其定义的比较。国际评估准则（</w:t>
      </w:r>
      <w:r>
        <w:rPr>
          <w:rFonts w:ascii="Calibri"/>
          <w:color w:val="000000"/>
          <w:spacing w:val="-2"/>
          <w:sz w:val="32"/>
        </w:rPr>
        <w:t>IVS,2013)</w:t>
      </w:r>
      <w:r>
        <w:rPr>
          <w:rFonts w:ascii="SimSun" w:hAnsi="SimSun" w:cs="SimSun"/>
          <w:color w:val="000000"/>
          <w:spacing w:val="-3"/>
          <w:sz w:val="32"/>
        </w:rPr>
        <w:t>、英国</w:t>
      </w:r>
      <w:r>
        <w:rPr>
          <w:rFonts w:ascii="Times New Roman"/>
          <w:color w:val="000000"/>
          <w:spacing w:val="-8"/>
          <w:sz w:val="32"/>
        </w:rPr>
        <w:t xml:space="preserve"> </w:t>
      </w:r>
      <w:r>
        <w:rPr>
          <w:rFonts w:ascii="Calibri"/>
          <w:color w:val="000000"/>
          <w:spacing w:val="-2"/>
          <w:sz w:val="32"/>
        </w:rPr>
        <w:t>RICS</w:t>
      </w:r>
      <w:r>
        <w:rPr>
          <w:rFonts w:ascii="Times New Roman"/>
          <w:color w:val="000000"/>
          <w:spacing w:val="-1"/>
          <w:sz w:val="32"/>
        </w:rPr>
        <w:t xml:space="preserve"> </w:t>
      </w:r>
      <w:r>
        <w:rPr>
          <w:rFonts w:ascii="SimSun" w:hAnsi="SimSun" w:cs="SimSun"/>
          <w:color w:val="000000"/>
          <w:spacing w:val="-5"/>
          <w:sz w:val="32"/>
        </w:rPr>
        <w:t>估价准则（</w:t>
      </w:r>
      <w:r>
        <w:rPr>
          <w:rFonts w:ascii="Calibri"/>
          <w:color w:val="000000"/>
          <w:spacing w:val="-3"/>
          <w:sz w:val="32"/>
        </w:rPr>
        <w:t>2012</w:t>
      </w:r>
      <w:r>
        <w:rPr>
          <w:rFonts w:ascii="SimSun" w:hAnsi="SimSun" w:cs="SimSun"/>
          <w:color w:val="000000"/>
          <w:spacing w:val="-3"/>
          <w:sz w:val="32"/>
        </w:rPr>
        <w:t>），中国</w:t>
      </w:r>
    </w:p>
    <w:p>
      <w:pPr>
        <w:framePr w:w="14583" w:x="2701" w:y="1947"/>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11"/>
          <w:sz w:val="32"/>
        </w:rPr>
        <w:t>评估准则（</w:t>
      </w:r>
      <w:r>
        <w:rPr>
          <w:rFonts w:ascii="Calibri"/>
          <w:color w:val="000000"/>
          <w:spacing w:val="-2"/>
          <w:sz w:val="32"/>
        </w:rPr>
        <w:t>2008</w:t>
      </w:r>
      <w:r>
        <w:rPr>
          <w:rFonts w:ascii="SimSun" w:hAnsi="SimSun" w:cs="SimSun"/>
          <w:color w:val="000000"/>
          <w:spacing w:val="-4"/>
          <w:sz w:val="32"/>
        </w:rPr>
        <w:t>）中，对于投资价值的定义是一样的，即投资价值是指资产对于具有明确投</w:t>
      </w:r>
    </w:p>
    <w:p>
      <w:pPr>
        <w:framePr w:w="1458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资或运营目标的所有者或潜在所有者所具有的价值。</w:t>
      </w:r>
    </w:p>
    <w:p>
      <w:pPr>
        <w:framePr w:w="4736" w:x="3334"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协同效应及其多样的分类标准</w:t>
      </w:r>
    </w:p>
    <w:p>
      <w:pPr>
        <w:framePr w:w="14204" w:x="2701" w:y="382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投资价值用得最多的企业并购领域，而协同效应是企业并购中投资价值产生的重要原</w:t>
      </w:r>
    </w:p>
    <w:p>
      <w:pPr>
        <w:framePr w:w="14204"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因。</w:t>
      </w:r>
    </w:p>
    <w:p>
      <w:pPr>
        <w:framePr w:w="14458" w:x="2701" w:y="4756"/>
        <w:widowControl w:val="0"/>
        <w:autoSpaceDE w:val="0"/>
        <w:autoSpaceDN w:val="0"/>
        <w:spacing w:before="0" w:after="0" w:line="330" w:lineRule="exact"/>
        <w:ind w:left="630" w:right="0" w:firstLine="0"/>
        <w:jc w:val="left"/>
        <w:rPr>
          <w:rFonts w:ascii="Times New Roman"/>
          <w:color w:val="000000"/>
          <w:spacing w:val="0"/>
          <w:sz w:val="32"/>
        </w:rPr>
      </w:pPr>
      <w:r>
        <w:rPr>
          <w:rFonts w:ascii="SimSun" w:hAnsi="SimSun" w:cs="SimSun"/>
          <w:color w:val="000000"/>
          <w:spacing w:val="-3"/>
          <w:sz w:val="32"/>
        </w:rPr>
        <w:t>协同效应最简单的理解就是</w:t>
      </w:r>
      <w:r>
        <w:rPr>
          <w:rFonts w:ascii="Times New Roman"/>
          <w:color w:val="000000"/>
          <w:spacing w:val="-18"/>
          <w:sz w:val="32"/>
        </w:rPr>
        <w:t xml:space="preserve"> </w:t>
      </w:r>
      <w:r>
        <w:rPr>
          <w:rFonts w:ascii="Calibri"/>
          <w:color w:val="000000"/>
          <w:spacing w:val="-3"/>
          <w:sz w:val="32"/>
        </w:rPr>
        <w:t>1+1&gt;2</w:t>
      </w:r>
      <w:r>
        <w:rPr>
          <w:rFonts w:ascii="SimSun" w:hAnsi="SimSun" w:cs="SimSun"/>
          <w:color w:val="000000"/>
          <w:spacing w:val="-3"/>
          <w:sz w:val="32"/>
        </w:rPr>
        <w:t>，并购后权益价值超过两个公司本来权益价值之和，</w:t>
      </w:r>
    </w:p>
    <w:p>
      <w:pPr>
        <w:framePr w:w="14458"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其差额即为协同效应或协同价值。</w:t>
      </w:r>
    </w:p>
    <w:p>
      <w:pPr>
        <w:framePr w:w="14937" w:x="2701" w:y="569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国内外学者从管理学、经济学和金融学多个领域、多个角度揭示了协同效应。有两种分</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类法值得我们关注。一类是从公司经营的不同角度为标准的，包括管理协同效应，经营协同</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效应，财务协同效应，技术、文化、品牌协同效应。这其中，还有两分、三分，和包含这所</w:t>
      </w:r>
    </w:p>
    <w:p>
      <w:pPr>
        <w:framePr w:w="1493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有类别的协同效应；第二类比较有代表性的分类是分为即时协同效应（上升效应和减少效应）</w:t>
      </w:r>
    </w:p>
    <w:p>
      <w:pPr>
        <w:framePr w:w="14937" w:x="2701" w:y="5692"/>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和依赖于触发性事件获得的实务期权效应。</w:t>
      </w:r>
    </w:p>
    <w:p>
      <w:pPr>
        <w:framePr w:w="4008" w:x="3334"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投资价值和市场价值关系</w:t>
      </w:r>
    </w:p>
    <w:p>
      <w:pPr>
        <w:framePr w:w="14366" w:x="2701" w:y="850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价值类型的确定是资产评估中的一个重要前提。而学术界认为区分投资价值和市场价值</w:t>
      </w:r>
    </w:p>
    <w:p>
      <w:pPr>
        <w:framePr w:w="14366" w:x="2701" w:y="850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两种价值类型至关重要。</w:t>
      </w:r>
    </w:p>
    <w:p>
      <w:pPr>
        <w:framePr w:w="5465" w:x="333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以下是我对他们区别做的简单总结</w:t>
      </w:r>
    </w:p>
    <w:p>
      <w:pPr>
        <w:framePr w:w="1747" w:x="8300" w:y="99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w:t>
      </w:r>
    </w:p>
    <w:p>
      <w:pPr>
        <w:framePr w:w="1747" w:x="12563" w:y="991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市场价值</w:t>
      </w:r>
    </w:p>
    <w:p>
      <w:pPr>
        <w:framePr w:w="2381" w:x="7983" w:y="104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收购价格上限</w:t>
      </w:r>
    </w:p>
    <w:p>
      <w:pPr>
        <w:framePr w:w="9274" w:x="7036" w:y="10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标的资产对于特定投资者而</w:t>
      </w:r>
      <w:r>
        <w:rPr>
          <w:rFonts w:ascii="Times New Roman"/>
          <w:color w:val="000000"/>
          <w:spacing w:val="381"/>
          <w:sz w:val="32"/>
        </w:rPr>
        <w:t xml:space="preserve"> </w:t>
      </w:r>
      <w:r>
        <w:rPr>
          <w:rFonts w:ascii="SimSun" w:hAnsi="SimSun" w:cs="SimSun"/>
          <w:color w:val="000000"/>
          <w:spacing w:val="-3"/>
          <w:sz w:val="32"/>
        </w:rPr>
        <w:t>一般参与者对资产价值的客</w:t>
      </w:r>
    </w:p>
    <w:p>
      <w:pPr>
        <w:framePr w:w="4736" w:x="6960" w:y="11352"/>
        <w:widowControl w:val="0"/>
        <w:autoSpaceDE w:val="0"/>
        <w:autoSpaceDN w:val="0"/>
        <w:spacing w:before="0" w:after="0" w:line="317" w:lineRule="exact"/>
        <w:ind w:left="1022" w:right="0" w:firstLine="0"/>
        <w:jc w:val="left"/>
        <w:rPr>
          <w:rFonts w:ascii="Times New Roman"/>
          <w:color w:val="000000"/>
          <w:spacing w:val="0"/>
          <w:sz w:val="32"/>
        </w:rPr>
      </w:pPr>
      <w:r>
        <w:rPr>
          <w:rFonts w:ascii="SimSun" w:hAnsi="SimSun" w:cs="SimSun"/>
          <w:color w:val="000000"/>
          <w:spacing w:val="-3"/>
          <w:sz w:val="32"/>
        </w:rPr>
        <w:t>言的主观评价</w:t>
      </w:r>
    </w:p>
    <w:p>
      <w:pPr>
        <w:framePr w:w="4736" w:x="6960" w:y="11352"/>
        <w:widowControl w:val="0"/>
        <w:autoSpaceDE w:val="0"/>
        <w:autoSpaceDN w:val="0"/>
        <w:spacing w:before="169" w:after="0" w:line="317" w:lineRule="exact"/>
        <w:ind w:left="0" w:right="0" w:firstLine="0"/>
        <w:jc w:val="left"/>
        <w:rPr>
          <w:rFonts w:ascii="Times New Roman"/>
          <w:color w:val="000000"/>
          <w:spacing w:val="0"/>
          <w:sz w:val="32"/>
        </w:rPr>
      </w:pPr>
      <w:r>
        <w:rPr>
          <w:rFonts w:ascii="SimSun" w:hAnsi="SimSun" w:cs="SimSun"/>
          <w:color w:val="000000"/>
          <w:spacing w:val="-16"/>
          <w:sz w:val="32"/>
        </w:rPr>
        <w:t>由于涉及协同效应，一般高于</w:t>
      </w:r>
    </w:p>
    <w:p>
      <w:pPr>
        <w:framePr w:w="4736" w:x="6960" w:y="11352"/>
        <w:widowControl w:val="0"/>
        <w:autoSpaceDE w:val="0"/>
        <w:autoSpaceDN w:val="0"/>
        <w:spacing w:before="151" w:after="0" w:line="317" w:lineRule="exact"/>
        <w:ind w:left="1339" w:right="0" w:firstLine="0"/>
        <w:jc w:val="left"/>
        <w:rPr>
          <w:rFonts w:ascii="Times New Roman"/>
          <w:color w:val="000000"/>
          <w:spacing w:val="0"/>
          <w:sz w:val="32"/>
        </w:rPr>
      </w:pPr>
      <w:r>
        <w:rPr>
          <w:rFonts w:ascii="SimSun" w:hAnsi="SimSun" w:cs="SimSun"/>
          <w:color w:val="000000"/>
          <w:spacing w:val="-3"/>
          <w:sz w:val="32"/>
        </w:rPr>
        <w:t>市场价值</w:t>
      </w:r>
    </w:p>
    <w:p>
      <w:pPr>
        <w:framePr w:w="9361" w:x="6960" w:y="127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有明确投资目标、标准的特定</w:t>
      </w:r>
      <w:r>
        <w:rPr>
          <w:rFonts w:ascii="Times New Roman"/>
          <w:color w:val="000000"/>
          <w:spacing w:val="322"/>
          <w:sz w:val="32"/>
        </w:rPr>
        <w:t xml:space="preserve"> </w:t>
      </w:r>
      <w:r>
        <w:rPr>
          <w:rFonts w:ascii="SimSun" w:hAnsi="SimSun" w:cs="SimSun"/>
          <w:color w:val="000000"/>
          <w:spacing w:val="-3"/>
          <w:sz w:val="32"/>
        </w:rPr>
        <w:t>包括市场主体在内的市场整</w:t>
      </w:r>
    </w:p>
    <w:p>
      <w:pPr>
        <w:framePr w:w="2381" w:x="3723" w:y="1302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报告使用对象</w:t>
      </w:r>
    </w:p>
    <w:p>
      <w:pPr>
        <w:framePr w:w="2381" w:x="3723" w:y="13023"/>
        <w:widowControl w:val="0"/>
        <w:autoSpaceDE w:val="0"/>
        <w:autoSpaceDN w:val="0"/>
        <w:spacing w:before="400" w:after="0" w:line="317" w:lineRule="exact"/>
        <w:ind w:left="313" w:right="0" w:firstLine="0"/>
        <w:jc w:val="left"/>
        <w:rPr>
          <w:rFonts w:ascii="Times New Roman"/>
          <w:color w:val="000000"/>
          <w:spacing w:val="0"/>
          <w:sz w:val="32"/>
        </w:rPr>
      </w:pPr>
      <w:r>
        <w:rPr>
          <w:rFonts w:ascii="SimSun" w:hAnsi="SimSun" w:cs="SimSun"/>
          <w:color w:val="000000"/>
          <w:spacing w:val="-3"/>
          <w:sz w:val="32"/>
        </w:rPr>
        <w:t>价值转移</w:t>
      </w:r>
    </w:p>
    <w:p>
      <w:pPr>
        <w:framePr w:w="797" w:x="13034" w:y="1325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体</w:t>
      </w:r>
    </w:p>
    <w:p>
      <w:pPr>
        <w:framePr w:w="4736" w:x="6960" w:y="14222"/>
        <w:widowControl w:val="0"/>
        <w:autoSpaceDE w:val="0"/>
        <w:autoSpaceDN w:val="0"/>
        <w:spacing w:before="0" w:after="0" w:line="317" w:lineRule="exact"/>
        <w:ind w:left="76" w:right="0" w:firstLine="0"/>
        <w:jc w:val="left"/>
        <w:rPr>
          <w:rFonts w:ascii="Times New Roman"/>
          <w:color w:val="000000"/>
          <w:spacing w:val="0"/>
          <w:sz w:val="32"/>
        </w:rPr>
      </w:pPr>
      <w:r>
        <w:rPr>
          <w:rFonts w:ascii="SimSun" w:hAnsi="SimSun" w:cs="SimSun"/>
          <w:color w:val="000000"/>
          <w:spacing w:val="-3"/>
          <w:sz w:val="32"/>
        </w:rPr>
        <w:t>看重目标公司的长期盈利能</w:t>
      </w:r>
    </w:p>
    <w:p>
      <w:pPr>
        <w:framePr w:w="4736" w:x="6960" w:y="1422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力，尤其是并购后是否产生协</w:t>
      </w:r>
    </w:p>
    <w:p>
      <w:pPr>
        <w:framePr w:w="4736" w:x="6960" w:y="14222"/>
        <w:widowControl w:val="0"/>
        <w:autoSpaceDE w:val="0"/>
        <w:autoSpaceDN w:val="0"/>
        <w:spacing w:before="151" w:after="0" w:line="317" w:lineRule="exact"/>
        <w:ind w:left="1494" w:right="0" w:firstLine="0"/>
        <w:jc w:val="left"/>
        <w:rPr>
          <w:rFonts w:ascii="Times New Roman"/>
          <w:color w:val="000000"/>
          <w:spacing w:val="0"/>
          <w:sz w:val="32"/>
        </w:rPr>
      </w:pPr>
      <w:r>
        <w:rPr>
          <w:rFonts w:ascii="SimSun" w:hAnsi="SimSun" w:cs="SimSun"/>
          <w:color w:val="000000"/>
          <w:spacing w:val="-3"/>
          <w:sz w:val="32"/>
        </w:rPr>
        <w:t>同效应</w:t>
      </w:r>
    </w:p>
    <w:p>
      <w:pPr>
        <w:framePr w:w="3014" w:x="3334" w:y="156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投资价值评估方法</w:t>
      </w:r>
    </w:p>
    <w:p>
      <w:pPr>
        <w:framePr w:w="14573" w:x="2701" w:y="1610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投资价值评估方法的掌握和创造要掌握两个关键点：一是合理量化协同效应，而目前的</w:t>
      </w:r>
    </w:p>
    <w:p>
      <w:pPr>
        <w:framePr w:w="14573" w:x="2701" w:y="1610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研究多事投资价值和协同效应的定性分析，定量方法、实证研究、实务案例等方面研究相对</w:t>
      </w:r>
    </w:p>
    <w:p>
      <w:pPr>
        <w:framePr w:w="14573" w:x="2701" w:y="1610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欠缺；二是要注重价值创造而不是会计处理。</w:t>
      </w:r>
    </w:p>
    <w:p>
      <w:pPr>
        <w:framePr w:w="14573" w:x="2701" w:y="1751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学术界在协同效应量化方面有了一定的研究成果，它们都各自的优点和局限，及针对不</w:t>
      </w:r>
    </w:p>
    <w:p>
      <w:pPr>
        <w:framePr w:w="14573" w:x="2701" w:y="1751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同业务类型和领域范围的不同适应性。比如股东财富变化论、面板数据和二元选择论、三公</w:t>
      </w:r>
    </w:p>
    <w:p>
      <w:pPr>
        <w:framePr w:w="14573" w:x="2701" w:y="17512"/>
        <w:widowControl w:val="0"/>
        <w:autoSpaceDE w:val="0"/>
        <w:autoSpaceDN w:val="0"/>
        <w:spacing w:before="139" w:after="0" w:line="330" w:lineRule="exact"/>
        <w:ind w:left="0" w:right="0" w:firstLine="0"/>
        <w:jc w:val="left"/>
        <w:rPr>
          <w:rFonts w:ascii="Times New Roman"/>
          <w:color w:val="000000"/>
          <w:spacing w:val="0"/>
          <w:sz w:val="32"/>
        </w:rPr>
      </w:pPr>
      <w:r>
        <w:rPr>
          <w:rFonts w:ascii="SimSun" w:hAnsi="SimSun" w:cs="SimSun"/>
          <w:color w:val="000000"/>
          <w:spacing w:val="-2"/>
          <w:sz w:val="32"/>
        </w:rPr>
        <w:t>式法、</w:t>
      </w:r>
      <w:r>
        <w:rPr>
          <w:rFonts w:ascii="Calibri"/>
          <w:color w:val="000000"/>
          <w:spacing w:val="-2"/>
          <w:sz w:val="32"/>
        </w:rPr>
        <w:t>CAR</w:t>
      </w:r>
      <w:r>
        <w:rPr>
          <w:rFonts w:ascii="Times New Roman"/>
          <w:color w:val="000000"/>
          <w:spacing w:val="-6"/>
          <w:sz w:val="32"/>
        </w:rPr>
        <w:t xml:space="preserve"> </w:t>
      </w:r>
      <w:r>
        <w:rPr>
          <w:rFonts w:ascii="SimSun" w:hAnsi="SimSun" w:cs="SimSun"/>
          <w:color w:val="000000"/>
          <w:spacing w:val="-5"/>
          <w:sz w:val="32"/>
        </w:rPr>
        <w:t>方法决定不同种类协同效应的经济价值、基于模糊变量的适用于网络经济协同价</w:t>
      </w:r>
    </w:p>
    <w:p>
      <w:pPr>
        <w:framePr w:w="14573" w:x="2701" w:y="1751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值的模型</w:t>
      </w:r>
    </w:p>
    <w:p>
      <w:pPr>
        <w:framePr w:w="1430" w:x="2701" w:y="193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第二节</w:t>
      </w:r>
    </w:p>
    <w:p>
      <w:pPr>
        <w:framePr w:w="8379" w:x="3331" w:y="198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企业价值是企业价值评估研究的最根本的理论基础。</w:t>
      </w:r>
    </w:p>
    <w:p>
      <w:pPr>
        <w:framePr w:w="4008" w:x="3334" w:y="203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企业价值内涵的理论解释</w:t>
      </w:r>
    </w:p>
    <w:p>
      <w:pPr>
        <w:framePr w:w="14573" w:x="2701" w:y="2078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三个典型代表：一、马克思的劳动价值论，把企业当成了一种特殊的资产；二、效应价</w:t>
      </w:r>
    </w:p>
    <w:p>
      <w:pPr>
        <w:framePr w:w="14573" w:x="2701" w:y="207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值论，未来预期收益带来占有企业的效应，决定了企业的价值；新古典经济学，结合了效用</w:t>
      </w:r>
    </w:p>
    <w:p>
      <w:pPr>
        <w:framePr w:w="14573" w:x="2701" w:y="2078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价值论和生产费用价值论，认为企业的价值来源于生产和消费两个方面。</w:t>
      </w:r>
    </w:p>
    <w:p>
      <w:pPr>
        <w:framePr w:w="14573" w:x="2701" w:y="20789"/>
        <w:widowControl w:val="0"/>
        <w:autoSpaceDE w:val="0"/>
        <w:autoSpaceDN w:val="0"/>
        <w:spacing w:before="151" w:after="0" w:line="317" w:lineRule="exact"/>
        <w:ind w:left="633" w:right="0" w:firstLine="0"/>
        <w:jc w:val="left"/>
        <w:rPr>
          <w:rFonts w:ascii="Times New Roman"/>
          <w:color w:val="000000"/>
          <w:spacing w:val="0"/>
          <w:sz w:val="32"/>
        </w:rPr>
      </w:pPr>
      <w:r>
        <w:rPr>
          <w:rFonts w:ascii="SimSun" w:hAnsi="SimSun" w:cs="SimSun"/>
          <w:color w:val="000000"/>
          <w:spacing w:val="-3"/>
          <w:sz w:val="32"/>
        </w:rPr>
        <w:t>企业价值的定义</w:t>
      </w:r>
    </w:p>
    <w:p>
      <w:pPr>
        <w:spacing w:before="0" w:after="0" w:line="0" w:lineRule="atLeast"/>
        <w:ind w:left="0" w:right="0" w:firstLine="0"/>
        <w:jc w:val="left"/>
        <w:rPr>
          <w:rFonts w:ascii="Arial"/>
          <w:color w:val="FF0000"/>
          <w:spacing w:val="0"/>
          <w:sz w:val="2"/>
        </w:rPr>
      </w:pPr>
      <w:r>
        <w:rPr>
          <w:noProof/>
        </w:rPr>
        <w:pict>
          <v:shape id="_x0000_s1026" type="#_x0000_t75" style="width:644pt;height:290pt;margin-top:488.1pt;margin-left:125pt;mso-position-horizontal-relative:page;mso-position-vertical-relative:page;position:absolute;z-index:-251631616">
            <v:imagedata r:id="rId5"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844" w:x="333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企业价值具有多维的表达方式，金融经济学和管理学对其内涵理解的侧重点明显不同。</w:t>
      </w:r>
    </w:p>
    <w:p>
      <w:pPr>
        <w:framePr w:w="14573" w:x="2701" w:y="241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统一企业，根据主体需要、偏好及判断能力不同，企业的价值数额也会不同，企业价值的内</w:t>
      </w:r>
    </w:p>
    <w:p>
      <w:pPr>
        <w:framePr w:w="11294" w:x="2701"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涵有不同的表示和体现方式，每一种价值形式都有其合理性与实用性。</w:t>
      </w:r>
    </w:p>
    <w:p>
      <w:pPr>
        <w:framePr w:w="13844" w:x="3331" w:y="33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简单分类：账面价值（会计历史成本、权责发生制）、内在价值（折现思想）、市场价</w:t>
      </w:r>
    </w:p>
    <w:p>
      <w:pPr>
        <w:framePr w:w="14573" w:x="2701" w:y="38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值（资产市场上出售的买卖价格）、清算价值、重置价值（指在市场上重新建立与之相同规</w:t>
      </w:r>
    </w:p>
    <w:p>
      <w:pPr>
        <w:framePr w:w="8744" w:x="2701"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模、技术水平、生产能力下的企业所需要花费的成本）</w:t>
      </w:r>
    </w:p>
    <w:p>
      <w:pPr>
        <w:framePr w:w="13844" w:x="333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这一主题跟财务分析极度相关。这一系列与企业价值驱动因素密切相关的因素表现为：</w:t>
      </w:r>
    </w:p>
    <w:p>
      <w:pPr>
        <w:framePr w:w="2541" w:x="3331" w:y="522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）销售收入</w:t>
      </w:r>
    </w:p>
    <w:p>
      <w:pPr>
        <w:framePr w:w="2541" w:x="3331" w:y="5692"/>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）经营利润</w:t>
      </w:r>
    </w:p>
    <w:p>
      <w:pPr>
        <w:framePr w:w="2541" w:x="3331" w:y="616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3"/>
          <w:sz w:val="32"/>
        </w:rPr>
        <w:t>）税收筹划</w:t>
      </w:r>
    </w:p>
    <w:p>
      <w:pPr>
        <w:framePr w:w="2541" w:x="3331" w:y="662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4</w:t>
      </w:r>
      <w:r>
        <w:rPr>
          <w:rFonts w:ascii="SimSun" w:hAnsi="SimSun" w:cs="SimSun"/>
          <w:color w:val="000000"/>
          <w:spacing w:val="-3"/>
          <w:sz w:val="32"/>
        </w:rPr>
        <w:t>）营运能力</w:t>
      </w:r>
    </w:p>
    <w:p>
      <w:pPr>
        <w:framePr w:w="2541" w:x="3331" w:y="70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5</w:t>
      </w:r>
      <w:r>
        <w:rPr>
          <w:rFonts w:ascii="SimSun" w:hAnsi="SimSun" w:cs="SimSun"/>
          <w:color w:val="000000"/>
          <w:spacing w:val="-3"/>
          <w:sz w:val="32"/>
        </w:rPr>
        <w:t>）资本成本</w:t>
      </w:r>
    </w:p>
    <w:p>
      <w:pPr>
        <w:framePr w:w="4192" w:x="3331" w:y="756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6</w:t>
      </w:r>
      <w:r>
        <w:rPr>
          <w:rFonts w:ascii="SimSun" w:hAnsi="SimSun" w:cs="SimSun"/>
          <w:color w:val="000000"/>
          <w:spacing w:val="-3"/>
          <w:sz w:val="32"/>
        </w:rPr>
        <w:t>）获取超额利息的期间</w:t>
      </w:r>
    </w:p>
    <w:p>
      <w:pPr>
        <w:framePr w:w="1747" w:x="3331" w:y="803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价值类型</w:t>
      </w:r>
    </w:p>
    <w:p>
      <w:pPr>
        <w:framePr w:w="13844" w:x="3331"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6"/>
          <w:sz w:val="32"/>
        </w:rPr>
        <w:t>资产评估价值类型简称价值类型。在《国际评估准则》中，价值类型描述了报告中价值</w:t>
      </w:r>
    </w:p>
    <w:p>
      <w:pPr>
        <w:framePr w:w="14573" w:x="2701" w:y="896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成立的基本假设，如假设交易的性质、交易双方的关系和动机，以及该项资产在市场上的暴</w:t>
      </w:r>
    </w:p>
    <w:p>
      <w:pPr>
        <w:framePr w:w="2064" w:x="270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露程度等。</w:t>
      </w:r>
    </w:p>
    <w:p>
      <w:pPr>
        <w:framePr w:w="2381" w:x="3334" w:y="99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企业并购理论</w:t>
      </w:r>
    </w:p>
    <w:p>
      <w:pPr>
        <w:framePr w:w="14355" w:x="2701" w:y="1037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了解企业投资并购的动因及并购类型是投资价值评估的重要前提。学者们提出的主要几</w:t>
      </w:r>
    </w:p>
    <w:p>
      <w:pPr>
        <w:framePr w:w="14355"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种主流观点为：</w:t>
      </w:r>
    </w:p>
    <w:p>
      <w:pPr>
        <w:framePr w:w="11294" w:x="5239" w:y="1373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企业并购能够扩大生产规模，可以使并购后的企业产品的单位生产成本</w:t>
      </w:r>
    </w:p>
    <w:p>
      <w:pPr>
        <w:framePr w:w="11294" w:x="5239" w:y="1420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下降、收益增加，从而获得规模经济效应，这种规模效应分为内部规模</w:t>
      </w:r>
    </w:p>
    <w:p>
      <w:pPr>
        <w:framePr w:w="11294" w:x="5239" w:y="1420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经济和外部规模经济</w:t>
      </w:r>
    </w:p>
    <w:p>
      <w:pPr>
        <w:framePr w:w="2381" w:x="2701" w:y="151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交易费用理论</w:t>
      </w:r>
    </w:p>
    <w:p>
      <w:pPr>
        <w:framePr w:w="6193" w:x="5239" w:y="1515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交易费用的节约是企业并购的重要原因</w:t>
      </w:r>
    </w:p>
    <w:p>
      <w:pPr>
        <w:framePr w:w="4008" w:x="3334" w:y="156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企业价值评估与定价理论</w:t>
      </w:r>
    </w:p>
    <w:p>
      <w:pPr>
        <w:framePr w:w="14573" w:x="2701" w:y="1610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它是投资价值评估方法选择、实务操作与谈判定价的基本理论依据。</w:t>
      </w:r>
    </w:p>
    <w:p>
      <w:pPr>
        <w:framePr w:w="14573" w:x="2701" w:y="16108"/>
        <w:widowControl w:val="0"/>
        <w:autoSpaceDE w:val="0"/>
        <w:autoSpaceDN w:val="0"/>
        <w:spacing w:before="138" w:after="0" w:line="330" w:lineRule="exact"/>
        <w:ind w:left="630" w:right="0" w:firstLine="0"/>
        <w:jc w:val="left"/>
        <w:rPr>
          <w:rFonts w:ascii="Times New Roman"/>
          <w:color w:val="000000"/>
          <w:spacing w:val="0"/>
          <w:sz w:val="32"/>
        </w:rPr>
      </w:pPr>
      <w:r>
        <w:rPr>
          <w:rFonts w:ascii="SimSun" w:hAnsi="SimSun" w:cs="SimSun"/>
          <w:color w:val="000000"/>
          <w:spacing w:val="-3"/>
          <w:sz w:val="32"/>
        </w:rPr>
        <w:t>企业价值评估理论的发展的线索经历了费雪的资本价值理论、</w:t>
      </w:r>
      <w:r>
        <w:rPr>
          <w:rFonts w:ascii="Calibri"/>
          <w:color w:val="000000"/>
          <w:spacing w:val="-3"/>
          <w:sz w:val="32"/>
        </w:rPr>
        <w:t>MM</w:t>
      </w:r>
      <w:r>
        <w:rPr>
          <w:rFonts w:ascii="Times New Roman"/>
          <w:color w:val="000000"/>
          <w:spacing w:val="-5"/>
          <w:sz w:val="32"/>
        </w:rPr>
        <w:t xml:space="preserve"> </w:t>
      </w:r>
      <w:r>
        <w:rPr>
          <w:rFonts w:ascii="SimSun" w:hAnsi="SimSun" w:cs="SimSun"/>
          <w:color w:val="000000"/>
          <w:spacing w:val="-2"/>
          <w:sz w:val="32"/>
        </w:rPr>
        <w:t>理论、</w:t>
      </w:r>
      <w:r>
        <w:rPr>
          <w:rFonts w:ascii="Calibri"/>
          <w:color w:val="000000"/>
          <w:spacing w:val="-2"/>
          <w:sz w:val="32"/>
        </w:rPr>
        <w:t>CAPM</w:t>
      </w:r>
      <w:r>
        <w:rPr>
          <w:rFonts w:ascii="Times New Roman"/>
          <w:color w:val="000000"/>
          <w:spacing w:val="-7"/>
          <w:sz w:val="32"/>
        </w:rPr>
        <w:t xml:space="preserve"> </w:t>
      </w:r>
      <w:r>
        <w:rPr>
          <w:rFonts w:ascii="SimSun" w:hAnsi="SimSun" w:cs="SimSun"/>
          <w:color w:val="000000"/>
          <w:spacing w:val="-3"/>
          <w:sz w:val="32"/>
        </w:rPr>
        <w:t>模型相</w:t>
      </w:r>
    </w:p>
    <w:p>
      <w:pPr>
        <w:framePr w:w="14573" w:x="2701" w:y="16108"/>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对估值理论、期权定价理论、</w:t>
      </w:r>
      <w:r>
        <w:rPr>
          <w:rFonts w:ascii="Calibri"/>
          <w:color w:val="000000"/>
          <w:spacing w:val="-2"/>
          <w:sz w:val="32"/>
        </w:rPr>
        <w:t>DCF</w:t>
      </w:r>
      <w:r>
        <w:rPr>
          <w:rFonts w:ascii="Times New Roman"/>
          <w:color w:val="000000"/>
          <w:spacing w:val="-5"/>
          <w:sz w:val="32"/>
        </w:rPr>
        <w:t xml:space="preserve"> </w:t>
      </w:r>
      <w:r>
        <w:rPr>
          <w:rFonts w:ascii="SimSun" w:hAnsi="SimSun" w:cs="SimSun"/>
          <w:color w:val="000000"/>
          <w:spacing w:val="-5"/>
          <w:sz w:val="32"/>
        </w:rPr>
        <w:t>法、剩余收益股价模型（</w:t>
      </w:r>
      <w:r>
        <w:rPr>
          <w:rFonts w:ascii="Calibri"/>
          <w:color w:val="000000"/>
          <w:spacing w:val="-3"/>
          <w:sz w:val="32"/>
        </w:rPr>
        <w:t>RIM</w:t>
      </w:r>
      <w:r>
        <w:rPr>
          <w:rFonts w:ascii="SimSun" w:hAnsi="SimSun" w:cs="SimSun"/>
          <w:color w:val="000000"/>
          <w:spacing w:val="-3"/>
          <w:sz w:val="32"/>
        </w:rPr>
        <w:t>）。虽然后几种方法是现在</w:t>
      </w:r>
    </w:p>
    <w:p>
      <w:pPr>
        <w:framePr w:w="14573" w:x="2701" w:y="1610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比较常用的方法，但是前面的理论提出的折现率、未来预期收益相关的研究结论为评估理论</w:t>
      </w:r>
    </w:p>
    <w:p>
      <w:pPr>
        <w:framePr w:w="14573" w:x="2701" w:y="1610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的完善发挥了很大作用。</w:t>
      </w:r>
    </w:p>
    <w:p>
      <w:pPr>
        <w:framePr w:w="3648" w:x="5751" w:y="184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与企业价值理论的关系</w:t>
      </w:r>
    </w:p>
    <w:p>
      <w:pPr>
        <w:framePr w:w="641" w:x="2701" w:y="1941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p>
    <w:p>
      <w:pPr>
        <w:framePr w:w="641" w:x="2701" w:y="2036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2</w:t>
      </w:r>
    </w:p>
    <w:p>
      <w:pPr>
        <w:framePr w:w="7286" w:x="5751" w:y="2036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9"/>
          <w:sz w:val="32"/>
        </w:rPr>
        <w:t>①提出了企业价值评估理论的框架，同时是整</w:t>
      </w:r>
    </w:p>
    <w:p>
      <w:pPr>
        <w:framePr w:w="7286" w:x="5751" w:y="2036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个现代企业资本结构理论的奠基石</w:t>
      </w:r>
    </w:p>
    <w:p>
      <w:pPr>
        <w:framePr w:w="7651" w:x="5751" w:y="2130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②米勒对企业财务理论贡献重大，获得诺奖</w:t>
      </w:r>
    </w:p>
    <w:p>
      <w:pPr>
        <w:framePr w:w="7651" w:x="5751" w:y="2130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③</w:t>
      </w:r>
      <w:r>
        <w:rPr>
          <w:rFonts w:ascii="Calibri"/>
          <w:color w:val="000000"/>
          <w:spacing w:val="-2"/>
          <w:sz w:val="32"/>
        </w:rPr>
        <w:t>1961</w:t>
      </w:r>
      <w:r>
        <w:rPr>
          <w:rFonts w:ascii="Times New Roman"/>
          <w:color w:val="000000"/>
          <w:spacing w:val="-5"/>
          <w:sz w:val="32"/>
        </w:rPr>
        <w:t xml:space="preserve"> </w:t>
      </w:r>
      <w:r>
        <w:rPr>
          <w:rFonts w:ascii="SimSun" w:hAnsi="SimSun" w:cs="SimSun"/>
          <w:color w:val="000000"/>
          <w:spacing w:val="-3"/>
          <w:sz w:val="32"/>
        </w:rPr>
        <w:t>年莫迪利安尼和米勒以现金流折现为</w:t>
      </w:r>
    </w:p>
    <w:p>
      <w:pPr>
        <w:framePr w:w="7651" w:x="5751" w:y="2130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6"/>
          <w:sz w:val="32"/>
        </w:rPr>
        <w:t>基础，证明了企业价值评估的四种方法，从此，</w:t>
      </w:r>
    </w:p>
    <w:p>
      <w:pPr>
        <w:spacing w:before="0" w:after="0" w:line="0" w:lineRule="atLeast"/>
        <w:ind w:left="0" w:right="0" w:firstLine="0"/>
        <w:jc w:val="left"/>
        <w:rPr>
          <w:rFonts w:ascii="Arial"/>
          <w:color w:val="FF0000"/>
          <w:spacing w:val="0"/>
          <w:sz w:val="2"/>
        </w:rPr>
      </w:pPr>
      <w:r>
        <w:rPr>
          <w:noProof/>
        </w:rPr>
        <w:pict>
          <v:shape id="_x0000_s1027" type="#_x0000_t75" style="width:644pt;height:220pt;margin-top:558.35pt;margin-left:125pt;mso-position-horizontal-relative:page;mso-position-vertical-relative:page;position:absolute;z-index:-251632640">
            <v:imagedata r:id="rId6" o:title=""/>
          </v:shape>
        </w:pict>
      </w:r>
      <w:r>
        <w:rPr>
          <w:noProof/>
        </w:rPr>
        <w:pict>
          <v:shape id="_x0000_s1028" type="#_x0000_t75" style="width:644pt;height:217pt;margin-top:915.35pt;margin-left:125pt;mso-position-horizontal-relative:page;mso-position-vertical-relative:page;position:absolute;z-index:-251633664">
            <v:imagedata r:id="rId7"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6922" w:x="5751" w:y="19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现金流量折现评估法逐渐成为企业价值评估</w:t>
      </w:r>
    </w:p>
    <w:p>
      <w:pPr>
        <w:framePr w:w="6922" w:x="5751" w:y="1962"/>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的主流方法</w:t>
      </w:r>
    </w:p>
    <w:p>
      <w:pPr>
        <w:framePr w:w="641" w:x="2701" w:y="2912"/>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3</w:t>
      </w:r>
    </w:p>
    <w:p>
      <w:pPr>
        <w:framePr w:w="641" w:x="2701" w:y="2912"/>
        <w:widowControl w:val="0"/>
        <w:autoSpaceDE w:val="0"/>
        <w:autoSpaceDN w:val="0"/>
        <w:spacing w:before="620" w:after="0" w:line="330" w:lineRule="exact"/>
        <w:ind w:left="0" w:right="0" w:firstLine="0"/>
        <w:jc w:val="left"/>
        <w:rPr>
          <w:rFonts w:ascii="Times New Roman"/>
          <w:color w:val="000000"/>
          <w:spacing w:val="0"/>
          <w:sz w:val="32"/>
        </w:rPr>
      </w:pPr>
      <w:r>
        <w:rPr>
          <w:rFonts w:ascii="Calibri"/>
          <w:color w:val="000000"/>
          <w:spacing w:val="0"/>
          <w:sz w:val="32"/>
        </w:rPr>
        <w:t>4</w:t>
      </w:r>
    </w:p>
    <w:p>
      <w:pPr>
        <w:framePr w:w="6922" w:x="5751" w:y="29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解决了折现率风险测度这一现金流折现模型</w:t>
      </w:r>
    </w:p>
    <w:p>
      <w:pPr>
        <w:framePr w:w="6922" w:x="5751" w:y="291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应用地的最大技术难题之一</w:t>
      </w:r>
    </w:p>
    <w:p>
      <w:pPr>
        <w:framePr w:w="9626" w:x="3399" w:y="38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相对估值理论</w:t>
      </w:r>
      <w:r>
        <w:rPr>
          <w:rFonts w:ascii="Times New Roman"/>
          <w:color w:val="000000"/>
          <w:spacing w:val="371"/>
          <w:sz w:val="32"/>
        </w:rPr>
        <w:t xml:space="preserve"> </w:t>
      </w:r>
      <w:r>
        <w:rPr>
          <w:rFonts w:ascii="SimSun" w:hAnsi="SimSun" w:cs="SimSun"/>
          <w:color w:val="000000"/>
          <w:spacing w:val="-3"/>
          <w:sz w:val="32"/>
        </w:rPr>
        <w:t>①借助可比资产的价值来估计标的资产的价</w:t>
      </w:r>
    </w:p>
    <w:p>
      <w:pPr>
        <w:framePr w:w="797" w:x="5751" w:y="43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值</w:t>
      </w:r>
    </w:p>
    <w:p>
      <w:pPr>
        <w:framePr w:w="641" w:x="2701" w:y="528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5</w:t>
      </w:r>
    </w:p>
    <w:p>
      <w:pPr>
        <w:framePr w:w="9871" w:x="3399" w:y="52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期权定价模型</w:t>
      </w:r>
      <w:r>
        <w:rPr>
          <w:rFonts w:ascii="Times New Roman"/>
          <w:color w:val="000000"/>
          <w:spacing w:val="371"/>
          <w:sz w:val="32"/>
        </w:rPr>
        <w:t xml:space="preserve"> </w:t>
      </w:r>
      <w:r>
        <w:rPr>
          <w:rFonts w:ascii="SimSun" w:hAnsi="SimSun" w:cs="SimSun"/>
          <w:color w:val="000000"/>
          <w:spacing w:val="-8"/>
          <w:sz w:val="32"/>
        </w:rPr>
        <w:t>产生于股票价格定价，对金融衍生品市场的影</w:t>
      </w:r>
    </w:p>
    <w:p>
      <w:pPr>
        <w:framePr w:w="9871" w:x="3399" w:y="5285"/>
        <w:widowControl w:val="0"/>
        <w:autoSpaceDE w:val="0"/>
        <w:autoSpaceDN w:val="0"/>
        <w:spacing w:before="151" w:after="0" w:line="317" w:lineRule="exact"/>
        <w:ind w:left="2352" w:right="0" w:firstLine="0"/>
        <w:jc w:val="left"/>
        <w:rPr>
          <w:rFonts w:ascii="Times New Roman"/>
          <w:color w:val="000000"/>
          <w:spacing w:val="0"/>
          <w:sz w:val="32"/>
        </w:rPr>
      </w:pPr>
      <w:r>
        <w:rPr>
          <w:rFonts w:ascii="SimSun" w:hAnsi="SimSun" w:cs="SimSun"/>
          <w:color w:val="000000"/>
          <w:spacing w:val="-9"/>
          <w:sz w:val="32"/>
        </w:rPr>
        <w:t>响较大。对于资产评估领域来说，还是一个相</w:t>
      </w:r>
    </w:p>
    <w:p>
      <w:pPr>
        <w:framePr w:w="9871" w:x="3399" w:y="5285"/>
        <w:widowControl w:val="0"/>
        <w:autoSpaceDE w:val="0"/>
        <w:autoSpaceDN w:val="0"/>
        <w:spacing w:before="151" w:after="0" w:line="317" w:lineRule="exact"/>
        <w:ind w:left="2352" w:right="0" w:firstLine="0"/>
        <w:jc w:val="left"/>
        <w:rPr>
          <w:rFonts w:ascii="Times New Roman"/>
          <w:color w:val="000000"/>
          <w:spacing w:val="0"/>
          <w:sz w:val="32"/>
        </w:rPr>
      </w:pPr>
      <w:r>
        <w:rPr>
          <w:rFonts w:ascii="SimSun" w:hAnsi="SimSun" w:cs="SimSun"/>
          <w:color w:val="000000"/>
          <w:spacing w:val="-3"/>
          <w:sz w:val="32"/>
        </w:rPr>
        <w:t>当新兴，有待进一步深入研究的课题</w:t>
      </w:r>
    </w:p>
    <w:p>
      <w:pPr>
        <w:framePr w:w="641" w:x="2701" w:y="670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6</w:t>
      </w:r>
    </w:p>
    <w:p>
      <w:pPr>
        <w:framePr w:w="641" w:x="2701" w:y="6703"/>
        <w:widowControl w:val="0"/>
        <w:autoSpaceDE w:val="0"/>
        <w:autoSpaceDN w:val="0"/>
        <w:spacing w:before="621" w:after="0" w:line="330" w:lineRule="exact"/>
        <w:ind w:left="0" w:right="0" w:firstLine="0"/>
        <w:jc w:val="left"/>
        <w:rPr>
          <w:rFonts w:ascii="Times New Roman"/>
          <w:color w:val="000000"/>
          <w:spacing w:val="0"/>
          <w:sz w:val="32"/>
        </w:rPr>
      </w:pPr>
      <w:r>
        <w:rPr>
          <w:rFonts w:ascii="Calibri"/>
          <w:color w:val="000000"/>
          <w:spacing w:val="0"/>
          <w:sz w:val="32"/>
        </w:rPr>
        <w:t>7</w:t>
      </w:r>
    </w:p>
    <w:p>
      <w:pPr>
        <w:framePr w:w="7315" w:x="5751" w:y="670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属于绝对估值模型，由于其在理论上的无可挑</w:t>
      </w:r>
    </w:p>
    <w:p>
      <w:pPr>
        <w:framePr w:w="7315" w:x="5751" w:y="670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剔，被视为最严谨的的企业和股票估值的方法</w:t>
      </w:r>
    </w:p>
    <w:p>
      <w:pPr>
        <w:framePr w:w="7315" w:x="5751" w:y="6703"/>
        <w:widowControl w:val="0"/>
        <w:autoSpaceDE w:val="0"/>
        <w:autoSpaceDN w:val="0"/>
        <w:spacing w:before="153" w:after="0" w:line="330" w:lineRule="exact"/>
        <w:ind w:left="0" w:right="0" w:firstLine="0"/>
        <w:jc w:val="left"/>
        <w:rPr>
          <w:rFonts w:ascii="Times New Roman"/>
          <w:color w:val="000000"/>
          <w:spacing w:val="0"/>
          <w:sz w:val="32"/>
        </w:rPr>
      </w:pPr>
      <w:r>
        <w:rPr>
          <w:rFonts w:ascii="SimSun" w:hAnsi="SimSun" w:cs="SimSun"/>
          <w:color w:val="000000"/>
          <w:spacing w:val="-3"/>
          <w:sz w:val="32"/>
        </w:rPr>
        <w:t>结合了</w:t>
      </w:r>
      <w:r>
        <w:rPr>
          <w:rFonts w:ascii="Times New Roman"/>
          <w:color w:val="000000"/>
          <w:spacing w:val="-4"/>
          <w:sz w:val="32"/>
        </w:rPr>
        <w:t xml:space="preserve"> </w:t>
      </w:r>
      <w:r>
        <w:rPr>
          <w:rFonts w:ascii="Calibri"/>
          <w:color w:val="000000"/>
          <w:spacing w:val="-2"/>
          <w:sz w:val="32"/>
        </w:rPr>
        <w:t>DCF</w:t>
      </w:r>
      <w:r>
        <w:rPr>
          <w:rFonts w:ascii="Times New Roman"/>
          <w:color w:val="000000"/>
          <w:spacing w:val="-6"/>
          <w:sz w:val="32"/>
        </w:rPr>
        <w:t xml:space="preserve"> </w:t>
      </w:r>
      <w:r>
        <w:rPr>
          <w:rFonts w:ascii="SimSun" w:hAnsi="SimSun" w:cs="SimSun"/>
          <w:color w:val="000000"/>
          <w:spacing w:val="-3"/>
          <w:sz w:val="32"/>
        </w:rPr>
        <w:t>的优点，但是又与传统方法不同，</w:t>
      </w:r>
    </w:p>
    <w:p>
      <w:pPr>
        <w:framePr w:w="7315" w:x="5751" w:y="670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不是从利润分配的角度出发，而是从企业的价</w:t>
      </w:r>
    </w:p>
    <w:p>
      <w:pPr>
        <w:framePr w:w="7315" w:x="5751" w:y="670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4"/>
          <w:sz w:val="32"/>
        </w:rPr>
        <w:t>值创造（</w:t>
      </w:r>
      <w:r>
        <w:rPr>
          <w:rFonts w:ascii="Calibri"/>
          <w:color w:val="000000"/>
          <w:spacing w:val="-4"/>
          <w:sz w:val="32"/>
        </w:rPr>
        <w:t>ROE</w:t>
      </w:r>
      <w:r>
        <w:rPr>
          <w:rFonts w:ascii="SimSun" w:hAnsi="SimSun" w:cs="SimSun"/>
          <w:color w:val="000000"/>
          <w:spacing w:val="-3"/>
          <w:sz w:val="32"/>
        </w:rPr>
        <w:t>）观点考虑问题</w:t>
      </w:r>
    </w:p>
    <w:p>
      <w:pPr>
        <w:framePr w:w="1003" w:x="3399" w:y="7654"/>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2"/>
          <w:sz w:val="32"/>
        </w:rPr>
        <w:t>RIM</w:t>
      </w:r>
    </w:p>
    <w:p>
      <w:pPr>
        <w:framePr w:w="1747" w:x="3331" w:y="95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定价理论</w:t>
      </w:r>
    </w:p>
    <w:p>
      <w:pPr>
        <w:framePr w:w="641" w:x="4587" w:y="1002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p>
    <w:p>
      <w:pPr>
        <w:framePr w:w="641" w:x="8850" w:y="1002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2</w:t>
      </w:r>
    </w:p>
    <w:p>
      <w:pPr>
        <w:framePr w:w="641" w:x="13113" w:y="1002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3</w:t>
      </w:r>
    </w:p>
    <w:p>
      <w:pPr>
        <w:framePr w:w="12715" w:x="2701" w:y="105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市场有效性（有效市场理论）</w:t>
      </w:r>
      <w:r>
        <w:rPr>
          <w:rFonts w:ascii="Times New Roman"/>
          <w:color w:val="000000"/>
          <w:spacing w:val="61"/>
          <w:sz w:val="32"/>
        </w:rPr>
        <w:t xml:space="preserve"> </w:t>
      </w:r>
      <w:r>
        <w:rPr>
          <w:rFonts w:ascii="SimSun" w:hAnsi="SimSun" w:cs="SimSun"/>
          <w:color w:val="000000"/>
          <w:spacing w:val="-3"/>
          <w:sz w:val="32"/>
        </w:rPr>
        <w:t>影响投资者对资产的价值判</w:t>
      </w:r>
      <w:r>
        <w:rPr>
          <w:rFonts w:ascii="Times New Roman"/>
          <w:color w:val="000000"/>
          <w:spacing w:val="381"/>
          <w:sz w:val="32"/>
        </w:rPr>
        <w:t xml:space="preserve"> </w:t>
      </w:r>
      <w:r>
        <w:rPr>
          <w:rFonts w:ascii="SimSun" w:hAnsi="SimSun" w:cs="SimSun"/>
          <w:color w:val="000000"/>
          <w:spacing w:val="-3"/>
          <w:sz w:val="32"/>
        </w:rPr>
        <w:t>从而影响投资行为</w:t>
      </w:r>
    </w:p>
    <w:p>
      <w:pPr>
        <w:framePr w:w="3648" w:x="3093" w:y="109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风险态度（风险理论）</w:t>
      </w:r>
    </w:p>
    <w:p>
      <w:pPr>
        <w:framePr w:w="797" w:x="6960" w:y="109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断</w:t>
      </w:r>
    </w:p>
    <w:p>
      <w:pPr>
        <w:framePr w:w="4372" w:x="6960" w:y="114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并购等交易行为中的一种定</w:t>
      </w:r>
    </w:p>
    <w:p>
      <w:pPr>
        <w:framePr w:w="4372" w:x="6960" w:y="1147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价分析工具</w:t>
      </w:r>
    </w:p>
    <w:p>
      <w:pPr>
        <w:framePr w:w="1430" w:x="4195" w:y="117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博弈论</w:t>
      </w:r>
    </w:p>
    <w:p>
      <w:pPr>
        <w:framePr w:w="3829" w:x="2701" w:y="1289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3"/>
          <w:sz w:val="32"/>
        </w:rPr>
        <w:t>、行文逻辑和研究方法</w:t>
      </w:r>
    </w:p>
    <w:p>
      <w:pPr>
        <w:spacing w:before="0" w:after="0" w:line="0" w:lineRule="atLeast"/>
        <w:ind w:left="0" w:right="0" w:firstLine="0"/>
        <w:jc w:val="left"/>
        <w:rPr>
          <w:rFonts w:ascii="Arial"/>
          <w:color w:val="FF0000"/>
          <w:spacing w:val="0"/>
          <w:sz w:val="2"/>
        </w:rPr>
      </w:pPr>
      <w:r>
        <w:rPr>
          <w:noProof/>
        </w:rPr>
        <w:pict>
          <v:shape id="_x0000_s1029" type="#_x0000_t75" style="width:644pt;height:5in;margin-top:90.35pt;margin-left:125pt;mso-position-horizontal-relative:page;mso-position-vertical-relative:page;position:absolute;z-index:-251634688">
            <v:imagedata r:id="rId8" o:title=""/>
          </v:shape>
        </w:pict>
      </w:r>
      <w:r>
        <w:rPr>
          <w:noProof/>
        </w:rPr>
        <w:pict>
          <v:shape id="_x0000_s1030" type="#_x0000_t75" style="width:894pt;height:276pt;margin-top:664.7pt;margin-left:-1pt;mso-position-horizontal-relative:page;mso-position-vertical-relative:page;position:absolute;z-index:-251635712">
            <v:imagedata r:id="rId9" o:title=""/>
          </v:shape>
        </w:pict>
      </w:r>
      <w:r>
        <w:rPr>
          <w:noProof/>
        </w:rPr>
        <w:pict>
          <v:shape id="_x0000_s1031" type="#_x0000_t75" style="width:644pt;height:124pt;margin-top:493.35pt;margin-left:125pt;mso-position-horizontal-relative:page;mso-position-vertical-relative:page;position:absolute;z-index:-251636736">
            <v:imagedata r:id="rId1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558" w:x="2701" w:y="2416"/>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3</w:t>
      </w:r>
      <w:r>
        <w:rPr>
          <w:rFonts w:ascii="SimSun" w:hAnsi="SimSun" w:cs="SimSun"/>
          <w:color w:val="000000"/>
          <w:spacing w:val="-3"/>
          <w:sz w:val="32"/>
        </w:rPr>
        <w:t>、感兴趣的内容和个人思考</w:t>
      </w:r>
    </w:p>
    <w:p>
      <w:pPr>
        <w:framePr w:w="4008" w:x="3334"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协同效应量化模型的研究</w:t>
      </w:r>
    </w:p>
    <w:p>
      <w:pPr>
        <w:framePr w:w="14573" w:x="2701" w:y="3352"/>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前面已经提到过，协同效应是企业并购的主要动因。那么在经济全球化的背景下，以优</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化企业境外并购、投资行为为目的的协同效应量化模型研究就显得至关重要。有很多问题亟</w:t>
      </w:r>
    </w:p>
    <w:p>
      <w:pPr>
        <w:framePr w:w="14573"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待我们解决：</w:t>
      </w:r>
    </w:p>
    <w:p>
      <w:pPr>
        <w:framePr w:w="14386" w:x="2701" w:y="4756"/>
        <w:widowControl w:val="0"/>
        <w:autoSpaceDE w:val="0"/>
        <w:autoSpaceDN w:val="0"/>
        <w:spacing w:before="0" w:after="0" w:line="33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）量化协同效应。如何量化目标公司、投资对象的投资价值，如何把握不同类型协</w:t>
      </w:r>
    </w:p>
    <w:p>
      <w:pPr>
        <w:framePr w:w="14386"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同效应的产生机理和估算模型。</w:t>
      </w:r>
    </w:p>
    <w:p>
      <w:pPr>
        <w:framePr w:w="14573" w:x="2701" w:y="5692"/>
        <w:widowControl w:val="0"/>
        <w:autoSpaceDE w:val="0"/>
        <w:autoSpaceDN w:val="0"/>
        <w:spacing w:before="0" w:after="0" w:line="33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）捋顺关系，助推并购。如何处理并购公司、支付对价与投资价值的关系，如何准</w:t>
      </w:r>
    </w:p>
    <w:p>
      <w:pPr>
        <w:framePr w:w="14573"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确定位评估在这类经济行为中的作用和基本功能，如何助推并购成功实现协同效应、助推投</w:t>
      </w:r>
    </w:p>
    <w:p>
      <w:pPr>
        <w:framePr w:w="14573"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资成功获取投资收益。</w:t>
      </w:r>
    </w:p>
    <w:p>
      <w:pPr>
        <w:framePr w:w="10386" w:x="3331" w:y="709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3"/>
          <w:sz w:val="32"/>
        </w:rPr>
        <w:t>）操作与监管。如何站在全球角度进行科学合理操作与监管。</w:t>
      </w:r>
    </w:p>
    <w:p>
      <w:pPr>
        <w:framePr w:w="10386" w:x="333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企业价值驱动因素中的税收筹划</w:t>
      </w:r>
    </w:p>
    <w:p>
      <w:pPr>
        <w:framePr w:w="14288" w:x="2701" w:y="803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企业税收筹划的最终目的是选择符合立法意图且可以减税企业税负的关于企业活动的</w:t>
      </w:r>
    </w:p>
    <w:p>
      <w:pPr>
        <w:framePr w:w="14288" w:x="2701" w:y="803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事先筹划与安排。</w:t>
      </w:r>
      <w:r>
        <w:rPr>
          <w:rFonts w:ascii="Calibri"/>
          <w:color w:val="000000"/>
          <w:spacing w:val="-2"/>
          <w:sz w:val="32"/>
        </w:rPr>
        <w:t>2016</w:t>
      </w:r>
      <w:r>
        <w:rPr>
          <w:rFonts w:ascii="Calibri"/>
          <w:color w:val="000000"/>
          <w:spacing w:val="7"/>
          <w:sz w:val="32"/>
        </w:rPr>
        <w:t xml:space="preserve"> </w:t>
      </w:r>
      <w:r>
        <w:rPr>
          <w:rFonts w:ascii="SimSun" w:hAnsi="SimSun" w:cs="SimSun"/>
          <w:color w:val="000000"/>
          <w:spacing w:val="0"/>
          <w:sz w:val="32"/>
        </w:rPr>
        <w:t>年</w:t>
      </w:r>
      <w:r>
        <w:rPr>
          <w:rFonts w:ascii="Times New Roman"/>
          <w:color w:val="000000"/>
          <w:spacing w:val="-8"/>
          <w:sz w:val="32"/>
        </w:rPr>
        <w:t xml:space="preserve"> </w:t>
      </w:r>
      <w:r>
        <w:rPr>
          <w:rFonts w:ascii="Calibri"/>
          <w:color w:val="000000"/>
          <w:spacing w:val="0"/>
          <w:sz w:val="32"/>
        </w:rPr>
        <w:t>5</w:t>
      </w:r>
      <w:r>
        <w:rPr>
          <w:rFonts w:ascii="Calibri"/>
          <w:color w:val="000000"/>
          <w:spacing w:val="7"/>
          <w:sz w:val="32"/>
        </w:rPr>
        <w:t xml:space="preserve"> </w:t>
      </w:r>
      <w:r>
        <w:rPr>
          <w:rFonts w:ascii="SimSun" w:hAnsi="SimSun" w:cs="SimSun"/>
          <w:color w:val="000000"/>
          <w:spacing w:val="0"/>
          <w:sz w:val="32"/>
        </w:rPr>
        <w:t>月</w:t>
      </w:r>
      <w:r>
        <w:rPr>
          <w:rFonts w:ascii="Times New Roman"/>
          <w:color w:val="000000"/>
          <w:spacing w:val="-8"/>
          <w:sz w:val="32"/>
        </w:rPr>
        <w:t xml:space="preserve"> </w:t>
      </w:r>
      <w:r>
        <w:rPr>
          <w:rFonts w:ascii="Calibri"/>
          <w:color w:val="000000"/>
          <w:spacing w:val="0"/>
          <w:sz w:val="32"/>
        </w:rPr>
        <w:t>1</w:t>
      </w:r>
      <w:r>
        <w:rPr>
          <w:rFonts w:ascii="Calibri"/>
          <w:color w:val="000000"/>
          <w:spacing w:val="3"/>
          <w:sz w:val="32"/>
        </w:rPr>
        <w:t xml:space="preserve"> </w:t>
      </w:r>
      <w:r>
        <w:rPr>
          <w:rFonts w:ascii="SimSun" w:hAnsi="SimSun" w:cs="SimSun"/>
          <w:color w:val="000000"/>
          <w:spacing w:val="-3"/>
          <w:sz w:val="32"/>
        </w:rPr>
        <w:t>日营改增全面推行的背景下，众多相关领域学者对这一背</w:t>
      </w:r>
    </w:p>
    <w:p>
      <w:pPr>
        <w:framePr w:w="14288"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景下企业的税收筹划做了深入的探索研究。</w:t>
      </w:r>
    </w:p>
    <w:p>
      <w:pPr>
        <w:framePr w:w="4008" w:x="3334"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价值类型的不同分类标准</w:t>
      </w:r>
    </w:p>
    <w:p>
      <w:pPr>
        <w:framePr w:w="14343" w:x="2701" w:y="990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价值类型有多种分类标准和方法，这在一次课堂上引发了同学们的讨论。现在，就将这</w:t>
      </w:r>
    </w:p>
    <w:p>
      <w:pPr>
        <w:framePr w:w="1434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些分类简单梳理如下</w:t>
      </w:r>
    </w:p>
    <w:p>
      <w:pPr>
        <w:framePr w:w="1747" w:x="8300" w:y="1085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具体分类</w:t>
      </w:r>
    </w:p>
    <w:p>
      <w:pPr>
        <w:framePr w:w="14173" w:x="2701" w:y="1133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估价标准形式表述方式不同</w:t>
      </w:r>
      <w:r>
        <w:rPr>
          <w:rFonts w:ascii="Times New Roman"/>
          <w:color w:val="000000"/>
          <w:spacing w:val="378"/>
          <w:sz w:val="32"/>
        </w:rPr>
        <w:t xml:space="preserve"> </w:t>
      </w:r>
      <w:r>
        <w:rPr>
          <w:rFonts w:ascii="SimSun" w:hAnsi="SimSun" w:cs="SimSun"/>
          <w:color w:val="000000"/>
          <w:spacing w:val="-16"/>
          <w:sz w:val="32"/>
        </w:rPr>
        <w:t>重置成本、收益现值、现行市</w:t>
      </w:r>
      <w:r>
        <w:rPr>
          <w:rFonts w:ascii="Times New Roman"/>
          <w:color w:val="000000"/>
          <w:spacing w:val="250"/>
          <w:sz w:val="32"/>
        </w:rPr>
        <w:t xml:space="preserve"> </w:t>
      </w:r>
      <w:r>
        <w:rPr>
          <w:rFonts w:ascii="SimSun" w:hAnsi="SimSun" w:cs="SimSun"/>
          <w:color w:val="000000"/>
          <w:spacing w:val="-3"/>
          <w:sz w:val="32"/>
        </w:rPr>
        <w:t>我国理论界关于价值类型的</w:t>
      </w:r>
    </w:p>
    <w:p>
      <w:pPr>
        <w:framePr w:w="2381" w:x="6960" w:y="1180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价和清算价格</w:t>
      </w:r>
    </w:p>
    <w:p>
      <w:pPr>
        <w:framePr w:w="4372" w:x="6960" w:y="12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公开市场价值、继续使用价</w:t>
      </w:r>
    </w:p>
    <w:p>
      <w:pPr>
        <w:framePr w:w="4372" w:x="6960" w:y="1228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值、清算价值</w:t>
      </w:r>
    </w:p>
    <w:p>
      <w:pPr>
        <w:framePr w:w="4736" w:x="6960" w:y="132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抵押价值、保险价值、课税价</w:t>
      </w:r>
    </w:p>
    <w:p>
      <w:pPr>
        <w:framePr w:w="4736" w:x="6960" w:y="1324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值、投资价值、清算价值</w:t>
      </w:r>
    </w:p>
    <w:p>
      <w:pPr>
        <w:framePr w:w="9432" w:x="6960" w:y="141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市场价值、市场以外的价值</w:t>
      </w:r>
      <w:r>
        <w:rPr>
          <w:rFonts w:ascii="Times New Roman"/>
          <w:color w:val="000000"/>
          <w:spacing w:val="381"/>
          <w:sz w:val="32"/>
        </w:rPr>
        <w:t xml:space="preserve"> </w:t>
      </w:r>
      <w:r>
        <w:rPr>
          <w:rFonts w:ascii="SimSun" w:hAnsi="SimSun" w:cs="SimSun"/>
          <w:color w:val="000000"/>
          <w:spacing w:val="-17"/>
          <w:sz w:val="32"/>
        </w:rPr>
        <w:t>国内外评估界的主流观点；市</w:t>
      </w:r>
    </w:p>
    <w:p>
      <w:pPr>
        <w:framePr w:w="9432" w:x="6960" w:y="14193"/>
        <w:widowControl w:val="0"/>
        <w:autoSpaceDE w:val="0"/>
        <w:autoSpaceDN w:val="0"/>
        <w:spacing w:before="151" w:after="0" w:line="317" w:lineRule="exact"/>
        <w:ind w:left="4263" w:right="0" w:firstLine="0"/>
        <w:jc w:val="left"/>
        <w:rPr>
          <w:rFonts w:ascii="Times New Roman"/>
          <w:color w:val="000000"/>
          <w:spacing w:val="0"/>
          <w:sz w:val="32"/>
        </w:rPr>
      </w:pPr>
      <w:r>
        <w:rPr>
          <w:rFonts w:ascii="SimSun" w:hAnsi="SimSun" w:cs="SimSun"/>
          <w:color w:val="000000"/>
          <w:spacing w:val="-3"/>
          <w:sz w:val="32"/>
        </w:rPr>
        <w:t>场价值以外的价值的一些价</w:t>
      </w:r>
    </w:p>
    <w:p>
      <w:pPr>
        <w:framePr w:w="4372" w:x="11223" w:y="1512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值类型有投资价值、公允价</w:t>
      </w:r>
    </w:p>
    <w:p>
      <w:pPr>
        <w:framePr w:w="4008" w:x="11223" w:y="1559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值、特殊价值、协同价值</w:t>
      </w:r>
    </w:p>
    <w:p>
      <w:pPr>
        <w:framePr w:w="2226" w:x="2701" w:y="1701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4</w:t>
      </w:r>
      <w:r>
        <w:rPr>
          <w:rFonts w:ascii="SimSun" w:hAnsi="SimSun" w:cs="SimSun"/>
          <w:color w:val="000000"/>
          <w:spacing w:val="-3"/>
          <w:sz w:val="32"/>
        </w:rPr>
        <w:t>、资料延伸</w:t>
      </w:r>
    </w:p>
    <w:p>
      <w:pPr>
        <w:framePr w:w="1747" w:x="2701" w:y="1748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税收筹划</w:t>
      </w:r>
    </w:p>
    <w:p>
      <w:pPr>
        <w:framePr w:w="14937" w:x="2701" w:y="1795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“税收筹划”又称“合理避税”。它来源于</w:t>
      </w:r>
      <w:r>
        <w:rPr>
          <w:rFonts w:ascii="Calibri"/>
          <w:color w:val="000000"/>
          <w:spacing w:val="-2"/>
          <w:sz w:val="32"/>
        </w:rPr>
        <w:t>1935</w:t>
      </w:r>
      <w:r>
        <w:rPr>
          <w:rFonts w:ascii="Calibri"/>
          <w:color w:val="000000"/>
          <w:spacing w:val="7"/>
          <w:sz w:val="32"/>
        </w:rPr>
        <w:t xml:space="preserve"> </w:t>
      </w:r>
      <w:r>
        <w:rPr>
          <w:rFonts w:ascii="SimSun" w:hAnsi="SimSun" w:cs="SimSun"/>
          <w:color w:val="000000"/>
          <w:spacing w:val="-3"/>
          <w:sz w:val="32"/>
        </w:rPr>
        <w:t>年英国的“税务局长诉温斯特大公”案。</w:t>
      </w:r>
    </w:p>
    <w:p>
      <w:pPr>
        <w:framePr w:w="14937" w:x="2701" w:y="1795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当时参与此案的英国上议院议员汤姆林爵士对税收筹划作了这样的表述：“任何一个人都有</w:t>
      </w:r>
    </w:p>
    <w:p>
      <w:pPr>
        <w:framePr w:w="14937" w:x="2701" w:y="1795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权安排自己的事业。如果依据法律所做的某些安排可以少缴税，那就不能强迫他多缴税收。”</w:t>
      </w:r>
    </w:p>
    <w:p>
      <w:pPr>
        <w:framePr w:w="14937" w:x="2701" w:y="1795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这一观点得到了法律界的认同。经过半个多世纪的发展，税收筹划的规范化定义得以逐步形</w:t>
      </w:r>
    </w:p>
    <w:p>
      <w:pPr>
        <w:framePr w:w="14937" w:x="2701" w:y="1795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成，即“在法律规定许可的范围内，通过对经营、投资、理财活动的事先筹划和安排，尽可</w:t>
      </w:r>
    </w:p>
    <w:p>
      <w:pPr>
        <w:framePr w:w="14937" w:x="2701" w:y="1795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5"/>
          <w:sz w:val="32"/>
        </w:rPr>
        <w:t>能取得节税</w:t>
      </w:r>
      <w:r>
        <w:rPr>
          <w:rFonts w:ascii="Calibri"/>
          <w:color w:val="000000"/>
          <w:spacing w:val="-1"/>
          <w:sz w:val="32"/>
        </w:rPr>
        <w:t>(Tax</w:t>
      </w:r>
      <w:r>
        <w:rPr>
          <w:rFonts w:ascii="Calibri"/>
          <w:color w:val="000000"/>
          <w:spacing w:val="-1"/>
          <w:sz w:val="32"/>
        </w:rPr>
        <w:t xml:space="preserve"> </w:t>
      </w:r>
      <w:r>
        <w:rPr>
          <w:rFonts w:ascii="Calibri"/>
          <w:color w:val="000000"/>
          <w:spacing w:val="-1"/>
          <w:sz w:val="32"/>
        </w:rPr>
        <w:t>Savings)</w:t>
      </w:r>
      <w:r>
        <w:rPr>
          <w:rFonts w:ascii="SimSun" w:hAnsi="SimSun" w:cs="SimSun"/>
          <w:color w:val="000000"/>
          <w:spacing w:val="-3"/>
          <w:sz w:val="32"/>
        </w:rPr>
        <w:t>的经济利益。”</w:t>
      </w:r>
    </w:p>
    <w:p>
      <w:pPr>
        <w:framePr w:w="7464" w:x="5700" w:y="2122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（二）第三章</w:t>
      </w:r>
      <w:r>
        <w:rPr>
          <w:rFonts w:ascii="Times New Roman"/>
          <w:color w:val="000000"/>
          <w:spacing w:val="71"/>
          <w:sz w:val="32"/>
        </w:rPr>
        <w:t xml:space="preserve"> </w:t>
      </w:r>
      <w:r>
        <w:rPr>
          <w:rFonts w:ascii="SimSun" w:hAnsi="SimSun" w:cs="SimSun"/>
          <w:color w:val="000000"/>
          <w:spacing w:val="-3"/>
          <w:sz w:val="32"/>
        </w:rPr>
        <w:t>投资价值的定义及内涵</w:t>
      </w:r>
    </w:p>
    <w:p>
      <w:pPr>
        <w:framePr w:w="7464" w:x="5700" w:y="2122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第一节</w:t>
      </w:r>
      <w:r>
        <w:rPr>
          <w:rFonts w:ascii="Times New Roman"/>
          <w:color w:val="000000"/>
          <w:spacing w:val="75"/>
          <w:sz w:val="32"/>
        </w:rPr>
        <w:t xml:space="preserve"> </w:t>
      </w:r>
      <w:r>
        <w:rPr>
          <w:rFonts w:ascii="SimSun" w:hAnsi="SimSun" w:cs="SimSun"/>
          <w:color w:val="000000"/>
          <w:spacing w:val="-3"/>
          <w:sz w:val="32"/>
        </w:rPr>
        <w:t>国内外评估规范有关投资价值定义综述</w:t>
      </w:r>
    </w:p>
    <w:p>
      <w:pPr>
        <w:framePr w:w="13844" w:x="3331" w:y="2216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这一节从多角度分析了投资价值，有助于在理论上深入理解投资价值，在评估实务上更</w:t>
      </w:r>
    </w:p>
    <w:p>
      <w:pPr>
        <w:spacing w:before="0" w:after="0" w:line="0" w:lineRule="atLeast"/>
        <w:ind w:left="0" w:right="0" w:firstLine="0"/>
        <w:jc w:val="left"/>
        <w:rPr>
          <w:rFonts w:ascii="Arial"/>
          <w:color w:val="FF0000"/>
          <w:spacing w:val="0"/>
          <w:sz w:val="2"/>
        </w:rPr>
      </w:pPr>
      <w:r>
        <w:rPr>
          <w:noProof/>
        </w:rPr>
        <w:pict>
          <v:shape id="_x0000_s1032" type="#_x0000_t75" style="width:644pt;height:265pt;margin-top:535.1pt;margin-left:125pt;mso-position-horizontal-relative:page;mso-position-vertical-relative:page;position:absolute;z-index:-251637760">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93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1"/>
          <w:sz w:val="32"/>
        </w:rPr>
        <w:t>好地应用投资价值。同时，也能学习到从一个新的角度来学习和解读国际和各国的评估准则。</w:t>
      </w:r>
    </w:p>
    <w:p>
      <w:pPr>
        <w:framePr w:w="14937"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color w:val="000000"/>
          <w:spacing w:val="-2"/>
          <w:sz w:val="32"/>
        </w:rPr>
        <w:t>1</w:t>
      </w:r>
      <w:r>
        <w:rPr>
          <w:rFonts w:ascii="SimSun" w:hAnsi="SimSun" w:cs="SimSun"/>
          <w:color w:val="000000"/>
          <w:spacing w:val="-3"/>
          <w:sz w:val="32"/>
        </w:rPr>
        <w:t>、本章主要内容及结论</w:t>
      </w:r>
    </w:p>
    <w:p>
      <w:pPr>
        <w:framePr w:w="4736" w:x="3334" w:y="28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是否明确界定投资价值的定义</w:t>
      </w:r>
    </w:p>
    <w:p>
      <w:pPr>
        <w:framePr w:w="1114" w:x="4115" w:y="33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准则</w:t>
      </w:r>
    </w:p>
    <w:p>
      <w:pPr>
        <w:framePr w:w="1114" w:x="12717" w:y="336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备注</w:t>
      </w:r>
    </w:p>
    <w:p>
      <w:pPr>
        <w:framePr w:w="4736" w:x="10907" w:y="38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资产对于具有明确投资或运营</w:t>
      </w:r>
    </w:p>
    <w:p>
      <w:pPr>
        <w:framePr w:w="4736" w:x="10907" w:y="38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目标的所有者或潜在所有者所</w:t>
      </w:r>
    </w:p>
    <w:p>
      <w:pPr>
        <w:framePr w:w="4736" w:x="10907" w:y="384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具有的价值</w:t>
      </w:r>
    </w:p>
    <w:p>
      <w:pPr>
        <w:framePr w:w="2064" w:x="6489" w:y="52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未明确定义</w:t>
      </w:r>
    </w:p>
    <w:p>
      <w:pPr>
        <w:framePr w:w="2064" w:x="6489" w:y="5267"/>
        <w:widowControl w:val="0"/>
        <w:autoSpaceDE w:val="0"/>
        <w:autoSpaceDN w:val="0"/>
        <w:spacing w:before="169" w:after="0" w:line="317" w:lineRule="exact"/>
        <w:ind w:left="0" w:right="0" w:firstLine="0"/>
        <w:jc w:val="left"/>
        <w:rPr>
          <w:rFonts w:ascii="Times New Roman"/>
          <w:color w:val="000000"/>
          <w:spacing w:val="0"/>
          <w:sz w:val="32"/>
        </w:rPr>
      </w:pPr>
      <w:r>
        <w:rPr>
          <w:rFonts w:ascii="SimSun" w:hAnsi="SimSun" w:cs="SimSun"/>
          <w:color w:val="000000"/>
          <w:spacing w:val="-3"/>
          <w:sz w:val="32"/>
        </w:rPr>
        <w:t>未明确定义</w:t>
      </w:r>
    </w:p>
    <w:p>
      <w:pPr>
        <w:framePr w:w="3014" w:x="10907" w:y="526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但使用类似的定义</w:t>
      </w:r>
    </w:p>
    <w:p>
      <w:pPr>
        <w:framePr w:w="5100" w:x="10907" w:y="57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5"/>
          <w:sz w:val="32"/>
        </w:rPr>
        <w:t>但涉及投资价值的一些规范（美</w:t>
      </w:r>
    </w:p>
    <w:p>
      <w:pPr>
        <w:framePr w:w="5100" w:x="10907" w:y="57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国准则偏向实务），与评估师身</w:t>
      </w:r>
    </w:p>
    <w:p>
      <w:pPr>
        <w:framePr w:w="5100" w:x="10907" w:y="57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份有关</w:t>
      </w:r>
    </w:p>
    <w:p>
      <w:pPr>
        <w:framePr w:w="9979" w:x="6489" w:y="7171"/>
        <w:widowControl w:val="0"/>
        <w:autoSpaceDE w:val="0"/>
        <w:autoSpaceDN w:val="0"/>
        <w:spacing w:before="0" w:after="0" w:line="317" w:lineRule="exact"/>
        <w:ind w:left="0" w:right="0" w:firstLine="0"/>
        <w:jc w:val="left"/>
        <w:rPr>
          <w:rFonts w:ascii="SimSun"/>
          <w:color w:val="000000"/>
          <w:spacing w:val="0"/>
          <w:sz w:val="32"/>
        </w:rPr>
      </w:pPr>
      <w:r>
        <w:rPr>
          <w:rFonts w:ascii="SimSun" w:hAnsi="SimSun" w:cs="SimSun"/>
          <w:color w:val="000000"/>
          <w:spacing w:val="-3"/>
          <w:sz w:val="32"/>
        </w:rPr>
        <w:t>独立定义：投资价值或所有值</w:t>
      </w:r>
      <w:r>
        <w:rPr>
          <w:rFonts w:ascii="Times New Roman"/>
          <w:color w:val="000000"/>
          <w:spacing w:val="220"/>
          <w:sz w:val="32"/>
        </w:rPr>
        <w:t xml:space="preserve"> </w:t>
      </w:r>
      <w:r>
        <w:rPr>
          <w:rFonts w:ascii="SimSun" w:hAnsi="SimSun" w:cs="SimSun"/>
          <w:color w:val="000000"/>
          <w:spacing w:val="-11"/>
          <w:sz w:val="32"/>
        </w:rPr>
        <w:t>但涉及到实际计算时，采用</w:t>
      </w:r>
      <w:r>
        <w:rPr>
          <w:rFonts w:ascii="Times New Roman"/>
          <w:color w:val="000000"/>
          <w:spacing w:val="3"/>
          <w:sz w:val="32"/>
        </w:rPr>
        <w:t xml:space="preserve"> </w:t>
      </w:r>
      <w:r>
        <w:rPr>
          <w:rFonts w:ascii="SimSun"/>
          <w:color w:val="000000"/>
          <w:spacing w:val="-2"/>
          <w:sz w:val="32"/>
        </w:rPr>
        <w:t>IVS</w:t>
      </w:r>
    </w:p>
    <w:p>
      <w:pPr>
        <w:framePr w:w="3014" w:x="10907" w:y="764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的投资价值的定义</w:t>
      </w:r>
    </w:p>
    <w:p>
      <w:pPr>
        <w:framePr w:w="3648" w:x="2856" w:y="78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5"/>
          <w:sz w:val="32"/>
        </w:rPr>
        <w:t>英国评估准则（</w:t>
      </w:r>
      <w:r>
        <w:rPr>
          <w:rFonts w:ascii="SimSun"/>
          <w:color w:val="000000"/>
          <w:spacing w:val="-2"/>
          <w:sz w:val="32"/>
        </w:rPr>
        <w:t>RICS</w:t>
      </w:r>
      <w:r>
        <w:rPr>
          <w:rFonts w:ascii="SimSun" w:hAnsi="SimSun" w:cs="SimSun"/>
          <w:color w:val="000000"/>
          <w:spacing w:val="0"/>
          <w:sz w:val="32"/>
        </w:rPr>
        <w:t>）</w:t>
      </w:r>
    </w:p>
    <w:p>
      <w:pPr>
        <w:framePr w:w="5813" w:x="2701" w:y="90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16"/>
          <w:sz w:val="32"/>
        </w:rPr>
        <w:t>德国评估准则（</w:t>
      </w:r>
      <w:r>
        <w:rPr>
          <w:rFonts w:ascii="SimSun"/>
          <w:color w:val="000000"/>
          <w:spacing w:val="-1"/>
          <w:sz w:val="32"/>
        </w:rPr>
        <w:t>IDW</w:t>
      </w:r>
      <w:r>
        <w:rPr>
          <w:rFonts w:ascii="SimSun" w:hAnsi="SimSun" w:cs="SimSun"/>
          <w:color w:val="000000"/>
          <w:spacing w:val="-3"/>
          <w:sz w:val="32"/>
        </w:rPr>
        <w:t>标准）</w:t>
      </w:r>
      <w:r>
        <w:rPr>
          <w:rFonts w:ascii="Times New Roman"/>
          <w:color w:val="000000"/>
          <w:spacing w:val="79"/>
          <w:sz w:val="32"/>
        </w:rPr>
        <w:t xml:space="preserve"> </w:t>
      </w:r>
      <w:r>
        <w:rPr>
          <w:rFonts w:ascii="SimSun" w:hAnsi="SimSun" w:cs="SimSun"/>
          <w:color w:val="000000"/>
          <w:spacing w:val="-3"/>
          <w:sz w:val="32"/>
        </w:rPr>
        <w:t>明确定义</w:t>
      </w:r>
    </w:p>
    <w:p>
      <w:pPr>
        <w:framePr w:w="2698" w:x="10907" w:y="905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类似欧洲的定义</w:t>
      </w:r>
    </w:p>
    <w:p>
      <w:pPr>
        <w:framePr w:w="4372" w:x="6489" w:y="95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只分为市场价值和其他类型</w:t>
      </w:r>
    </w:p>
    <w:p>
      <w:pPr>
        <w:framePr w:w="5100" w:x="10907" w:y="95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未做法律规定，协议未涉及时，</w:t>
      </w:r>
    </w:p>
    <w:p>
      <w:pPr>
        <w:framePr w:w="5100" w:x="10907" w:y="954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统一使用市场价值</w:t>
      </w:r>
    </w:p>
    <w:p>
      <w:pPr>
        <w:framePr w:w="2698" w:x="3327" w:y="97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俄罗斯评估准则</w:t>
      </w:r>
    </w:p>
    <w:p>
      <w:pPr>
        <w:framePr w:w="1114" w:x="6489" w:y="100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价值</w:t>
      </w:r>
    </w:p>
    <w:p>
      <w:pPr>
        <w:framePr w:w="1747" w:x="6489" w:y="104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明确定义</w:t>
      </w:r>
    </w:p>
    <w:p>
      <w:pPr>
        <w:framePr w:w="5100" w:x="10907" w:y="104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资产的投资价值是一个相对于</w:t>
      </w:r>
    </w:p>
    <w:p>
      <w:pPr>
        <w:framePr w:w="5100" w:x="10907" w:y="104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5"/>
          <w:sz w:val="32"/>
        </w:rPr>
        <w:t>特定市场主体（投资者）而言所</w:t>
      </w:r>
    </w:p>
    <w:p>
      <w:pPr>
        <w:framePr w:w="5100" w:x="10907" w:y="1049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具有的价值估计数额</w:t>
      </w:r>
    </w:p>
    <w:p>
      <w:pPr>
        <w:framePr w:w="9837" w:x="3331" w:y="1191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与评估身份</w:t>
      </w:r>
      <w:r>
        <w:rPr>
          <w:rFonts w:ascii="SimSun"/>
          <w:color w:val="000000"/>
          <w:spacing w:val="-2"/>
          <w:sz w:val="32"/>
        </w:rPr>
        <w:t>/</w:t>
      </w:r>
      <w:r>
        <w:rPr>
          <w:rFonts w:ascii="SimSun" w:hAnsi="SimSun" w:cs="SimSun"/>
          <w:color w:val="000000"/>
          <w:spacing w:val="-3"/>
          <w:sz w:val="32"/>
        </w:rPr>
        <w:t>角色相关的评估的价值类型</w:t>
      </w:r>
    </w:p>
    <w:p>
      <w:pPr>
        <w:framePr w:w="9837" w:x="3331" w:y="1191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欧洲和德国的评估准则中价值类型与评估师的身份密切相关。</w:t>
      </w:r>
    </w:p>
    <w:p>
      <w:pPr>
        <w:framePr w:w="1114" w:x="5343" w:y="128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欧洲</w:t>
      </w:r>
    </w:p>
    <w:p>
      <w:pPr>
        <w:framePr w:w="5100" w:x="10744" w:y="133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评估人以专家身份采用综合放啊</w:t>
      </w:r>
    </w:p>
    <w:p>
      <w:pPr>
        <w:framePr w:w="5100" w:x="10744" w:y="133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确定企业价值，是独立于相关方</w:t>
      </w:r>
    </w:p>
    <w:p>
      <w:pPr>
        <w:framePr w:w="5100" w:x="10744" w:y="133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人员，客观评估企业价值的专家</w:t>
      </w:r>
    </w:p>
    <w:p>
      <w:pPr>
        <w:framePr w:w="5100" w:x="10744" w:y="13347"/>
        <w:widowControl w:val="0"/>
        <w:autoSpaceDE w:val="0"/>
        <w:autoSpaceDN w:val="0"/>
        <w:spacing w:before="166" w:after="0" w:line="317" w:lineRule="exact"/>
        <w:ind w:left="0" w:right="0" w:firstLine="0"/>
        <w:jc w:val="left"/>
        <w:rPr>
          <w:rFonts w:ascii="Times New Roman"/>
          <w:color w:val="000000"/>
          <w:spacing w:val="0"/>
          <w:sz w:val="32"/>
        </w:rPr>
      </w:pPr>
      <w:r>
        <w:rPr>
          <w:rFonts w:ascii="SimSun" w:hAnsi="SimSun" w:cs="SimSun"/>
          <w:color w:val="000000"/>
          <w:spacing w:val="-3"/>
          <w:sz w:val="32"/>
        </w:rPr>
        <w:t>此时与投资价值定义相似。评估</w:t>
      </w:r>
    </w:p>
    <w:p>
      <w:pPr>
        <w:framePr w:w="5100" w:x="10744" w:y="133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人确定决策目的的主观价值</w:t>
      </w:r>
    </w:p>
    <w:p>
      <w:pPr>
        <w:framePr w:w="797" w:x="2701" w:y="138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0"/>
          <w:sz w:val="32"/>
        </w:rPr>
        <w:t>师</w:t>
      </w:r>
    </w:p>
    <w:p>
      <w:pPr>
        <w:framePr w:w="7908" w:x="2701" w:y="1476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咨询专家</w:t>
      </w:r>
      <w:r>
        <w:rPr>
          <w:rFonts w:ascii="Times New Roman"/>
          <w:color w:val="000000"/>
          <w:spacing w:val="395"/>
          <w:sz w:val="32"/>
        </w:rPr>
        <w:t xml:space="preserve"> </w:t>
      </w:r>
      <w:r>
        <w:rPr>
          <w:rFonts w:ascii="SimSun" w:hAnsi="SimSun" w:cs="SimSun"/>
          <w:color w:val="000000"/>
          <w:spacing w:val="-3"/>
          <w:sz w:val="32"/>
        </w:rPr>
        <w:t>提供关于最佳方案的建议；得</w:t>
      </w:r>
      <w:r>
        <w:rPr>
          <w:rFonts w:ascii="Times New Roman"/>
          <w:color w:val="000000"/>
          <w:spacing w:val="303"/>
          <w:sz w:val="32"/>
        </w:rPr>
        <w:t xml:space="preserve"> </w:t>
      </w:r>
      <w:r>
        <w:rPr>
          <w:rFonts w:ascii="SimSun" w:hAnsi="SimSun" w:cs="SimSun"/>
          <w:color w:val="000000"/>
          <w:spacing w:val="-3"/>
          <w:sz w:val="32"/>
        </w:rPr>
        <w:t>顾问</w:t>
      </w:r>
    </w:p>
    <w:p>
      <w:pPr>
        <w:framePr w:w="7908" w:x="2701" w:y="14765"/>
        <w:widowControl w:val="0"/>
        <w:autoSpaceDE w:val="0"/>
        <w:autoSpaceDN w:val="0"/>
        <w:spacing w:before="151" w:after="0" w:line="317" w:lineRule="exact"/>
        <w:ind w:left="1742" w:right="0" w:firstLine="0"/>
        <w:jc w:val="left"/>
        <w:rPr>
          <w:rFonts w:ascii="Times New Roman"/>
          <w:color w:val="000000"/>
          <w:spacing w:val="0"/>
          <w:sz w:val="32"/>
        </w:rPr>
      </w:pPr>
      <w:r>
        <w:rPr>
          <w:rFonts w:ascii="SimSun" w:hAnsi="SimSun" w:cs="SimSun"/>
          <w:color w:val="000000"/>
          <w:spacing w:val="-3"/>
          <w:sz w:val="32"/>
        </w:rPr>
        <w:t>出结论时结合了模型预测和客</w:t>
      </w:r>
    </w:p>
    <w:p>
      <w:pPr>
        <w:framePr w:w="7908" w:x="2701" w:y="14765"/>
        <w:widowControl w:val="0"/>
        <w:autoSpaceDE w:val="0"/>
        <w:autoSpaceDN w:val="0"/>
        <w:spacing w:before="151" w:after="0" w:line="317" w:lineRule="exact"/>
        <w:ind w:left="1742" w:right="0" w:firstLine="0"/>
        <w:jc w:val="left"/>
        <w:rPr>
          <w:rFonts w:ascii="Times New Roman"/>
          <w:color w:val="000000"/>
          <w:spacing w:val="0"/>
          <w:sz w:val="32"/>
        </w:rPr>
      </w:pPr>
      <w:r>
        <w:rPr>
          <w:rFonts w:ascii="SimSun" w:hAnsi="SimSun" w:cs="SimSun"/>
          <w:color w:val="000000"/>
          <w:spacing w:val="-3"/>
          <w:sz w:val="32"/>
        </w:rPr>
        <w:t>户的判断</w:t>
      </w:r>
    </w:p>
    <w:p>
      <w:pPr>
        <w:framePr w:w="4372" w:x="4443" w:y="161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综合考虑双方意见后形成判</w:t>
      </w:r>
    </w:p>
    <w:p>
      <w:pPr>
        <w:framePr w:w="7171" w:x="8944" w:y="1618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4"/>
          <w:sz w:val="32"/>
        </w:rPr>
        <w:t>仲裁人</w:t>
      </w:r>
      <w:r>
        <w:rPr>
          <w:rFonts w:ascii="SimSun"/>
          <w:color w:val="000000"/>
          <w:spacing w:val="-2"/>
          <w:sz w:val="32"/>
        </w:rPr>
        <w:t>/</w:t>
      </w:r>
      <w:r>
        <w:rPr>
          <w:rFonts w:ascii="SimSun" w:hAnsi="SimSun" w:cs="SimSun"/>
          <w:color w:val="000000"/>
          <w:spacing w:val="0"/>
          <w:sz w:val="32"/>
        </w:rPr>
        <w:t>调</w:t>
      </w:r>
      <w:r>
        <w:rPr>
          <w:rFonts w:ascii="Times New Roman"/>
          <w:color w:val="000000"/>
          <w:spacing w:val="295"/>
          <w:sz w:val="32"/>
        </w:rPr>
        <w:t xml:space="preserve"> </w:t>
      </w:r>
      <w:r>
        <w:rPr>
          <w:rFonts w:ascii="SimSun" w:hAnsi="SimSun" w:cs="SimSun"/>
          <w:color w:val="000000"/>
          <w:spacing w:val="-3"/>
          <w:sz w:val="32"/>
        </w:rPr>
        <w:t>全面考虑相关方的各个主观价值</w:t>
      </w:r>
    </w:p>
    <w:p>
      <w:pPr>
        <w:framePr w:w="5905" w:x="4443" w:y="166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断；受法律和双方协议的约束</w:t>
      </w:r>
      <w:r>
        <w:rPr>
          <w:rFonts w:ascii="Times New Roman"/>
          <w:color w:val="000000"/>
          <w:spacing w:val="303"/>
          <w:sz w:val="32"/>
        </w:rPr>
        <w:t xml:space="preserve"> </w:t>
      </w:r>
      <w:r>
        <w:rPr>
          <w:rFonts w:ascii="SimSun" w:hAnsi="SimSun" w:cs="SimSun"/>
          <w:color w:val="000000"/>
          <w:spacing w:val="-3"/>
          <w:sz w:val="32"/>
        </w:rPr>
        <w:t>解人</w:t>
      </w:r>
    </w:p>
    <w:p>
      <w:pPr>
        <w:framePr w:w="5100" w:x="10744" w:y="1665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的理想状况下，致力于达成仲裁</w:t>
      </w:r>
    </w:p>
    <w:p>
      <w:pPr>
        <w:framePr w:w="5100" w:x="10744" w:y="16652"/>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价值</w:t>
      </w:r>
    </w:p>
    <w:p>
      <w:pPr>
        <w:framePr w:w="5465" w:x="2701" w:y="1760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结论：两者殊途同归，极为类似。</w:t>
      </w:r>
    </w:p>
    <w:p>
      <w:pPr>
        <w:framePr w:w="5465" w:x="2701" w:y="17602"/>
        <w:widowControl w:val="0"/>
        <w:autoSpaceDE w:val="0"/>
        <w:autoSpaceDN w:val="0"/>
        <w:spacing w:before="166" w:after="0" w:line="317" w:lineRule="exact"/>
        <w:ind w:left="633" w:right="0" w:firstLine="0"/>
        <w:jc w:val="left"/>
        <w:rPr>
          <w:rFonts w:ascii="Times New Roman"/>
          <w:color w:val="000000"/>
          <w:spacing w:val="0"/>
          <w:sz w:val="32"/>
        </w:rPr>
      </w:pPr>
      <w:r>
        <w:rPr>
          <w:rFonts w:ascii="SimSun" w:hAnsi="SimSun" w:cs="SimSun"/>
          <w:color w:val="000000"/>
          <w:spacing w:val="-3"/>
          <w:sz w:val="32"/>
        </w:rPr>
        <w:t>各个评估准则的特点</w:t>
      </w:r>
    </w:p>
    <w:p>
      <w:pPr>
        <w:framePr w:w="4732" w:x="2701" w:y="1855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德国严谨，美国注重实务</w:t>
      </w:r>
    </w:p>
    <w:p>
      <w:pPr>
        <w:framePr w:w="4732" w:x="2701" w:y="18553"/>
        <w:widowControl w:val="0"/>
        <w:autoSpaceDE w:val="0"/>
        <w:autoSpaceDN w:val="0"/>
        <w:spacing w:before="151" w:after="0" w:line="317" w:lineRule="exact"/>
        <w:ind w:left="0" w:right="0" w:firstLine="0"/>
        <w:jc w:val="left"/>
        <w:rPr>
          <w:rFonts w:ascii="Times New Roman"/>
          <w:color w:val="000000"/>
          <w:spacing w:val="0"/>
          <w:sz w:val="32"/>
        </w:rPr>
      </w:pPr>
      <w:r>
        <w:rPr>
          <w:rFonts w:ascii="SimSun"/>
          <w:color w:val="000000"/>
          <w:spacing w:val="-2"/>
          <w:sz w:val="32"/>
        </w:rPr>
        <w:t>4</w:t>
      </w:r>
      <w:r>
        <w:rPr>
          <w:rFonts w:ascii="SimSun" w:hAnsi="SimSun" w:cs="SimSun"/>
          <w:color w:val="000000"/>
          <w:spacing w:val="-3"/>
          <w:sz w:val="32"/>
        </w:rPr>
        <w:t>、资料延伸</w:t>
      </w:r>
    </w:p>
    <w:p>
      <w:pPr>
        <w:framePr w:w="11875" w:x="2701" w:y="1948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《若干西方国家评估规范的特点与模式》张大群</w:t>
      </w:r>
      <w:r>
        <w:rPr>
          <w:rFonts w:ascii="Times New Roman"/>
          <w:color w:val="000000"/>
          <w:spacing w:val="202"/>
          <w:sz w:val="32"/>
        </w:rPr>
        <w:t xml:space="preserve"> </w:t>
      </w:r>
      <w:r>
        <w:rPr>
          <w:rFonts w:ascii="SimSun" w:hAnsi="SimSun" w:cs="SimSun"/>
          <w:color w:val="000000"/>
          <w:spacing w:val="-3"/>
          <w:sz w:val="32"/>
        </w:rPr>
        <w:t>李晓轩</w:t>
      </w:r>
      <w:r>
        <w:rPr>
          <w:rFonts w:ascii="Times New Roman"/>
          <w:color w:val="000000"/>
          <w:spacing w:val="233"/>
          <w:sz w:val="32"/>
        </w:rPr>
        <w:t xml:space="preserve"> </w:t>
      </w:r>
      <w:r>
        <w:rPr>
          <w:rFonts w:ascii="SimSun" w:hAnsi="SimSun" w:cs="SimSun"/>
          <w:color w:val="000000"/>
          <w:spacing w:val="-3"/>
          <w:sz w:val="32"/>
        </w:rPr>
        <w:t>刘文斌</w:t>
      </w:r>
      <w:r>
        <w:rPr>
          <w:rFonts w:ascii="Times New Roman"/>
          <w:color w:val="000000"/>
          <w:spacing w:val="71"/>
          <w:sz w:val="32"/>
        </w:rPr>
        <w:t xml:space="preserve"> </w:t>
      </w:r>
      <w:r>
        <w:rPr>
          <w:rFonts w:ascii="SimSun"/>
          <w:color w:val="000000"/>
          <w:spacing w:val="-1"/>
          <w:sz w:val="32"/>
        </w:rPr>
        <w:t>2008</w:t>
      </w:r>
      <w:r>
        <w:rPr>
          <w:rFonts w:ascii="SimSun" w:hAnsi="SimSun" w:cs="SimSun"/>
          <w:color w:val="000000"/>
          <w:spacing w:val="0"/>
          <w:sz w:val="32"/>
        </w:rPr>
        <w:t>年</w:t>
      </w:r>
    </w:p>
    <w:p>
      <w:pPr>
        <w:framePr w:w="11875" w:x="2701" w:y="19489"/>
        <w:widowControl w:val="0"/>
        <w:autoSpaceDE w:val="0"/>
        <w:autoSpaceDN w:val="0"/>
        <w:spacing w:before="151" w:after="0" w:line="317" w:lineRule="exact"/>
        <w:ind w:left="3630" w:right="0" w:firstLine="0"/>
        <w:jc w:val="left"/>
        <w:rPr>
          <w:rFonts w:ascii="Times New Roman"/>
          <w:color w:val="000000"/>
          <w:spacing w:val="0"/>
          <w:sz w:val="32"/>
        </w:rPr>
      </w:pPr>
      <w:r>
        <w:rPr>
          <w:rFonts w:ascii="SimSun" w:hAnsi="SimSun" w:cs="SimSun"/>
          <w:color w:val="000000"/>
          <w:spacing w:val="-3"/>
          <w:sz w:val="32"/>
        </w:rPr>
        <w:t>（三）第五章</w:t>
      </w:r>
      <w:r>
        <w:rPr>
          <w:rFonts w:ascii="Times New Roman"/>
          <w:color w:val="000000"/>
          <w:spacing w:val="71"/>
          <w:sz w:val="32"/>
        </w:rPr>
        <w:t xml:space="preserve"> </w:t>
      </w:r>
      <w:r>
        <w:rPr>
          <w:rFonts w:ascii="SimSun" w:hAnsi="SimSun" w:cs="SimSun"/>
          <w:color w:val="000000"/>
          <w:spacing w:val="-3"/>
          <w:sz w:val="32"/>
        </w:rPr>
        <w:t>投资价值评估操作实务</w:t>
      </w:r>
    </w:p>
    <w:p>
      <w:pPr>
        <w:framePr w:w="3829" w:x="2701" w:y="2042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1</w:t>
      </w:r>
      <w:r>
        <w:rPr>
          <w:rFonts w:ascii="SimSun" w:hAnsi="SimSun" w:cs="SimSun"/>
          <w:color w:val="000000"/>
          <w:spacing w:val="-3"/>
          <w:sz w:val="32"/>
        </w:rPr>
        <w:t>、本章主要内容及结论</w:t>
      </w:r>
    </w:p>
    <w:p>
      <w:pPr>
        <w:framePr w:w="3014" w:x="3334" w:y="208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评估假设的重要性</w:t>
      </w:r>
    </w:p>
    <w:p>
      <w:pPr>
        <w:framePr w:w="14346" w:x="2701" w:y="2136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评估前提条件，是评估结论得出与成立的必要条件，评估结论与评估前提具有“唯一对</w:t>
      </w:r>
    </w:p>
    <w:p>
      <w:pPr>
        <w:framePr w:w="14346" w:x="2701" w:y="2136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应性”，即由不同的评估前提条件可得出不同的评估结论。</w:t>
      </w:r>
    </w:p>
    <w:p>
      <w:pPr>
        <w:framePr w:w="2381" w:x="4727" w:y="2272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真实客观现状</w:t>
      </w:r>
    </w:p>
    <w:p>
      <w:pPr>
        <w:framePr w:w="5304" w:x="8955" w:y="2360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前提条件</w:t>
      </w:r>
    </w:p>
    <w:p>
      <w:pPr>
        <w:framePr w:w="5304" w:x="8955" w:y="23608"/>
        <w:widowControl w:val="0"/>
        <w:autoSpaceDE w:val="0"/>
        <w:autoSpaceDN w:val="0"/>
        <w:spacing w:before="0" w:after="0" w:line="133" w:lineRule="exact"/>
        <w:ind w:left="3345" w:right="0" w:firstLine="0"/>
        <w:jc w:val="left"/>
        <w:rPr>
          <w:rFonts w:ascii="Times New Roman"/>
          <w:color w:val="000000"/>
          <w:spacing w:val="0"/>
          <w:sz w:val="32"/>
        </w:rPr>
      </w:pPr>
      <w:r>
        <w:rPr>
          <w:rFonts w:ascii="SimSun" w:hAnsi="SimSun" w:cs="SimSun"/>
          <w:color w:val="000000"/>
          <w:spacing w:val="-3"/>
          <w:sz w:val="32"/>
        </w:rPr>
        <w:t>评估结论</w:t>
      </w:r>
    </w:p>
    <w:p>
      <w:pPr>
        <w:framePr w:w="2381" w:x="4763" w:y="2427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假设未来推断</w:t>
      </w:r>
    </w:p>
    <w:p>
      <w:pPr>
        <w:spacing w:before="0" w:after="0" w:line="0" w:lineRule="atLeast"/>
        <w:ind w:left="0" w:right="0" w:firstLine="0"/>
        <w:jc w:val="left"/>
        <w:rPr>
          <w:rFonts w:ascii="Arial"/>
          <w:color w:val="FF0000"/>
          <w:spacing w:val="0"/>
          <w:sz w:val="2"/>
        </w:rPr>
      </w:pPr>
      <w:r>
        <w:rPr>
          <w:noProof/>
        </w:rPr>
        <w:pict>
          <v:shape id="_x0000_s1033" type="#_x0000_t75" style="width:644pt;height:431pt;margin-top:160.35pt;margin-left:125pt;mso-position-horizontal-relative:page;mso-position-vertical-relative:page;position:absolute;z-index:-251638784">
            <v:imagedata r:id="rId12" o:title=""/>
          </v:shape>
        </w:pict>
      </w:r>
      <w:r>
        <w:rPr>
          <w:noProof/>
        </w:rPr>
        <w:pict>
          <v:shape id="_x0000_s1034" type="#_x0000_t75" style="width:35pt;height:4pt;margin-top:1104.1pt;margin-left:134pt;mso-position-horizontal-relative:page;mso-position-vertical-relative:page;position:absolute;z-index:-251639808">
            <v:imagedata r:id="rId13" o:title=""/>
          </v:shape>
        </w:pict>
      </w:r>
      <w:r>
        <w:rPr>
          <w:noProof/>
        </w:rPr>
        <w:pict>
          <v:shape id="_x0000_s1035" type="#_x0000_t75" style="width:644pt;height:265pt;margin-top:635.1pt;margin-left:125pt;mso-position-horizontal-relative:page;mso-position-vertical-relative:page;position:absolute;z-index:-251640832">
            <v:imagedata r:id="rId14" o:title=""/>
          </v:shape>
        </w:pict>
      </w:r>
      <w:r>
        <w:rPr>
          <w:noProof/>
        </w:rPr>
        <w:pict>
          <v:shape id="_x0000_s1036" type="#_x0000_t75" style="width:51pt;height:4pt;margin-top:1081.1pt;margin-left:710pt;mso-position-horizontal-relative:page;mso-position-vertical-relative:page;position:absolute;z-index:-251641856">
            <v:imagedata r:id="rId15" o:title=""/>
          </v:shape>
        </w:pict>
      </w:r>
      <w:r>
        <w:rPr>
          <w:noProof/>
        </w:rPr>
        <w:pict>
          <v:shape id="_x0000_s1037" type="#_x0000_t75" style="width:178pt;height:53pt;margin-top:1116.1pt;margin-left:195pt;mso-position-horizontal-relative:page;mso-position-vertical-relative:page;position:absolute;z-index:-251642880">
            <v:imagedata r:id="rId16" o:title=""/>
          </v:shape>
        </w:pict>
      </w:r>
      <w:r>
        <w:rPr>
          <w:noProof/>
        </w:rPr>
        <w:pict>
          <v:shape id="_x0000_s1038" type="#_x0000_t75" style="width:178pt;height:53pt;margin-top:1193.1pt;margin-left:197pt;mso-position-horizontal-relative:page;mso-position-vertical-relative:page;position:absolute;z-index:-251643904">
            <v:imagedata r:id="rId17" o:title=""/>
          </v:shape>
        </w:pict>
      </w:r>
      <w:r>
        <w:rPr>
          <w:noProof/>
        </w:rPr>
        <w:pict>
          <v:shape id="_x0000_s1039" type="#_x0000_t75" style="width:25pt;height:97pt;margin-top:1140.1pt;margin-left:395pt;mso-position-horizontal-relative:page;mso-position-vertical-relative:page;position:absolute;z-index:-251644928">
            <v:imagedata r:id="rId18" o:title=""/>
          </v:shape>
        </w:pict>
      </w:r>
      <w:r>
        <w:rPr>
          <w:noProof/>
        </w:rPr>
        <w:pict>
          <v:shape id="_x0000_s1040" type="#_x0000_t75" style="width:99pt;height:51pt;margin-top:1161.1pt;margin-left:430pt;mso-position-horizontal-relative:page;mso-position-vertical-relative:page;position:absolute;z-index:-251645952">
            <v:imagedata r:id="rId19" o:title=""/>
          </v:shape>
        </w:pict>
      </w:r>
      <w:r>
        <w:rPr>
          <w:noProof/>
        </w:rPr>
        <w:pict>
          <v:shape id="_x0000_s1041" type="#_x0000_t75" style="width:153pt;height:52pt;margin-top:1167.1pt;margin-left:544pt;mso-position-horizontal-relative:page;mso-position-vertical-relative:page;position:absolute;z-index:-251646976">
            <v:imagedata r:id="rId2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4736" w:x="3334" w:y="42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投资价值评估假设的分析思路</w:t>
      </w:r>
    </w:p>
    <w:p>
      <w:pPr>
        <w:framePr w:w="2698" w:x="3331" w:y="47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假设前提条件：</w:t>
      </w:r>
    </w:p>
    <w:p>
      <w:pPr>
        <w:framePr w:w="13844" w:x="333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市场价值评估常用假设设定（持续经营、评估对象所处经济环境稳定、目标公司管理层</w:t>
      </w:r>
    </w:p>
    <w:p>
      <w:pPr>
        <w:framePr w:w="1747" w:x="2701" w:y="569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尽责等）</w:t>
      </w:r>
    </w:p>
    <w:p>
      <w:pPr>
        <w:framePr w:w="638" w:x="3334" w:y="6159"/>
        <w:widowControl w:val="0"/>
        <w:autoSpaceDE w:val="0"/>
        <w:autoSpaceDN w:val="0"/>
        <w:spacing w:before="0" w:after="0" w:line="330" w:lineRule="exact"/>
        <w:ind w:left="0" w:right="0" w:firstLine="0"/>
        <w:jc w:val="left"/>
        <w:rPr>
          <w:rFonts w:ascii="Times New Roman"/>
          <w:color w:val="000000"/>
          <w:spacing w:val="0"/>
          <w:sz w:val="32"/>
        </w:rPr>
      </w:pPr>
      <w:r>
        <w:rPr>
          <w:rFonts w:ascii="Calibri"/>
          <w:b/>
          <w:color w:val="000000"/>
          <w:spacing w:val="0"/>
          <w:sz w:val="32"/>
        </w:rPr>
        <w:t>+</w:t>
      </w:r>
    </w:p>
    <w:p>
      <w:pPr>
        <w:framePr w:w="5465" w:x="3331"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投资价值评估特有的假设前提条件</w:t>
      </w:r>
    </w:p>
    <w:p>
      <w:pPr>
        <w:framePr w:w="14537" w:x="2701" w:y="709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（第一，投资者明显获悉目标公司对其战略发展、优势发挥、效益整合、资源占有等带</w:t>
      </w:r>
    </w:p>
    <w:p>
      <w:pPr>
        <w:framePr w:w="14537"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来的突出效用并能合理量化【知道并能量化目标公司的效用】</w:t>
      </w:r>
    </w:p>
    <w:p>
      <w:pPr>
        <w:framePr w:w="14537" w:x="2701" w:y="7096"/>
        <w:widowControl w:val="0"/>
        <w:autoSpaceDE w:val="0"/>
        <w:autoSpaceDN w:val="0"/>
        <w:spacing w:before="151" w:after="0" w:line="317" w:lineRule="exact"/>
        <w:ind w:left="947" w:right="0" w:firstLine="0"/>
        <w:jc w:val="left"/>
        <w:rPr>
          <w:rFonts w:ascii="Times New Roman"/>
          <w:color w:val="000000"/>
          <w:spacing w:val="0"/>
          <w:sz w:val="32"/>
        </w:rPr>
      </w:pPr>
      <w:r>
        <w:rPr>
          <w:rFonts w:ascii="SimSun" w:hAnsi="SimSun" w:cs="SimSun"/>
          <w:color w:val="000000"/>
          <w:spacing w:val="-3"/>
          <w:sz w:val="32"/>
        </w:rPr>
        <w:t>第二，投资并购活动符合投资者战略发展方向【并购有益】</w:t>
      </w:r>
    </w:p>
    <w:p>
      <w:pPr>
        <w:framePr w:w="14537" w:x="2701" w:y="7096"/>
        <w:widowControl w:val="0"/>
        <w:autoSpaceDE w:val="0"/>
        <w:autoSpaceDN w:val="0"/>
        <w:spacing w:before="151" w:after="0" w:line="317" w:lineRule="exact"/>
        <w:ind w:left="947" w:right="0" w:firstLine="0"/>
        <w:jc w:val="left"/>
        <w:rPr>
          <w:rFonts w:ascii="Times New Roman"/>
          <w:color w:val="000000"/>
          <w:spacing w:val="0"/>
          <w:sz w:val="32"/>
        </w:rPr>
      </w:pPr>
      <w:r>
        <w:rPr>
          <w:rFonts w:ascii="SimSun" w:hAnsi="SimSun" w:cs="SimSun"/>
          <w:color w:val="000000"/>
          <w:spacing w:val="-12"/>
          <w:sz w:val="32"/>
        </w:rPr>
        <w:t>第三，目标公司持续经营状态下收益水平难以反映其所拥有的资源【资源利用效率低】</w:t>
      </w:r>
    </w:p>
    <w:p>
      <w:pPr>
        <w:framePr w:w="14537" w:x="2701" w:y="7096"/>
        <w:widowControl w:val="0"/>
        <w:autoSpaceDE w:val="0"/>
        <w:autoSpaceDN w:val="0"/>
        <w:spacing w:before="151" w:after="0" w:line="317" w:lineRule="exact"/>
        <w:ind w:left="947" w:right="0" w:firstLine="0"/>
        <w:jc w:val="left"/>
        <w:rPr>
          <w:rFonts w:ascii="Times New Roman"/>
          <w:color w:val="000000"/>
          <w:spacing w:val="0"/>
          <w:sz w:val="32"/>
        </w:rPr>
      </w:pPr>
      <w:r>
        <w:rPr>
          <w:rFonts w:ascii="SimSun" w:hAnsi="SimSun" w:cs="SimSun"/>
          <w:color w:val="000000"/>
          <w:spacing w:val="-3"/>
          <w:sz w:val="32"/>
        </w:rPr>
        <w:t>第四，国家经济战略要求或调整而实施的投资行为。【例如供给侧改革】</w:t>
      </w:r>
    </w:p>
    <w:p>
      <w:pPr>
        <w:framePr w:w="14537" w:x="2701" w:y="7096"/>
        <w:widowControl w:val="0"/>
        <w:autoSpaceDE w:val="0"/>
        <w:autoSpaceDN w:val="0"/>
        <w:spacing w:before="138" w:after="0" w:line="330" w:lineRule="exact"/>
        <w:ind w:left="947" w:right="0" w:firstLine="0"/>
        <w:jc w:val="left"/>
        <w:rPr>
          <w:rFonts w:ascii="Times New Roman"/>
          <w:color w:val="000000"/>
          <w:spacing w:val="0"/>
          <w:sz w:val="32"/>
        </w:rPr>
      </w:pPr>
      <w:r>
        <w:rPr>
          <w:rFonts w:ascii="SimSun" w:hAnsi="SimSun" w:cs="SimSun"/>
          <w:color w:val="000000"/>
          <w:spacing w:val="-5"/>
          <w:sz w:val="32"/>
        </w:rPr>
        <w:t>第五，以私募股权投资（</w:t>
      </w:r>
      <w:r>
        <w:rPr>
          <w:rFonts w:ascii="Calibri"/>
          <w:color w:val="000000"/>
          <w:spacing w:val="-2"/>
          <w:sz w:val="32"/>
        </w:rPr>
        <w:t>PE</w:t>
      </w:r>
      <w:r>
        <w:rPr>
          <w:rFonts w:ascii="SimSun" w:hAnsi="SimSun" w:cs="SimSun"/>
          <w:color w:val="000000"/>
          <w:spacing w:val="-5"/>
          <w:sz w:val="32"/>
        </w:rPr>
        <w:t>）和风险投资（</w:t>
      </w:r>
      <w:r>
        <w:rPr>
          <w:rFonts w:ascii="Calibri"/>
          <w:color w:val="000000"/>
          <w:spacing w:val="-5"/>
          <w:sz w:val="32"/>
        </w:rPr>
        <w:t>VC</w:t>
      </w:r>
      <w:r>
        <w:rPr>
          <w:rFonts w:ascii="SimSun" w:hAnsi="SimSun" w:cs="SimSun"/>
          <w:color w:val="000000"/>
          <w:spacing w:val="-3"/>
          <w:sz w:val="32"/>
        </w:rPr>
        <w:t>）为主营业务的投资公司对特定企业</w:t>
      </w:r>
    </w:p>
    <w:p>
      <w:pPr>
        <w:framePr w:w="14537"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的投资行为。）</w:t>
      </w:r>
    </w:p>
    <w:p>
      <w:pPr>
        <w:framePr w:w="1430" w:x="3331" w:y="1037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假设：</w:t>
      </w:r>
    </w:p>
    <w:p>
      <w:pPr>
        <w:framePr w:w="4556" w:x="3331" w:y="1084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）投资并购方案实现假设</w:t>
      </w:r>
    </w:p>
    <w:p>
      <w:pPr>
        <w:framePr w:w="14386" w:x="2701" w:y="11309"/>
        <w:widowControl w:val="0"/>
        <w:autoSpaceDE w:val="0"/>
        <w:autoSpaceDN w:val="0"/>
        <w:spacing w:before="0" w:after="0" w:line="317" w:lineRule="exact"/>
        <w:ind w:left="788" w:right="0" w:firstLine="0"/>
        <w:jc w:val="left"/>
        <w:rPr>
          <w:rFonts w:ascii="Times New Roman"/>
          <w:color w:val="000000"/>
          <w:spacing w:val="0"/>
          <w:sz w:val="32"/>
        </w:rPr>
      </w:pPr>
      <w:r>
        <w:rPr>
          <w:rFonts w:ascii="SimSun" w:hAnsi="SimSun" w:cs="SimSun"/>
          <w:color w:val="000000"/>
          <w:spacing w:val="-3"/>
          <w:sz w:val="32"/>
        </w:rPr>
        <w:t>有对并购目标公司产生的协同效应的判断和量化，这种效应的量化和来源的前提是投</w:t>
      </w:r>
    </w:p>
    <w:p>
      <w:pPr>
        <w:framePr w:w="14386"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资方案存在并被付诸实施。</w:t>
      </w:r>
    </w:p>
    <w:p>
      <w:pPr>
        <w:framePr w:w="4556" w:x="3331" w:y="1224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）并购整合如期实现假设</w:t>
      </w:r>
    </w:p>
    <w:p>
      <w:pPr>
        <w:framePr w:w="14568" w:x="2701" w:y="1271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也有特殊不能考虑进去的整合因素，如投资并购方案实施后未能遇见的重大人事变动、</w:t>
      </w:r>
    </w:p>
    <w:p>
      <w:pPr>
        <w:framePr w:w="14568"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成本大幅度增加。</w:t>
      </w:r>
    </w:p>
    <w:p>
      <w:pPr>
        <w:framePr w:w="3331" w:x="3331" w:y="1364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投资价值的评估依据</w:t>
      </w:r>
    </w:p>
    <w:p>
      <w:pPr>
        <w:framePr w:w="2698" w:x="333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①投资并购方案</w:t>
      </w:r>
    </w:p>
    <w:p>
      <w:pPr>
        <w:framePr w:w="4372" w:x="333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②投资并购方相关业务规划</w:t>
      </w:r>
    </w:p>
    <w:p>
      <w:pPr>
        <w:framePr w:w="5465" w:x="3331" w:y="1505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③投资并购双方会议纪要、备忘录</w:t>
      </w:r>
    </w:p>
    <w:p>
      <w:pPr>
        <w:framePr w:w="13480" w:x="333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④投资并购方委托的专业机构的各类尽职调查报告☆</w:t>
      </w:r>
    </w:p>
    <w:p>
      <w:pPr>
        <w:framePr w:w="13480" w:x="333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⑤卖方或标的公司管理层提供的分析报告和承诺</w:t>
      </w:r>
    </w:p>
    <w:p>
      <w:pPr>
        <w:framePr w:w="13480" w:x="333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⑥投资并购双方所在司法主体及其附属专业委员会对投资并购事项给出的论证意见；</w:t>
      </w:r>
    </w:p>
    <w:p>
      <w:pPr>
        <w:framePr w:w="13480" w:x="3331" w:y="1552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⑦卖方或标的公司财务会计信息资料☆</w:t>
      </w:r>
    </w:p>
    <w:p>
      <w:pPr>
        <w:framePr w:w="3014" w:x="3331" w:y="1739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投资价值评估程序</w:t>
      </w:r>
    </w:p>
    <w:p>
      <w:pPr>
        <w:framePr w:w="14568" w:x="2701" w:y="1786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本书并没有对所有程序一一罗列，而是抓难点要点：一、现场调差受限的处理。二，评</w:t>
      </w:r>
    </w:p>
    <w:p>
      <w:pPr>
        <w:framePr w:w="14568" w:x="2701" w:y="17861"/>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估资料局限的处理</w:t>
      </w:r>
    </w:p>
    <w:p>
      <w:pPr>
        <w:framePr w:w="3648" w:x="3331" w:y="1879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现场调查受限的处理：</w:t>
      </w:r>
    </w:p>
    <w:p>
      <w:pPr>
        <w:framePr w:w="14573" w:x="2701" w:y="1926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往往受限于目标公司能否给予积极配合。在开展现场调查前，需与卖方和目标公司就相</w:t>
      </w:r>
    </w:p>
    <w:p>
      <w:pPr>
        <w:framePr w:w="14573"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关内容进行沟通与确认。当投资者与卖方达成初步意向后，卖方才会允许投资者和咨询服务</w:t>
      </w:r>
    </w:p>
    <w:p>
      <w:pPr>
        <w:framePr w:w="14573"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团队在一顶的时间和范围内进行现场调查并予以配合。受限来自于现场调查的地点、时间、</w:t>
      </w:r>
    </w:p>
    <w:p>
      <w:pPr>
        <w:framePr w:w="14573"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范围受到限制，一般可以分为客观受限和主观受限。客观受限如涉及国家规定的保密企业的</w:t>
      </w:r>
    </w:p>
    <w:p>
      <w:pPr>
        <w:framePr w:w="14573"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生产数据、地下或海底设施等。主观限制尤其要引起评估师的重视。（其实跟审计很像，一</w:t>
      </w:r>
    </w:p>
    <w:p>
      <w:pPr>
        <w:framePr w:w="14573"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句话，实在受到限制，需要采取补救措施，并且要判断其对评估结果形成的影响）</w:t>
      </w:r>
    </w:p>
    <w:p>
      <w:pPr>
        <w:framePr w:w="14573" w:x="2701" w:y="19266"/>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评估资料局限的处理</w:t>
      </w:r>
    </w:p>
    <w:p>
      <w:pPr>
        <w:spacing w:before="0" w:after="0" w:line="0" w:lineRule="atLeast"/>
        <w:ind w:left="0" w:right="0" w:firstLine="0"/>
        <w:jc w:val="left"/>
        <w:rPr>
          <w:rFonts w:ascii="Arial"/>
          <w:color w:val="FF0000"/>
          <w:spacing w:val="0"/>
          <w:sz w:val="2"/>
        </w:rPr>
      </w:pPr>
      <w:r>
        <w:rPr>
          <w:noProof/>
        </w:rPr>
        <w:pict>
          <v:shape id="_x0000_s1042" type="#_x0000_t75" style="width:114pt;height:4pt;margin-top:250.35pt;margin-left:165pt;mso-position-horizontal-relative:page;mso-position-vertical-relative:page;position:absolute;z-index:-251648000">
            <v:imagedata r:id="rId21" o:title=""/>
          </v:shape>
        </w:pict>
      </w:r>
      <w:r>
        <w:rPr>
          <w:noProof/>
        </w:rPr>
        <w:pict>
          <v:shape id="_x0000_s1043" type="#_x0000_t75" style="width:51pt;height:4pt;margin-top:531.1pt;margin-left:165pt;mso-position-horizontal-relative:page;mso-position-vertical-relative:page;position:absolute;z-index:-251649024">
            <v:imagedata r:id="rId22" o:title=""/>
          </v:shape>
        </w:pict>
      </w:r>
      <w:r>
        <w:rPr>
          <w:noProof/>
        </w:rPr>
        <w:pict>
          <v:shape id="_x0000_s1044" type="#_x0000_t75" style="width:351pt;height:4pt;margin-top:789.1pt;margin-left:181pt;mso-position-horizontal-relative:page;mso-position-vertical-relative:page;position:absolute;z-index:-251650048">
            <v:imagedata r:id="rId23" o:title=""/>
          </v:shape>
        </w:pict>
      </w:r>
      <w:r>
        <w:rPr>
          <w:noProof/>
        </w:rPr>
        <w:pict>
          <v:shape id="_x0000_s1045" type="#_x0000_t75" style="width:256pt;height:4pt;margin-top:859.1pt;margin-left:181pt;mso-position-horizontal-relative:page;mso-position-vertical-relative:page;position:absolute;z-index:-251651072">
            <v:imagedata r:id="rId24" o:title=""/>
          </v:shape>
        </w:pict>
      </w:r>
      <w:r>
        <w:rPr>
          <w:noProof/>
        </w:rPr>
        <w:pict>
          <v:shape id="_x0000_s1046" type="#_x0000_t75" style="width:162pt;height:4pt;margin-top:953.1pt;margin-left:165pt;mso-position-horizontal-relative:page;mso-position-vertical-relative:page;position:absolute;z-index:-251652096">
            <v:imagedata r:id="rId25" o:title=""/>
          </v:shape>
        </w:pict>
      </w:r>
      <w:r>
        <w:rPr>
          <w:noProof/>
        </w:rPr>
        <w:pict>
          <v:shape id="_x0000_s1047" type="#_x0000_t75" style="width:146pt;height:4pt;margin-top:1116.1pt;margin-left:165pt;mso-position-horizontal-relative:page;mso-position-vertical-relative:page;position:absolute;z-index:-251653120">
            <v:imagedata r:id="rId26"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015" w:x="333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跟先插调查受限一样，存在客观限制和主观限制。</w:t>
      </w:r>
    </w:p>
    <w:p>
      <w:pPr>
        <w:framePr w:w="8015" w:x="333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评估结论及其使用</w:t>
      </w:r>
    </w:p>
    <w:p>
      <w:pPr>
        <w:framePr w:w="14573" w:x="2701" w:y="288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这一节是在第三章基本理论的前提下，讨论如何科学表达评估结论。</w:t>
      </w:r>
    </w:p>
    <w:p>
      <w:pPr>
        <w:framePr w:w="14573" w:x="2701" w:y="2884"/>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结论形式（固定数值；区间值；与以前评估值或基准值的的价值关系）</w:t>
      </w:r>
    </w:p>
    <w:p>
      <w:pPr>
        <w:framePr w:w="14573" w:x="2701" w:y="2884"/>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很多不确定因素的存在导致很难准确给出固定数值，区间形式表达的结论，可以给投资</w:t>
      </w:r>
    </w:p>
    <w:p>
      <w:pPr>
        <w:framePr w:w="14573"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人决策更灵活的判断空间，按照不同的谈判条件给出不同的报价，这正是投资并购的魅力所</w:t>
      </w:r>
    </w:p>
    <w:p>
      <w:pPr>
        <w:framePr w:w="14573"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在。</w:t>
      </w:r>
    </w:p>
    <w:p>
      <w:pPr>
        <w:framePr w:w="14568" w:x="2701" w:y="5224"/>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中国国有资产评估管理中，对于“进场交易”的国有资产（产权）采用市场价值类型的</w:t>
      </w:r>
    </w:p>
    <w:p>
      <w:pPr>
        <w:framePr w:w="14568" w:x="2701" w:y="5224"/>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6"/>
          <w:sz w:val="32"/>
        </w:rPr>
        <w:t>评估结论要求是一个固定值，但经备案方同意可在比评估值低</w:t>
      </w:r>
      <w:r>
        <w:rPr>
          <w:rFonts w:ascii="Times New Roman"/>
          <w:color w:val="000000"/>
          <w:spacing w:val="-22"/>
          <w:sz w:val="32"/>
        </w:rPr>
        <w:t xml:space="preserve"> </w:t>
      </w:r>
      <w:r>
        <w:rPr>
          <w:rFonts w:ascii="Calibri"/>
          <w:color w:val="000000"/>
          <w:spacing w:val="-3"/>
          <w:sz w:val="32"/>
        </w:rPr>
        <w:t>10%</w:t>
      </w:r>
      <w:r>
        <w:rPr>
          <w:rFonts w:ascii="SimSun" w:hAnsi="SimSun" w:cs="SimSun"/>
          <w:color w:val="000000"/>
          <w:spacing w:val="-10"/>
          <w:sz w:val="32"/>
        </w:rPr>
        <w:t>的范围内进行交易，且对</w:t>
      </w:r>
    </w:p>
    <w:p>
      <w:pPr>
        <w:framePr w:w="14568"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于高于评估值交易上限没有限制条件。</w:t>
      </w:r>
    </w:p>
    <w:p>
      <w:pPr>
        <w:framePr w:w="7286" w:x="3334"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投资价值评估总体思路（评估结论如何得到）</w:t>
      </w:r>
    </w:p>
    <w:p>
      <w:pPr>
        <w:framePr w:w="13480" w:x="3331"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①分别估算投资并购双方价值后相加得到整合公司在没有协同效应时的价值</w:t>
      </w:r>
    </w:p>
    <w:p>
      <w:pPr>
        <w:framePr w:w="13480" w:x="333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②估算具备协同效应时的整合公司价值，其与没有协同效应时的价值差额为协同价值</w:t>
      </w:r>
    </w:p>
    <w:p>
      <w:pPr>
        <w:framePr w:w="13480" w:x="333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③协同价值与目标公司市场价值相加，即是目标公司投资价值的最大值。</w:t>
      </w:r>
    </w:p>
    <w:p>
      <w:pPr>
        <w:framePr w:w="13480" w:x="3331" w:y="7096"/>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例子：</w:t>
      </w:r>
      <w:r>
        <w:rPr>
          <w:rFonts w:ascii="Times New Roman"/>
          <w:color w:val="000000"/>
          <w:spacing w:val="75"/>
          <w:sz w:val="32"/>
        </w:rPr>
        <w:t xml:space="preserve"> </w:t>
      </w:r>
      <w:r>
        <w:rPr>
          <w:rFonts w:ascii="Calibri"/>
          <w:color w:val="000000"/>
          <w:spacing w:val="0"/>
          <w:sz w:val="32"/>
        </w:rPr>
        <w:t>A</w:t>
      </w:r>
      <w:r>
        <w:rPr>
          <w:rFonts w:ascii="Times New Roman"/>
          <w:color w:val="000000"/>
          <w:spacing w:val="-6"/>
          <w:sz w:val="32"/>
        </w:rPr>
        <w:t xml:space="preserve"> </w:t>
      </w:r>
      <w:r>
        <w:rPr>
          <w:rFonts w:ascii="SimSun" w:hAnsi="SimSun" w:cs="SimSun"/>
          <w:color w:val="000000"/>
          <w:spacing w:val="-3"/>
          <w:sz w:val="32"/>
        </w:rPr>
        <w:t>公司市场价值</w:t>
      </w:r>
      <w:r>
        <w:rPr>
          <w:rFonts w:ascii="Times New Roman"/>
          <w:color w:val="000000"/>
          <w:spacing w:val="68"/>
          <w:sz w:val="32"/>
        </w:rPr>
        <w:t xml:space="preserve"> </w:t>
      </w:r>
      <w:r>
        <w:rPr>
          <w:rFonts w:ascii="Calibri"/>
          <w:color w:val="000000"/>
          <w:spacing w:val="-2"/>
          <w:sz w:val="32"/>
        </w:rPr>
        <w:t>1000</w:t>
      </w:r>
      <w:r>
        <w:rPr>
          <w:rFonts w:ascii="Times New Roman"/>
          <w:color w:val="000000"/>
          <w:spacing w:val="-5"/>
          <w:sz w:val="32"/>
        </w:rPr>
        <w:t xml:space="preserve"> </w:t>
      </w:r>
      <w:r>
        <w:rPr>
          <w:rFonts w:ascii="SimSun" w:hAnsi="SimSun" w:cs="SimSun"/>
          <w:color w:val="000000"/>
          <w:spacing w:val="-4"/>
          <w:sz w:val="32"/>
        </w:rPr>
        <w:t>万元，</w:t>
      </w:r>
      <w:r>
        <w:rPr>
          <w:rFonts w:ascii="Calibri"/>
          <w:color w:val="000000"/>
          <w:spacing w:val="0"/>
          <w:sz w:val="32"/>
        </w:rPr>
        <w:t>B</w:t>
      </w:r>
      <w:r>
        <w:rPr>
          <w:rFonts w:ascii="Times New Roman"/>
          <w:color w:val="000000"/>
          <w:spacing w:val="-6"/>
          <w:sz w:val="32"/>
        </w:rPr>
        <w:t xml:space="preserve"> </w:t>
      </w:r>
      <w:r>
        <w:rPr>
          <w:rFonts w:ascii="SimSun" w:hAnsi="SimSun" w:cs="SimSun"/>
          <w:color w:val="000000"/>
          <w:spacing w:val="-3"/>
          <w:sz w:val="32"/>
        </w:rPr>
        <w:t>公司的市场价值</w:t>
      </w:r>
      <w:r>
        <w:rPr>
          <w:rFonts w:ascii="Times New Roman"/>
          <w:color w:val="000000"/>
          <w:spacing w:val="-11"/>
          <w:sz w:val="32"/>
        </w:rPr>
        <w:t xml:space="preserve"> </w:t>
      </w:r>
      <w:r>
        <w:rPr>
          <w:rFonts w:ascii="Calibri"/>
          <w:color w:val="000000"/>
          <w:spacing w:val="-2"/>
          <w:sz w:val="32"/>
        </w:rPr>
        <w:t>800</w:t>
      </w:r>
      <w:r>
        <w:rPr>
          <w:rFonts w:ascii="Times New Roman"/>
          <w:color w:val="000000"/>
          <w:spacing w:val="-3"/>
          <w:sz w:val="32"/>
        </w:rPr>
        <w:t xml:space="preserve"> </w:t>
      </w:r>
      <w:r>
        <w:rPr>
          <w:rFonts w:ascii="SimSun" w:hAnsi="SimSun" w:cs="SimSun"/>
          <w:color w:val="000000"/>
          <w:spacing w:val="-3"/>
          <w:sz w:val="32"/>
        </w:rPr>
        <w:t>万元；</w:t>
      </w:r>
    </w:p>
    <w:p>
      <w:pPr>
        <w:framePr w:w="13480" w:x="3331" w:y="7096"/>
        <w:widowControl w:val="0"/>
        <w:autoSpaceDE w:val="0"/>
        <w:autoSpaceDN w:val="0"/>
        <w:spacing w:before="138" w:after="0" w:line="330" w:lineRule="exact"/>
        <w:ind w:left="1105" w:right="0" w:firstLine="0"/>
        <w:jc w:val="left"/>
        <w:rPr>
          <w:rFonts w:ascii="Times New Roman"/>
          <w:color w:val="000000"/>
          <w:spacing w:val="0"/>
          <w:sz w:val="32"/>
        </w:rPr>
      </w:pPr>
      <w:r>
        <w:rPr>
          <w:rFonts w:ascii="SimSun" w:hAnsi="SimSun" w:cs="SimSun"/>
          <w:color w:val="000000"/>
          <w:spacing w:val="-3"/>
          <w:sz w:val="32"/>
        </w:rPr>
        <w:t>收购实施后的整合公司价值为</w:t>
      </w:r>
      <w:r>
        <w:rPr>
          <w:rFonts w:ascii="Times New Roman"/>
          <w:color w:val="000000"/>
          <w:spacing w:val="-25"/>
          <w:sz w:val="32"/>
        </w:rPr>
        <w:t xml:space="preserve"> </w:t>
      </w:r>
      <w:r>
        <w:rPr>
          <w:rFonts w:ascii="Calibri"/>
          <w:color w:val="000000"/>
          <w:spacing w:val="-3"/>
          <w:sz w:val="32"/>
        </w:rPr>
        <w:t>2500</w:t>
      </w:r>
      <w:r>
        <w:rPr>
          <w:rFonts w:ascii="SimSun" w:hAnsi="SimSun" w:cs="SimSun"/>
          <w:color w:val="000000"/>
          <w:spacing w:val="0"/>
          <w:sz w:val="32"/>
        </w:rPr>
        <w:t>；</w:t>
      </w:r>
    </w:p>
    <w:p>
      <w:pPr>
        <w:framePr w:w="6601" w:x="4436" w:y="943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协同价值为</w:t>
      </w:r>
      <w:r>
        <w:rPr>
          <w:rFonts w:ascii="Times New Roman"/>
          <w:color w:val="000000"/>
          <w:spacing w:val="-11"/>
          <w:sz w:val="32"/>
        </w:rPr>
        <w:t xml:space="preserve"> </w:t>
      </w:r>
      <w:r>
        <w:rPr>
          <w:rFonts w:ascii="Calibri"/>
          <w:color w:val="000000"/>
          <w:spacing w:val="-2"/>
          <w:sz w:val="32"/>
        </w:rPr>
        <w:t>700</w:t>
      </w:r>
      <w:r>
        <w:rPr>
          <w:rFonts w:ascii="Times New Roman"/>
          <w:color w:val="000000"/>
          <w:spacing w:val="-3"/>
          <w:sz w:val="32"/>
        </w:rPr>
        <w:t xml:space="preserve"> </w:t>
      </w:r>
      <w:r>
        <w:rPr>
          <w:rFonts w:ascii="SimSun" w:hAnsi="SimSun" w:cs="SimSun"/>
          <w:color w:val="000000"/>
          <w:spacing w:val="-6"/>
          <w:sz w:val="32"/>
        </w:rPr>
        <w:t>万元（</w:t>
      </w:r>
      <w:r>
        <w:rPr>
          <w:rFonts w:ascii="Calibri"/>
          <w:color w:val="000000"/>
          <w:spacing w:val="-2"/>
          <w:sz w:val="32"/>
        </w:rPr>
        <w:t>2500-1000-800</w:t>
      </w:r>
      <w:r>
        <w:rPr>
          <w:rFonts w:ascii="SimSun" w:hAnsi="SimSun" w:cs="SimSun"/>
          <w:color w:val="000000"/>
          <w:spacing w:val="-3"/>
          <w:sz w:val="32"/>
        </w:rPr>
        <w:t>）；</w:t>
      </w:r>
    </w:p>
    <w:p>
      <w:pPr>
        <w:framePr w:w="8898" w:x="4436" w:y="990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则目标公司投资价值评估结论为：</w:t>
      </w:r>
      <w:r>
        <w:rPr>
          <w:rFonts w:ascii="Calibri"/>
          <w:color w:val="000000"/>
          <w:spacing w:val="-2"/>
          <w:sz w:val="32"/>
        </w:rPr>
        <w:t>800</w:t>
      </w:r>
      <w:r>
        <w:rPr>
          <w:rFonts w:ascii="Times New Roman"/>
          <w:color w:val="000000"/>
          <w:spacing w:val="-2"/>
          <w:sz w:val="32"/>
        </w:rPr>
        <w:t xml:space="preserve"> </w:t>
      </w:r>
      <w:r>
        <w:rPr>
          <w:rFonts w:ascii="SimSun" w:hAnsi="SimSun" w:cs="SimSun"/>
          <w:color w:val="000000"/>
          <w:spacing w:val="-5"/>
          <w:sz w:val="32"/>
        </w:rPr>
        <w:t>万元</w:t>
      </w:r>
      <w:r>
        <w:rPr>
          <w:rFonts w:ascii="Calibri"/>
          <w:color w:val="000000"/>
          <w:spacing w:val="-2"/>
          <w:sz w:val="32"/>
        </w:rPr>
        <w:t>~1500</w:t>
      </w:r>
      <w:r>
        <w:rPr>
          <w:rFonts w:ascii="Times New Roman"/>
          <w:color w:val="000000"/>
          <w:spacing w:val="-4"/>
          <w:sz w:val="32"/>
        </w:rPr>
        <w:t xml:space="preserve"> </w:t>
      </w:r>
      <w:r>
        <w:rPr>
          <w:rFonts w:ascii="SimSun" w:hAnsi="SimSun" w:cs="SimSun"/>
          <w:color w:val="000000"/>
          <w:spacing w:val="-3"/>
          <w:sz w:val="32"/>
        </w:rPr>
        <w:t>万元；</w:t>
      </w:r>
    </w:p>
    <w:p>
      <w:pPr>
        <w:framePr w:w="8898" w:x="4436" w:y="9905"/>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或小于</w:t>
      </w:r>
      <w:r>
        <w:rPr>
          <w:rFonts w:ascii="Times New Roman"/>
          <w:color w:val="000000"/>
          <w:spacing w:val="-8"/>
          <w:sz w:val="32"/>
        </w:rPr>
        <w:t xml:space="preserve"> </w:t>
      </w:r>
      <w:r>
        <w:rPr>
          <w:rFonts w:ascii="Calibri"/>
          <w:color w:val="000000"/>
          <w:spacing w:val="-2"/>
          <w:sz w:val="32"/>
        </w:rPr>
        <w:t>1500</w:t>
      </w:r>
      <w:r>
        <w:rPr>
          <w:rFonts w:ascii="Times New Roman"/>
          <w:color w:val="000000"/>
          <w:spacing w:val="-4"/>
          <w:sz w:val="32"/>
        </w:rPr>
        <w:t xml:space="preserve"> </w:t>
      </w:r>
      <w:r>
        <w:rPr>
          <w:rFonts w:ascii="SimSun" w:hAnsi="SimSun" w:cs="SimSun"/>
          <w:color w:val="000000"/>
          <w:spacing w:val="-3"/>
          <w:sz w:val="32"/>
        </w:rPr>
        <w:t>万元</w:t>
      </w:r>
    </w:p>
    <w:p>
      <w:pPr>
        <w:framePr w:w="3648" w:x="333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评估区间值的形成原因</w:t>
      </w:r>
    </w:p>
    <w:p>
      <w:pPr>
        <w:framePr w:w="14347" w:x="2701" w:y="1130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①评估的协同效应要包含全部的协同效应，有可能是有投资并购方产生、目标公司产生</w:t>
      </w:r>
    </w:p>
    <w:p>
      <w:pPr>
        <w:framePr w:w="14347"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或者是共同产生。至于协同效应的具体归属问题，应由双方谈判确定。</w:t>
      </w:r>
    </w:p>
    <w:p>
      <w:pPr>
        <w:framePr w:w="14347" w:x="2701" w:y="11309"/>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②根据评估参数的而不同取值范围得到评估结论范围。敏感性分析。</w:t>
      </w:r>
    </w:p>
    <w:p>
      <w:pPr>
        <w:framePr w:w="14347" w:x="2701" w:y="11309"/>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③根据不同商业环境和发展情境</w:t>
      </w:r>
    </w:p>
    <w:p>
      <w:pPr>
        <w:framePr w:w="14383" w:x="2701" w:y="1318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7"/>
          <w:sz w:val="32"/>
        </w:rPr>
        <w:t>④根据不同企业投资并购方案。方案所有可能性下的评估值的范围构成了评估结论区间</w:t>
      </w:r>
    </w:p>
    <w:p>
      <w:pPr>
        <w:framePr w:w="14383"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值的主要范围。</w:t>
      </w:r>
    </w:p>
    <w:p>
      <w:pPr>
        <w:framePr w:w="4008" w:x="3331" w:y="1411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投资并购价格的影响因素</w:t>
      </w:r>
    </w:p>
    <w:p>
      <w:pPr>
        <w:framePr w:w="13116" w:x="333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投资价值评估结论是投资并购成交价格谈判的基础，但是不能替代成交价格本身。</w:t>
      </w:r>
    </w:p>
    <w:p>
      <w:pPr>
        <w:framePr w:w="1114" w:x="7227" w:y="1598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谈判</w:t>
      </w:r>
    </w:p>
    <w:p>
      <w:pPr>
        <w:framePr w:w="1114" w:x="7227" w:y="1598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能力</w:t>
      </w:r>
    </w:p>
    <w:p>
      <w:pPr>
        <w:framePr w:w="1114" w:x="4274" w:y="1691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协同</w:t>
      </w:r>
    </w:p>
    <w:p>
      <w:pPr>
        <w:framePr w:w="1114" w:x="4274" w:y="16918"/>
        <w:widowControl w:val="0"/>
        <w:autoSpaceDE w:val="0"/>
        <w:autoSpaceDN w:val="0"/>
        <w:spacing w:before="148" w:after="0" w:line="317" w:lineRule="exact"/>
        <w:ind w:left="0" w:right="0" w:firstLine="0"/>
        <w:jc w:val="left"/>
        <w:rPr>
          <w:rFonts w:ascii="Times New Roman"/>
          <w:color w:val="000000"/>
          <w:spacing w:val="0"/>
          <w:sz w:val="32"/>
        </w:rPr>
      </w:pPr>
      <w:r>
        <w:rPr>
          <w:rFonts w:ascii="SimSun" w:hAnsi="SimSun" w:cs="SimSun"/>
          <w:color w:val="000000"/>
          <w:spacing w:val="-3"/>
          <w:sz w:val="32"/>
        </w:rPr>
        <w:t>效应</w:t>
      </w:r>
    </w:p>
    <w:p>
      <w:pPr>
        <w:framePr w:w="9064" w:x="3665" w:y="18874"/>
        <w:widowControl w:val="0"/>
        <w:autoSpaceDE w:val="0"/>
        <w:autoSpaceDN w:val="0"/>
        <w:spacing w:before="0" w:after="0" w:line="317" w:lineRule="exact"/>
        <w:ind w:left="3151" w:right="0" w:firstLine="0"/>
        <w:jc w:val="left"/>
        <w:rPr>
          <w:rFonts w:ascii="Times New Roman"/>
          <w:color w:val="000000"/>
          <w:spacing w:val="0"/>
          <w:sz w:val="32"/>
        </w:rPr>
      </w:pPr>
      <w:r>
        <w:rPr>
          <w:rFonts w:ascii="SimSun" w:hAnsi="SimSun" w:cs="SimSun"/>
          <w:color w:val="000000"/>
          <w:spacing w:val="-3"/>
          <w:sz w:val="32"/>
        </w:rPr>
        <w:t>交易价格</w:t>
      </w:r>
    </w:p>
    <w:p>
      <w:pPr>
        <w:framePr w:w="9064" w:x="3665" w:y="18874"/>
        <w:widowControl w:val="0"/>
        <w:autoSpaceDE w:val="0"/>
        <w:autoSpaceDN w:val="0"/>
        <w:spacing w:before="0" w:after="0" w:line="162" w:lineRule="exact"/>
        <w:ind w:left="7248" w:right="0" w:firstLine="0"/>
        <w:jc w:val="left"/>
        <w:rPr>
          <w:rFonts w:ascii="Times New Roman"/>
          <w:color w:val="000000"/>
          <w:spacing w:val="0"/>
          <w:sz w:val="32"/>
        </w:rPr>
      </w:pPr>
      <w:r>
        <w:rPr>
          <w:rFonts w:ascii="SimSun" w:hAnsi="SimSun" w:cs="SimSun"/>
          <w:color w:val="000000"/>
          <w:spacing w:val="-3"/>
          <w:sz w:val="32"/>
        </w:rPr>
        <w:t>对赌</w:t>
      </w:r>
    </w:p>
    <w:p>
      <w:pPr>
        <w:framePr w:w="9064" w:x="3665" w:y="18874"/>
        <w:widowControl w:val="0"/>
        <w:autoSpaceDE w:val="0"/>
        <w:autoSpaceDN w:val="0"/>
        <w:spacing w:before="0" w:after="0" w:line="245" w:lineRule="exact"/>
        <w:ind w:left="0" w:right="0" w:firstLine="0"/>
        <w:jc w:val="left"/>
        <w:rPr>
          <w:rFonts w:ascii="Times New Roman"/>
          <w:color w:val="000000"/>
          <w:spacing w:val="0"/>
          <w:sz w:val="32"/>
        </w:rPr>
      </w:pPr>
      <w:r>
        <w:rPr>
          <w:rFonts w:ascii="SimSun" w:hAnsi="SimSun" w:cs="SimSun"/>
          <w:color w:val="000000"/>
          <w:spacing w:val="-3"/>
          <w:sz w:val="32"/>
        </w:rPr>
        <w:t>支付</w:t>
      </w:r>
    </w:p>
    <w:p>
      <w:pPr>
        <w:framePr w:w="9064" w:x="3665" w:y="18874"/>
        <w:widowControl w:val="0"/>
        <w:autoSpaceDE w:val="0"/>
        <w:autoSpaceDN w:val="0"/>
        <w:spacing w:before="0" w:after="0" w:line="220" w:lineRule="exact"/>
        <w:ind w:left="7248" w:right="0" w:firstLine="0"/>
        <w:jc w:val="left"/>
        <w:rPr>
          <w:rFonts w:ascii="Times New Roman"/>
          <w:color w:val="000000"/>
          <w:spacing w:val="0"/>
          <w:sz w:val="32"/>
        </w:rPr>
      </w:pPr>
      <w:r>
        <w:rPr>
          <w:rFonts w:ascii="SimSun" w:hAnsi="SimSun" w:cs="SimSun"/>
          <w:color w:val="000000"/>
          <w:spacing w:val="-3"/>
          <w:sz w:val="32"/>
        </w:rPr>
        <w:t>机制</w:t>
      </w:r>
    </w:p>
    <w:p>
      <w:pPr>
        <w:framePr w:w="9064" w:x="3665" w:y="18874"/>
        <w:widowControl w:val="0"/>
        <w:autoSpaceDE w:val="0"/>
        <w:autoSpaceDN w:val="0"/>
        <w:spacing w:before="0" w:after="0" w:line="245" w:lineRule="exact"/>
        <w:ind w:left="0" w:right="0" w:firstLine="0"/>
        <w:jc w:val="left"/>
        <w:rPr>
          <w:rFonts w:ascii="Times New Roman"/>
          <w:color w:val="000000"/>
          <w:spacing w:val="0"/>
          <w:sz w:val="32"/>
        </w:rPr>
      </w:pPr>
      <w:r>
        <w:rPr>
          <w:rFonts w:ascii="SimSun" w:hAnsi="SimSun" w:cs="SimSun"/>
          <w:color w:val="000000"/>
          <w:spacing w:val="-3"/>
          <w:sz w:val="32"/>
        </w:rPr>
        <w:t>方式</w:t>
      </w:r>
    </w:p>
    <w:p>
      <w:pPr>
        <w:framePr w:w="1114" w:x="9002" w:y="212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w:t>
      </w:r>
    </w:p>
    <w:p>
      <w:pPr>
        <w:framePr w:w="1114" w:x="5927" w:y="215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顾问</w:t>
      </w:r>
    </w:p>
    <w:p>
      <w:pPr>
        <w:framePr w:w="1114" w:x="9002" w:y="217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地位</w:t>
      </w:r>
    </w:p>
    <w:p>
      <w:pPr>
        <w:framePr w:w="1114" w:x="5927" w:y="2198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团队</w:t>
      </w:r>
    </w:p>
    <w:p>
      <w:pPr>
        <w:spacing w:before="0" w:after="0" w:line="0" w:lineRule="atLeast"/>
        <w:ind w:left="0" w:right="0" w:firstLine="0"/>
        <w:jc w:val="left"/>
        <w:rPr>
          <w:rFonts w:ascii="Arial"/>
          <w:color w:val="FF0000"/>
          <w:spacing w:val="0"/>
          <w:sz w:val="2"/>
        </w:rPr>
      </w:pPr>
      <w:r>
        <w:rPr>
          <w:noProof/>
        </w:rPr>
        <w:pict>
          <v:shape id="_x0000_s1048" type="#_x0000_t75" style="width:178pt;height:4pt;margin-top:601.35pt;margin-left:291pt;mso-position-horizontal-relative:page;mso-position-vertical-relative:page;position:absolute;z-index:-251654144">
            <v:imagedata r:id="rId27" o:title=""/>
          </v:shape>
        </w:pict>
      </w:r>
      <w:r>
        <w:rPr>
          <w:noProof/>
        </w:rPr>
        <w:pict>
          <v:shape id="_x0000_s1049" type="#_x0000_t75" style="width:455pt;height:359pt;margin-top:776.1pt;margin-left:153pt;mso-position-horizontal-relative:page;mso-position-vertical-relative:page;position:absolute;z-index:-251655168">
            <v:imagedata r:id="rId2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3844" w:x="3331" w:y="241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注：对赌。即估值调整机制（</w:t>
      </w:r>
      <w:r>
        <w:rPr>
          <w:rFonts w:ascii="Calibri"/>
          <w:color w:val="000000"/>
          <w:spacing w:val="-1"/>
          <w:sz w:val="32"/>
        </w:rPr>
        <w:t>valuation</w:t>
      </w:r>
      <w:r>
        <w:rPr>
          <w:rFonts w:ascii="Calibri"/>
          <w:color w:val="000000"/>
          <w:spacing w:val="-1"/>
          <w:sz w:val="32"/>
        </w:rPr>
        <w:t xml:space="preserve"> </w:t>
      </w:r>
      <w:r>
        <w:rPr>
          <w:rFonts w:ascii="Calibri"/>
          <w:color w:val="000000"/>
          <w:spacing w:val="-2"/>
          <w:sz w:val="32"/>
        </w:rPr>
        <w:t>adjustment</w:t>
      </w:r>
      <w:r>
        <w:rPr>
          <w:rFonts w:ascii="Calibri"/>
          <w:color w:val="000000"/>
          <w:spacing w:val="0"/>
          <w:sz w:val="32"/>
        </w:rPr>
        <w:t xml:space="preserve"> </w:t>
      </w:r>
      <w:r>
        <w:rPr>
          <w:rFonts w:ascii="Calibri"/>
          <w:color w:val="000000"/>
          <w:spacing w:val="-2"/>
          <w:sz w:val="32"/>
        </w:rPr>
        <w:t>mechanism,VAM),</w:t>
      </w:r>
      <w:r>
        <w:rPr>
          <w:rFonts w:ascii="SimSun" w:hAnsi="SimSun" w:cs="SimSun"/>
          <w:color w:val="000000"/>
          <w:spacing w:val="-3"/>
          <w:sz w:val="32"/>
        </w:rPr>
        <w:t>是法律人设计的一</w:t>
      </w:r>
    </w:p>
    <w:p>
      <w:pPr>
        <w:framePr w:w="13844" w:x="333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种交易结构，以保证在交易双方对估值无法达成一致时能把交易进行下去。对赌是指投</w:t>
      </w:r>
    </w:p>
    <w:p>
      <w:pPr>
        <w:framePr w:w="13844" w:x="333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资人与股权融资人对于企业未来某些事项的不确定性“暂不争议”，而是约定在一定时</w:t>
      </w:r>
    </w:p>
    <w:p>
      <w:pPr>
        <w:framePr w:w="13844" w:x="333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期的运营情况后调整企业的估值，从而重新划定双方的利润边界。</w:t>
      </w:r>
    </w:p>
    <w:p>
      <w:pPr>
        <w:framePr w:w="13844" w:x="333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报告编写及信息披露</w:t>
      </w:r>
    </w:p>
    <w:p>
      <w:pPr>
        <w:framePr w:w="1908" w:x="3331" w:y="4756"/>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）编写</w:t>
      </w:r>
    </w:p>
    <w:p>
      <w:pPr>
        <w:framePr w:w="14573" w:x="2701" w:y="522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按国际惯例来看，评估报告分为书面和口头报告。口头报告虽然听起来不可思议，但是确实</w:t>
      </w:r>
    </w:p>
    <w:p>
      <w:pPr>
        <w:framePr w:w="14573"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在很多国家，口头评估报告是得到认可的。例如美国许多评估师在出庭作证时就提供口头报</w:t>
      </w:r>
    </w:p>
    <w:p>
      <w:pPr>
        <w:framePr w:w="14573"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告。评估报告编写要注意几方面内容：</w:t>
      </w:r>
    </w:p>
    <w:p>
      <w:pPr>
        <w:framePr w:w="3014" w:x="3489" w:y="66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①评估报告的模式</w:t>
      </w:r>
    </w:p>
    <w:p>
      <w:pPr>
        <w:framePr w:w="4008" w:x="3489" w:y="709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②评估报告的语种和货币</w:t>
      </w:r>
    </w:p>
    <w:p>
      <w:pPr>
        <w:framePr w:w="14339" w:x="2701" w:y="7565"/>
        <w:widowControl w:val="0"/>
        <w:autoSpaceDE w:val="0"/>
        <w:autoSpaceDN w:val="0"/>
        <w:spacing w:before="0" w:after="0" w:line="330" w:lineRule="exact"/>
        <w:ind w:left="788" w:right="0" w:firstLine="0"/>
        <w:jc w:val="left"/>
        <w:rPr>
          <w:rFonts w:ascii="Times New Roman"/>
          <w:color w:val="000000"/>
          <w:spacing w:val="0"/>
          <w:sz w:val="32"/>
        </w:rPr>
      </w:pPr>
      <w:r>
        <w:rPr>
          <w:rFonts w:ascii="SimSun" w:hAnsi="SimSun" w:cs="SimSun"/>
          <w:color w:val="000000"/>
          <w:spacing w:val="-13"/>
          <w:sz w:val="32"/>
        </w:rPr>
        <w:t>③评估结论使用有效期：现时性评估；追溯性评估；预测性评估（《</w:t>
      </w:r>
      <w:r>
        <w:rPr>
          <w:rFonts w:ascii="Calibri"/>
          <w:color w:val="000000"/>
          <w:spacing w:val="-2"/>
          <w:sz w:val="32"/>
        </w:rPr>
        <w:t>USPAP</w:t>
      </w:r>
      <w:r>
        <w:rPr>
          <w:rFonts w:ascii="SimSun" w:hAnsi="SimSun" w:cs="SimSun"/>
          <w:color w:val="000000"/>
          <w:spacing w:val="0"/>
          <w:sz w:val="32"/>
        </w:rPr>
        <w:t>》</w:t>
      </w:r>
      <w:r>
        <w:rPr>
          <w:rFonts w:ascii="Times New Roman"/>
          <w:color w:val="000000"/>
          <w:spacing w:val="25"/>
          <w:sz w:val="32"/>
        </w:rPr>
        <w:t xml:space="preserve"> </w:t>
      </w:r>
      <w:r>
        <w:rPr>
          <w:rFonts w:ascii="SimSun" w:hAnsi="SimSun" w:cs="SimSun"/>
          <w:color w:val="000000"/>
          <w:spacing w:val="-15"/>
          <w:sz w:val="32"/>
        </w:rPr>
        <w:t>美国《专</w:t>
      </w:r>
    </w:p>
    <w:p>
      <w:pPr>
        <w:framePr w:w="14339" w:x="2701" w:y="756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业评估职业统一准则》）</w:t>
      </w:r>
    </w:p>
    <w:p>
      <w:pPr>
        <w:framePr w:w="5100" w:x="3489" w:y="850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④其他关于评估报告的基本内容</w:t>
      </w:r>
    </w:p>
    <w:p>
      <w:pPr>
        <w:framePr w:w="2541" w:x="3331" w:y="896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）信息披露</w:t>
      </w:r>
    </w:p>
    <w:p>
      <w:pPr>
        <w:framePr w:w="6558" w:x="3331" w:y="943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与市场价值报告相比，需要增加的内容：</w:t>
      </w:r>
    </w:p>
    <w:p>
      <w:pPr>
        <w:framePr w:w="8015" w:x="3331" w:y="990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①服务协议约定中应增加投资并购方案要点等内容</w:t>
      </w:r>
    </w:p>
    <w:p>
      <w:pPr>
        <w:framePr w:w="8015" w:x="333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②投资价值类型定义应说明层级和范围</w:t>
      </w:r>
    </w:p>
    <w:p>
      <w:pPr>
        <w:framePr w:w="5100" w:x="3331" w:y="1084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③需披露投资并购方案相关假设</w:t>
      </w:r>
    </w:p>
    <w:p>
      <w:pPr>
        <w:framePr w:w="3331" w:x="3331" w:y="11309"/>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④评估结论表达方式</w:t>
      </w:r>
    </w:p>
    <w:p>
      <w:pPr>
        <w:framePr w:w="14568" w:x="2701" w:y="1177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两种区间表达方式：一是区间范围；二十“不大于”或“不高于”，“不小于”或“不</w:t>
      </w:r>
    </w:p>
    <w:p>
      <w:pPr>
        <w:framePr w:w="14568"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低于”。</w:t>
      </w:r>
    </w:p>
    <w:p>
      <w:pPr>
        <w:framePr w:w="5100" w:x="3331" w:y="1271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⑤评估报告使用限制条件的设定</w:t>
      </w:r>
    </w:p>
    <w:p>
      <w:pPr>
        <w:framePr w:w="14396" w:x="2701" w:y="13181"/>
        <w:widowControl w:val="0"/>
        <w:autoSpaceDE w:val="0"/>
        <w:autoSpaceDN w:val="0"/>
        <w:spacing w:before="0" w:after="0" w:line="330" w:lineRule="exact"/>
        <w:ind w:left="630" w:right="0" w:firstLine="0"/>
        <w:jc w:val="left"/>
        <w:rPr>
          <w:rFonts w:ascii="Times New Roman"/>
          <w:color w:val="000000"/>
          <w:spacing w:val="0"/>
          <w:sz w:val="32"/>
        </w:rPr>
      </w:pPr>
      <w:r>
        <w:rPr>
          <w:rFonts w:ascii="SimSun" w:hAnsi="SimSun" w:cs="SimSun"/>
          <w:color w:val="000000"/>
          <w:spacing w:val="-2"/>
          <w:sz w:val="32"/>
        </w:rPr>
        <w:t>比如：</w:t>
      </w:r>
      <w:r>
        <w:rPr>
          <w:rFonts w:ascii="Calibri"/>
          <w:color w:val="000000"/>
          <w:spacing w:val="-4"/>
          <w:sz w:val="32"/>
        </w:rPr>
        <w:t>1</w:t>
      </w:r>
      <w:r>
        <w:rPr>
          <w:rFonts w:ascii="SimSun" w:hAnsi="SimSun" w:cs="SimSun"/>
          <w:color w:val="000000"/>
          <w:spacing w:val="-3"/>
          <w:sz w:val="32"/>
        </w:rPr>
        <w:t>）评估结论旨在评估报告依据的投资并购方案下成立。</w:t>
      </w:r>
      <w:r>
        <w:rPr>
          <w:rFonts w:ascii="Calibri"/>
          <w:color w:val="000000"/>
          <w:spacing w:val="-4"/>
          <w:sz w:val="32"/>
        </w:rPr>
        <w:t>2</w:t>
      </w:r>
      <w:r>
        <w:rPr>
          <w:rFonts w:ascii="SimSun" w:hAnsi="SimSun" w:cs="SimSun"/>
          <w:color w:val="000000"/>
          <w:spacing w:val="-3"/>
          <w:sz w:val="32"/>
        </w:rPr>
        <w:t>）设计的协同效应产生</w:t>
      </w:r>
    </w:p>
    <w:p>
      <w:pPr>
        <w:framePr w:w="14396"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的时间，很大程度上取决于投资并购交割后的公司整合进度。</w:t>
      </w:r>
    </w:p>
    <w:p>
      <w:pPr>
        <w:framePr w:w="14396" w:x="2701" w:y="13181"/>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2</w:t>
      </w:r>
      <w:r>
        <w:rPr>
          <w:rFonts w:ascii="SimSun" w:hAnsi="SimSun" w:cs="SimSun"/>
          <w:color w:val="000000"/>
          <w:spacing w:val="-3"/>
          <w:sz w:val="32"/>
        </w:rPr>
        <w:t>、行文逻辑和研究方法</w:t>
      </w:r>
    </w:p>
    <w:p>
      <w:pPr>
        <w:framePr w:w="9837"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假设、依据、程序、结论及其应用、评估报告编写及信息披露</w:t>
      </w:r>
    </w:p>
    <w:p>
      <w:pPr>
        <w:framePr w:w="9837" w:x="2701" w:y="14585"/>
        <w:widowControl w:val="0"/>
        <w:autoSpaceDE w:val="0"/>
        <w:autoSpaceDN w:val="0"/>
        <w:spacing w:before="138" w:after="0" w:line="330" w:lineRule="exact"/>
        <w:ind w:left="0" w:right="0" w:firstLine="0"/>
        <w:jc w:val="left"/>
        <w:rPr>
          <w:rFonts w:ascii="Times New Roman"/>
          <w:color w:val="000000"/>
          <w:spacing w:val="0"/>
          <w:sz w:val="32"/>
        </w:rPr>
      </w:pPr>
      <w:r>
        <w:rPr>
          <w:rFonts w:ascii="Calibri"/>
          <w:color w:val="000000"/>
          <w:spacing w:val="0"/>
          <w:sz w:val="32"/>
        </w:rPr>
        <w:t>3</w:t>
      </w:r>
      <w:r>
        <w:rPr>
          <w:rFonts w:ascii="SimSun" w:hAnsi="SimSun" w:cs="SimSun"/>
          <w:color w:val="000000"/>
          <w:spacing w:val="-3"/>
          <w:sz w:val="32"/>
        </w:rPr>
        <w:t>、感兴趣的内容和个人思考</w:t>
      </w:r>
    </w:p>
    <w:p>
      <w:pPr>
        <w:framePr w:w="3648"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协同效应价值归属问题</w:t>
      </w:r>
    </w:p>
    <w:p>
      <w:pPr>
        <w:framePr w:w="2226" w:x="2701" w:y="15989"/>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0"/>
          <w:sz w:val="32"/>
        </w:rPr>
        <w:t>4</w:t>
      </w:r>
      <w:r>
        <w:rPr>
          <w:rFonts w:ascii="SimSun" w:hAnsi="SimSun" w:cs="SimSun"/>
          <w:color w:val="000000"/>
          <w:spacing w:val="-3"/>
          <w:sz w:val="32"/>
        </w:rPr>
        <w:t>、资料延伸</w:t>
      </w:r>
    </w:p>
    <w:p>
      <w:pPr>
        <w:framePr w:w="12106" w:x="2701" w:y="16457"/>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财政部财评字【</w:t>
      </w:r>
      <w:r>
        <w:rPr>
          <w:rFonts w:ascii="Calibri"/>
          <w:color w:val="000000"/>
          <w:spacing w:val="-3"/>
          <w:sz w:val="32"/>
        </w:rPr>
        <w:t>1999</w:t>
      </w:r>
      <w:r>
        <w:rPr>
          <w:rFonts w:ascii="SimSun" w:hAnsi="SimSun" w:cs="SimSun"/>
          <w:color w:val="000000"/>
          <w:spacing w:val="-2"/>
          <w:sz w:val="32"/>
        </w:rPr>
        <w:t>】</w:t>
      </w:r>
      <w:r>
        <w:rPr>
          <w:rFonts w:ascii="Calibri"/>
          <w:color w:val="000000"/>
          <w:spacing w:val="-2"/>
          <w:sz w:val="32"/>
        </w:rPr>
        <w:t>91</w:t>
      </w:r>
      <w:r>
        <w:rPr>
          <w:rFonts w:ascii="Calibri"/>
          <w:color w:val="000000"/>
          <w:spacing w:val="3"/>
          <w:sz w:val="32"/>
        </w:rPr>
        <w:t xml:space="preserve"> </w:t>
      </w:r>
      <w:r>
        <w:rPr>
          <w:rFonts w:ascii="SimSun" w:hAnsi="SimSun" w:cs="SimSun"/>
          <w:color w:val="000000"/>
          <w:spacing w:val="-3"/>
          <w:sz w:val="32"/>
        </w:rPr>
        <w:t>号文《资产评估报告基本内容与格式的暂行规定》</w:t>
      </w:r>
    </w:p>
    <w:p>
      <w:pPr>
        <w:framePr w:w="12106" w:x="2701" w:y="16457"/>
        <w:widowControl w:val="0"/>
        <w:autoSpaceDE w:val="0"/>
        <w:autoSpaceDN w:val="0"/>
        <w:spacing w:before="151" w:after="0" w:line="317" w:lineRule="exact"/>
        <w:ind w:left="3788" w:right="0" w:firstLine="0"/>
        <w:jc w:val="left"/>
        <w:rPr>
          <w:rFonts w:ascii="Times New Roman"/>
          <w:color w:val="000000"/>
          <w:spacing w:val="0"/>
          <w:sz w:val="32"/>
        </w:rPr>
      </w:pPr>
      <w:r>
        <w:rPr>
          <w:rFonts w:ascii="SimSun" w:hAnsi="SimSun" w:cs="SimSun"/>
          <w:color w:val="000000"/>
          <w:spacing w:val="-3"/>
          <w:sz w:val="32"/>
        </w:rPr>
        <w:t>（四）第六章</w:t>
      </w:r>
      <w:r>
        <w:rPr>
          <w:rFonts w:ascii="Times New Roman"/>
          <w:color w:val="000000"/>
          <w:spacing w:val="71"/>
          <w:sz w:val="32"/>
        </w:rPr>
        <w:t xml:space="preserve"> </w:t>
      </w:r>
      <w:r>
        <w:rPr>
          <w:rFonts w:ascii="SimSun" w:hAnsi="SimSun" w:cs="SimSun"/>
          <w:color w:val="000000"/>
          <w:spacing w:val="-3"/>
          <w:sz w:val="32"/>
        </w:rPr>
        <w:t>投资价值评估的应用</w:t>
      </w:r>
    </w:p>
    <w:p>
      <w:pPr>
        <w:framePr w:w="14346" w:x="2701" w:y="1739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这一章选择了近几年来，企业投资并购实践中最为常见的境外投资并购、矿业企业投资</w:t>
      </w:r>
    </w:p>
    <w:p>
      <w:pPr>
        <w:framePr w:w="14346" w:x="2701" w:y="17393"/>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并购、电信企业投资并购以及</w:t>
      </w:r>
      <w:r>
        <w:rPr>
          <w:rFonts w:ascii="Times New Roman"/>
          <w:color w:val="000000"/>
          <w:spacing w:val="-18"/>
          <w:sz w:val="32"/>
        </w:rPr>
        <w:t xml:space="preserve"> </w:t>
      </w:r>
      <w:r>
        <w:rPr>
          <w:rFonts w:ascii="Calibri"/>
          <w:color w:val="000000"/>
          <w:spacing w:val="-2"/>
          <w:sz w:val="32"/>
        </w:rPr>
        <w:t>PE/VC</w:t>
      </w:r>
      <w:r>
        <w:rPr>
          <w:rFonts w:ascii="Calibri"/>
          <w:color w:val="000000"/>
          <w:spacing w:val="-1"/>
          <w:sz w:val="32"/>
        </w:rPr>
        <w:t xml:space="preserve"> </w:t>
      </w:r>
      <w:r>
        <w:rPr>
          <w:rFonts w:ascii="SimSun" w:hAnsi="SimSun" w:cs="SimSun"/>
          <w:color w:val="000000"/>
          <w:spacing w:val="-3"/>
          <w:sz w:val="32"/>
        </w:rPr>
        <w:t>等进行剖析。</w:t>
      </w:r>
    </w:p>
    <w:p>
      <w:pPr>
        <w:framePr w:w="14346" w:x="2701" w:y="17393"/>
        <w:widowControl w:val="0"/>
        <w:autoSpaceDE w:val="0"/>
        <w:autoSpaceDN w:val="0"/>
        <w:spacing w:before="152" w:after="0" w:line="317" w:lineRule="exact"/>
        <w:ind w:left="633" w:right="0" w:firstLine="0"/>
        <w:jc w:val="left"/>
        <w:rPr>
          <w:rFonts w:ascii="Times New Roman"/>
          <w:color w:val="000000"/>
          <w:spacing w:val="0"/>
          <w:sz w:val="32"/>
        </w:rPr>
      </w:pPr>
      <w:r>
        <w:rPr>
          <w:rFonts w:ascii="SimSun" w:hAnsi="SimSun" w:cs="SimSun"/>
          <w:color w:val="000000"/>
          <w:spacing w:val="-3"/>
          <w:sz w:val="32"/>
        </w:rPr>
        <w:t>并购得失</w:t>
      </w:r>
    </w:p>
    <w:p>
      <w:pPr>
        <w:framePr w:w="14937" w:x="2701" w:y="1879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之前也提到过，评估有事前、事中、事后评估，事后评估就是观察并购重组后企业的长</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期发展，由此来得到一些关于评估各环节得失的反馈。真正来说，评估得失判断，是一个复</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2"/>
          <w:sz w:val="32"/>
        </w:rPr>
        <w:t>杂的问题，是否完成重组不是评价的唯一标准。我们要综合各方面的因素，比如以下的考虑：</w:t>
      </w:r>
    </w:p>
    <w:p>
      <w:pPr>
        <w:framePr w:w="14937" w:x="2701" w:y="18798"/>
        <w:widowControl w:val="0"/>
        <w:autoSpaceDE w:val="0"/>
        <w:autoSpaceDN w:val="0"/>
        <w:spacing w:before="138" w:after="0" w:line="33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）业务层面：被并购方对并购方业务层面的协同性、互补性和未来共同发展的潜力</w:t>
      </w:r>
    </w:p>
    <w:p>
      <w:pPr>
        <w:framePr w:w="14937" w:x="2701" w:y="18798"/>
        <w:widowControl w:val="0"/>
        <w:autoSpaceDE w:val="0"/>
        <w:autoSpaceDN w:val="0"/>
        <w:spacing w:before="138" w:after="0" w:line="33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）财务方面：被并购方对并购方财务方面的利益</w:t>
      </w:r>
    </w:p>
    <w:p>
      <w:pPr>
        <w:framePr w:w="14937" w:x="2701" w:y="18798"/>
        <w:widowControl w:val="0"/>
        <w:autoSpaceDE w:val="0"/>
        <w:autoSpaceDN w:val="0"/>
        <w:spacing w:before="138" w:after="0" w:line="33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3</w:t>
      </w:r>
      <w:r>
        <w:rPr>
          <w:rFonts w:ascii="SimSun" w:hAnsi="SimSun" w:cs="SimSun"/>
          <w:color w:val="000000"/>
          <w:spacing w:val="-3"/>
          <w:sz w:val="32"/>
        </w:rPr>
        <w:t>）利益层面：双方的现实利益（报表的短期促进）、过程利益（中期价值，如股价、</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长期利益。</w:t>
      </w:r>
    </w:p>
    <w:p>
      <w:pPr>
        <w:framePr w:w="3648" w:x="3331" w:y="220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矿业投资并购评估方法</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114" w:x="2701" w:y="19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阶段</w:t>
      </w:r>
    </w:p>
    <w:p>
      <w:pPr>
        <w:framePr w:w="1114" w:x="4483" w:y="19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方法</w:t>
      </w:r>
    </w:p>
    <w:p>
      <w:pPr>
        <w:framePr w:w="6724" w:x="6572" w:y="1962"/>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矿产资源项目、矿产资源资产</w:t>
      </w:r>
      <w:r>
        <w:rPr>
          <w:rFonts w:ascii="Times New Roman"/>
          <w:color w:val="000000"/>
          <w:spacing w:val="381"/>
          <w:sz w:val="32"/>
        </w:rPr>
        <w:t xml:space="preserve"> </w:t>
      </w:r>
      <w:r>
        <w:rPr>
          <w:rFonts w:ascii="SimSun" w:hAnsi="SimSun" w:cs="SimSun"/>
          <w:color w:val="000000"/>
          <w:spacing w:val="-3"/>
          <w:sz w:val="32"/>
        </w:rPr>
        <w:t>矿业企业</w:t>
      </w:r>
    </w:p>
    <w:p>
      <w:pPr>
        <w:framePr w:w="4535" w:x="11151" w:y="2445"/>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企业价值</w:t>
      </w:r>
      <w:r>
        <w:rPr>
          <w:rFonts w:ascii="Calibri"/>
          <w:color w:val="000000"/>
          <w:spacing w:val="-5"/>
          <w:sz w:val="32"/>
        </w:rPr>
        <w:t>/</w:t>
      </w:r>
      <w:r>
        <w:rPr>
          <w:rFonts w:ascii="SimSun" w:hAnsi="SimSun" w:cs="SimSun"/>
          <w:color w:val="000000"/>
          <w:spacing w:val="-3"/>
          <w:sz w:val="32"/>
        </w:rPr>
        <w:t>矿产储量</w:t>
      </w:r>
    </w:p>
    <w:p>
      <w:pPr>
        <w:framePr w:w="4535" w:x="11151" w:y="2445"/>
        <w:widowControl w:val="0"/>
        <w:autoSpaceDE w:val="0"/>
        <w:autoSpaceDN w:val="0"/>
        <w:spacing w:before="152" w:after="0" w:line="330" w:lineRule="exact"/>
        <w:ind w:left="0" w:right="0" w:firstLine="0"/>
        <w:jc w:val="left"/>
        <w:rPr>
          <w:rFonts w:ascii="Times New Roman"/>
          <w:color w:val="000000"/>
          <w:spacing w:val="0"/>
          <w:sz w:val="32"/>
        </w:rPr>
      </w:pPr>
      <w:r>
        <w:rPr>
          <w:rFonts w:ascii="SimSun" w:hAnsi="SimSun" w:cs="SimSun"/>
          <w:color w:val="000000"/>
          <w:spacing w:val="-4"/>
          <w:sz w:val="32"/>
        </w:rPr>
        <w:t>企业价值</w:t>
      </w:r>
      <w:r>
        <w:rPr>
          <w:rFonts w:ascii="Calibri"/>
          <w:color w:val="000000"/>
          <w:spacing w:val="-5"/>
          <w:sz w:val="32"/>
        </w:rPr>
        <w:t>/</w:t>
      </w:r>
      <w:r>
        <w:rPr>
          <w:rFonts w:ascii="SimSun" w:hAnsi="SimSun" w:cs="SimSun"/>
          <w:color w:val="000000"/>
          <w:spacing w:val="-4"/>
          <w:sz w:val="32"/>
        </w:rPr>
        <w:t>账面净资产（</w:t>
      </w:r>
      <w:r>
        <w:rPr>
          <w:rFonts w:ascii="Calibri"/>
          <w:color w:val="000000"/>
          <w:spacing w:val="-4"/>
          <w:sz w:val="32"/>
        </w:rPr>
        <w:t>PB</w:t>
      </w:r>
      <w:r>
        <w:rPr>
          <w:rFonts w:ascii="SimSun" w:hAnsi="SimSun" w:cs="SimSun"/>
          <w:color w:val="000000"/>
          <w:spacing w:val="0"/>
          <w:sz w:val="32"/>
        </w:rPr>
        <w:t>）</w:t>
      </w:r>
    </w:p>
    <w:p>
      <w:pPr>
        <w:framePr w:w="1430" w:x="4889" w:y="36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市场法</w:t>
      </w:r>
    </w:p>
    <w:p>
      <w:pPr>
        <w:framePr w:w="8883" w:x="6572" w:y="388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5"/>
          <w:sz w:val="32"/>
        </w:rPr>
        <w:t>项目（资产）价值</w:t>
      </w:r>
      <w:r>
        <w:rPr>
          <w:rFonts w:ascii="Calibri"/>
          <w:color w:val="000000"/>
          <w:spacing w:val="-5"/>
          <w:sz w:val="32"/>
        </w:rPr>
        <w:t>/</w:t>
      </w:r>
      <w:r>
        <w:rPr>
          <w:rFonts w:ascii="SimSun" w:hAnsi="SimSun" w:cs="SimSun"/>
          <w:color w:val="000000"/>
          <w:spacing w:val="-3"/>
          <w:sz w:val="32"/>
        </w:rPr>
        <w:t>勘查区面积</w:t>
      </w:r>
      <w:r>
        <w:rPr>
          <w:rFonts w:ascii="Times New Roman"/>
          <w:color w:val="000000"/>
          <w:spacing w:val="273"/>
          <w:sz w:val="32"/>
        </w:rPr>
        <w:t xml:space="preserve"> </w:t>
      </w:r>
      <w:r>
        <w:rPr>
          <w:rFonts w:ascii="SimSun" w:hAnsi="SimSun" w:cs="SimSun"/>
          <w:color w:val="000000"/>
          <w:spacing w:val="-4"/>
          <w:sz w:val="32"/>
        </w:rPr>
        <w:t>企业价值</w:t>
      </w:r>
      <w:r>
        <w:rPr>
          <w:rFonts w:ascii="Calibri"/>
          <w:color w:val="000000"/>
          <w:spacing w:val="-5"/>
          <w:sz w:val="32"/>
        </w:rPr>
        <w:t>/</w:t>
      </w:r>
      <w:r>
        <w:rPr>
          <w:rFonts w:ascii="SimSun" w:hAnsi="SimSun" w:cs="SimSun"/>
          <w:color w:val="000000"/>
          <w:spacing w:val="-5"/>
          <w:sz w:val="32"/>
        </w:rPr>
        <w:t>销售收入</w:t>
      </w:r>
      <w:r>
        <w:rPr>
          <w:rFonts w:ascii="Calibri"/>
          <w:color w:val="000000"/>
          <w:spacing w:val="-2"/>
          <w:sz w:val="32"/>
        </w:rPr>
        <w:t>(PS)</w:t>
      </w:r>
    </w:p>
    <w:p>
      <w:pPr>
        <w:framePr w:w="3137" w:x="11151" w:y="436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企业价值</w:t>
      </w:r>
      <w:r>
        <w:rPr>
          <w:rFonts w:ascii="Calibri"/>
          <w:color w:val="000000"/>
          <w:spacing w:val="-5"/>
          <w:sz w:val="32"/>
        </w:rPr>
        <w:t>/</w:t>
      </w:r>
      <w:r>
        <w:rPr>
          <w:rFonts w:ascii="SimSun" w:hAnsi="SimSun" w:cs="SimSun"/>
          <w:color w:val="000000"/>
          <w:spacing w:val="-3"/>
          <w:sz w:val="32"/>
        </w:rPr>
        <w:t>销售收入</w:t>
      </w:r>
    </w:p>
    <w:p>
      <w:pPr>
        <w:framePr w:w="3137" w:x="11151" w:y="4363"/>
        <w:widowControl w:val="0"/>
        <w:autoSpaceDE w:val="0"/>
        <w:autoSpaceDN w:val="0"/>
        <w:spacing w:before="152" w:after="0" w:line="330" w:lineRule="exact"/>
        <w:ind w:left="0" w:right="0" w:firstLine="0"/>
        <w:jc w:val="left"/>
        <w:rPr>
          <w:rFonts w:ascii="Times New Roman"/>
          <w:color w:val="000000"/>
          <w:spacing w:val="0"/>
          <w:sz w:val="32"/>
        </w:rPr>
      </w:pPr>
      <w:r>
        <w:rPr>
          <w:rFonts w:ascii="SimSun" w:hAnsi="SimSun" w:cs="SimSun"/>
          <w:color w:val="000000"/>
          <w:spacing w:val="-4"/>
          <w:sz w:val="32"/>
        </w:rPr>
        <w:t>企业价值</w:t>
      </w:r>
      <w:r>
        <w:rPr>
          <w:rFonts w:ascii="Calibri"/>
          <w:color w:val="000000"/>
          <w:spacing w:val="-5"/>
          <w:sz w:val="32"/>
        </w:rPr>
        <w:t>/</w:t>
      </w:r>
      <w:r>
        <w:rPr>
          <w:rFonts w:ascii="SimSun" w:hAnsi="SimSun" w:cs="SimSun"/>
          <w:color w:val="000000"/>
          <w:spacing w:val="-3"/>
          <w:sz w:val="32"/>
        </w:rPr>
        <w:t>生产能力</w:t>
      </w:r>
    </w:p>
    <w:p>
      <w:pPr>
        <w:framePr w:w="4372" w:x="6572" w:y="484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可比销售法（市场比较法）</w:t>
      </w:r>
    </w:p>
    <w:p>
      <w:pPr>
        <w:framePr w:w="1430" w:x="4889" w:y="5328"/>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成本法</w:t>
      </w:r>
    </w:p>
    <w:p>
      <w:pPr>
        <w:framePr w:w="1430" w:x="4889" w:y="5328"/>
        <w:widowControl w:val="0"/>
        <w:autoSpaceDE w:val="0"/>
        <w:autoSpaceDN w:val="0"/>
        <w:spacing w:before="166" w:after="0" w:line="317" w:lineRule="exact"/>
        <w:ind w:left="0" w:right="0" w:firstLine="0"/>
        <w:jc w:val="left"/>
        <w:rPr>
          <w:rFonts w:ascii="Times New Roman"/>
          <w:color w:val="000000"/>
          <w:spacing w:val="0"/>
          <w:sz w:val="32"/>
        </w:rPr>
      </w:pPr>
      <w:r>
        <w:rPr>
          <w:rFonts w:ascii="SimSun" w:hAnsi="SimSun" w:cs="SimSun"/>
          <w:color w:val="000000"/>
          <w:spacing w:val="-3"/>
          <w:sz w:val="32"/>
        </w:rPr>
        <w:t>收益法</w:t>
      </w:r>
    </w:p>
    <w:p>
      <w:pPr>
        <w:framePr w:w="3865" w:x="11151" w:y="58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4"/>
          <w:sz w:val="32"/>
        </w:rPr>
        <w:t>现金流量折现法（</w:t>
      </w:r>
      <w:r>
        <w:rPr>
          <w:rFonts w:ascii="Calibri"/>
          <w:color w:val="000000"/>
          <w:spacing w:val="-4"/>
          <w:sz w:val="32"/>
        </w:rPr>
        <w:t>DCF</w:t>
      </w:r>
      <w:r>
        <w:rPr>
          <w:rFonts w:ascii="SimSun" w:hAnsi="SimSun" w:cs="SimSun"/>
          <w:color w:val="000000"/>
          <w:spacing w:val="0"/>
          <w:sz w:val="32"/>
        </w:rPr>
        <w:t>）</w:t>
      </w:r>
    </w:p>
    <w:p>
      <w:pPr>
        <w:framePr w:w="3865" w:x="11151" w:y="5811"/>
        <w:widowControl w:val="0"/>
        <w:autoSpaceDE w:val="0"/>
        <w:autoSpaceDN w:val="0"/>
        <w:spacing w:before="152" w:after="0" w:line="330" w:lineRule="exact"/>
        <w:ind w:left="0" w:right="0" w:firstLine="0"/>
        <w:jc w:val="left"/>
        <w:rPr>
          <w:rFonts w:ascii="Times New Roman"/>
          <w:color w:val="000000"/>
          <w:spacing w:val="0"/>
          <w:sz w:val="32"/>
        </w:rPr>
      </w:pPr>
      <w:r>
        <w:rPr>
          <w:rFonts w:ascii="SimSun" w:hAnsi="SimSun" w:cs="SimSun"/>
          <w:color w:val="000000"/>
          <w:spacing w:val="-4"/>
          <w:sz w:val="32"/>
        </w:rPr>
        <w:t>市盈率（</w:t>
      </w:r>
      <w:r>
        <w:rPr>
          <w:rFonts w:ascii="Calibri"/>
          <w:color w:val="000000"/>
          <w:spacing w:val="-4"/>
          <w:sz w:val="32"/>
        </w:rPr>
        <w:t>PE</w:t>
      </w:r>
      <w:r>
        <w:rPr>
          <w:rFonts w:ascii="SimSun" w:hAnsi="SimSun" w:cs="SimSun"/>
          <w:color w:val="000000"/>
          <w:spacing w:val="0"/>
          <w:sz w:val="32"/>
        </w:rPr>
        <w:t>）</w:t>
      </w:r>
    </w:p>
    <w:p>
      <w:pPr>
        <w:framePr w:w="3865" w:x="11151" w:y="5811"/>
        <w:widowControl w:val="0"/>
        <w:autoSpaceDE w:val="0"/>
        <w:autoSpaceDN w:val="0"/>
        <w:spacing w:before="156" w:after="0" w:line="330" w:lineRule="exact"/>
        <w:ind w:left="0" w:right="0" w:firstLine="0"/>
        <w:jc w:val="left"/>
        <w:rPr>
          <w:rFonts w:ascii="Times New Roman"/>
          <w:color w:val="000000"/>
          <w:spacing w:val="0"/>
          <w:sz w:val="32"/>
        </w:rPr>
      </w:pPr>
      <w:r>
        <w:rPr>
          <w:rFonts w:ascii="SimSun" w:hAnsi="SimSun" w:cs="SimSun"/>
          <w:color w:val="000000"/>
          <w:spacing w:val="-4"/>
          <w:sz w:val="32"/>
        </w:rPr>
        <w:t>市销率（</w:t>
      </w:r>
      <w:r>
        <w:rPr>
          <w:rFonts w:ascii="Calibri"/>
          <w:color w:val="000000"/>
          <w:spacing w:val="-3"/>
          <w:sz w:val="32"/>
        </w:rPr>
        <w:t>PS</w:t>
      </w:r>
      <w:r>
        <w:rPr>
          <w:rFonts w:ascii="SimSun" w:hAnsi="SimSun" w:cs="SimSun"/>
          <w:color w:val="000000"/>
          <w:spacing w:val="0"/>
          <w:sz w:val="32"/>
        </w:rPr>
        <w:t>）</w:t>
      </w:r>
    </w:p>
    <w:p>
      <w:pPr>
        <w:framePr w:w="3865" w:x="11151" w:y="5811"/>
        <w:widowControl w:val="0"/>
        <w:autoSpaceDE w:val="0"/>
        <w:autoSpaceDN w:val="0"/>
        <w:spacing w:before="152" w:after="0" w:line="330" w:lineRule="exact"/>
        <w:ind w:left="0" w:right="0" w:firstLine="0"/>
        <w:jc w:val="left"/>
        <w:rPr>
          <w:rFonts w:ascii="Times New Roman"/>
          <w:color w:val="000000"/>
          <w:spacing w:val="0"/>
          <w:sz w:val="32"/>
        </w:rPr>
      </w:pPr>
      <w:r>
        <w:rPr>
          <w:rFonts w:ascii="SimSun" w:hAnsi="SimSun" w:cs="SimSun"/>
          <w:color w:val="000000"/>
          <w:spacing w:val="-4"/>
          <w:sz w:val="32"/>
        </w:rPr>
        <w:t>市盈率（</w:t>
      </w:r>
      <w:r>
        <w:rPr>
          <w:rFonts w:ascii="Calibri"/>
          <w:color w:val="000000"/>
          <w:spacing w:val="-4"/>
          <w:sz w:val="32"/>
        </w:rPr>
        <w:t>PB</w:t>
      </w:r>
      <w:r>
        <w:rPr>
          <w:rFonts w:ascii="SimSun" w:hAnsi="SimSun" w:cs="SimSun"/>
          <w:color w:val="000000"/>
          <w:spacing w:val="0"/>
          <w:sz w:val="32"/>
        </w:rPr>
        <w:t>）</w:t>
      </w:r>
    </w:p>
    <w:p>
      <w:pPr>
        <w:framePr w:w="3865" w:x="11151" w:y="5811"/>
        <w:widowControl w:val="0"/>
        <w:autoSpaceDE w:val="0"/>
        <w:autoSpaceDN w:val="0"/>
        <w:spacing w:before="167" w:after="0" w:line="317" w:lineRule="exact"/>
        <w:ind w:left="0" w:right="0" w:firstLine="0"/>
        <w:jc w:val="left"/>
        <w:rPr>
          <w:rFonts w:ascii="Times New Roman"/>
          <w:color w:val="000000"/>
          <w:spacing w:val="0"/>
          <w:sz w:val="32"/>
        </w:rPr>
      </w:pPr>
      <w:r>
        <w:rPr>
          <w:rFonts w:ascii="SimSun" w:hAnsi="SimSun" w:cs="SimSun"/>
          <w:color w:val="000000"/>
          <w:spacing w:val="-3"/>
          <w:sz w:val="32"/>
        </w:rPr>
        <w:t>其他乘数</w:t>
      </w:r>
    </w:p>
    <w:p>
      <w:pPr>
        <w:framePr w:w="1430" w:x="4889" w:y="7020"/>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市场法</w:t>
      </w:r>
    </w:p>
    <w:p>
      <w:pPr>
        <w:framePr w:w="2698" w:x="7828" w:y="916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（五）其他章节</w:t>
      </w:r>
    </w:p>
    <w:p>
      <w:pPr>
        <w:framePr w:w="3648" w:x="3334" w:y="963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投资价值评估方法思路</w:t>
      </w:r>
    </w:p>
    <w:p>
      <w:pPr>
        <w:framePr w:w="14573" w:x="2701" w:y="10099"/>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20"/>
          <w:sz w:val="32"/>
        </w:rPr>
        <w:t>总体思路是通过三个资产组层次评估反映的。分为两种技术途径：“直接”（或“加法”）</w:t>
      </w:r>
    </w:p>
    <w:p>
      <w:pPr>
        <w:framePr w:w="14573" w:x="2701" w:y="10099"/>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和“间接”（或“减法”）。</w:t>
      </w:r>
    </w:p>
    <w:p>
      <w:pPr>
        <w:framePr w:w="3014" w:x="3331" w:y="1103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三个资产组层次：</w:t>
      </w:r>
    </w:p>
    <w:p>
      <w:pPr>
        <w:framePr w:w="6127" w:x="3331" w:y="11503"/>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资产组</w:t>
      </w:r>
      <w:r>
        <w:rPr>
          <w:rFonts w:ascii="Times New Roman"/>
          <w:color w:val="000000"/>
          <w:spacing w:val="-4"/>
          <w:sz w:val="32"/>
        </w:rPr>
        <w:t xml:space="preserve"> </w:t>
      </w:r>
      <w:r>
        <w:rPr>
          <w:rFonts w:ascii="Calibri"/>
          <w:color w:val="000000"/>
          <w:spacing w:val="-2"/>
          <w:sz w:val="32"/>
        </w:rPr>
        <w:t>A</w:t>
      </w:r>
      <w:r>
        <w:rPr>
          <w:rFonts w:ascii="SimSun" w:hAnsi="SimSun" w:cs="SimSun"/>
          <w:color w:val="000000"/>
          <w:spacing w:val="-3"/>
          <w:sz w:val="32"/>
        </w:rPr>
        <w:t>：投资方自有的资产和资源；</w:t>
      </w:r>
    </w:p>
    <w:p>
      <w:pPr>
        <w:framePr w:w="9213" w:x="3331" w:y="1197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资产组</w:t>
      </w:r>
      <w:r>
        <w:rPr>
          <w:rFonts w:ascii="Times New Roman"/>
          <w:color w:val="000000"/>
          <w:spacing w:val="-4"/>
          <w:sz w:val="32"/>
        </w:rPr>
        <w:t xml:space="preserve"> </w:t>
      </w:r>
      <w:r>
        <w:rPr>
          <w:rFonts w:ascii="Calibri"/>
          <w:color w:val="000000"/>
          <w:spacing w:val="-1"/>
          <w:sz w:val="32"/>
        </w:rPr>
        <w:t>B</w:t>
      </w:r>
      <w:r>
        <w:rPr>
          <w:rFonts w:ascii="SimSun" w:hAnsi="SimSun" w:cs="SimSun"/>
          <w:color w:val="000000"/>
          <w:spacing w:val="-3"/>
          <w:sz w:val="32"/>
        </w:rPr>
        <w:t>：被投资并购的资产，即目标资产；</w:t>
      </w:r>
    </w:p>
    <w:p>
      <w:pPr>
        <w:framePr w:w="9213" w:x="3331" w:y="1197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资产组</w:t>
      </w:r>
      <w:r>
        <w:rPr>
          <w:rFonts w:ascii="Times New Roman"/>
          <w:color w:val="000000"/>
          <w:spacing w:val="-4"/>
          <w:sz w:val="32"/>
        </w:rPr>
        <w:t xml:space="preserve"> </w:t>
      </w:r>
      <w:r>
        <w:rPr>
          <w:rFonts w:ascii="Calibri"/>
          <w:color w:val="000000"/>
          <w:spacing w:val="-1"/>
          <w:sz w:val="32"/>
        </w:rPr>
        <w:t>C</w:t>
      </w:r>
      <w:r>
        <w:rPr>
          <w:rFonts w:ascii="SimSun" w:hAnsi="SimSun" w:cs="SimSun"/>
          <w:color w:val="000000"/>
          <w:spacing w:val="-5"/>
          <w:sz w:val="32"/>
        </w:rPr>
        <w:t>：投资并购后形成或产生的资产组，即“</w:t>
      </w:r>
      <w:r>
        <w:rPr>
          <w:rFonts w:ascii="Calibri"/>
          <w:color w:val="000000"/>
          <w:spacing w:val="-2"/>
          <w:sz w:val="32"/>
        </w:rPr>
        <w:t>A+B</w:t>
      </w:r>
      <w:r>
        <w:rPr>
          <w:rFonts w:ascii="SimSun" w:hAnsi="SimSun" w:cs="SimSun"/>
          <w:color w:val="000000"/>
          <w:spacing w:val="-3"/>
          <w:sz w:val="32"/>
        </w:rPr>
        <w:t>”；</w:t>
      </w:r>
    </w:p>
    <w:p>
      <w:pPr>
        <w:framePr w:w="9213" w:x="3331" w:y="11971"/>
        <w:widowControl w:val="0"/>
        <w:autoSpaceDE w:val="0"/>
        <w:autoSpaceDN w:val="0"/>
        <w:spacing w:before="138" w:after="0" w:line="330" w:lineRule="exact"/>
        <w:ind w:left="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1</w:t>
      </w:r>
      <w:r>
        <w:rPr>
          <w:rFonts w:ascii="SimSun" w:hAnsi="SimSun" w:cs="SimSun"/>
          <w:color w:val="000000"/>
          <w:spacing w:val="-3"/>
          <w:sz w:val="32"/>
        </w:rPr>
        <w:t>）“加法”技术路径</w:t>
      </w:r>
    </w:p>
    <w:p>
      <w:pPr>
        <w:framePr w:w="963" w:x="3388" w:y="13322"/>
        <w:widowControl w:val="0"/>
        <w:autoSpaceDE w:val="0"/>
        <w:autoSpaceDN w:val="0"/>
        <w:spacing w:before="0" w:after="0" w:line="364" w:lineRule="exact"/>
        <w:ind w:left="0" w:right="0" w:firstLine="0"/>
        <w:jc w:val="left"/>
        <w:rPr>
          <w:rFonts w:ascii="Times New Roman"/>
          <w:color w:val="000000"/>
          <w:spacing w:val="0"/>
          <w:sz w:val="35"/>
        </w:rPr>
      </w:pPr>
      <w:r>
        <w:rPr>
          <w:rFonts w:ascii="GNDKTA+Symbol" w:hAnsi="GNDKTA+Symbol" w:cs="GNDKTA+Symbol"/>
          <w:color w:val="000000"/>
          <w:spacing w:val="10"/>
          <w:sz w:val="35"/>
        </w:rPr>
        <w:sym w:font="GNDKTA+Symbol" w:char="F044"/>
      </w:r>
      <w:r>
        <w:rPr>
          <w:rFonts w:ascii="APPATW+Nimbus Roman No9 L Regular Ital"/>
          <w:color w:val="000000"/>
          <w:spacing w:val="0"/>
          <w:sz w:val="35"/>
        </w:rPr>
        <w:t>V</w:t>
      </w:r>
    </w:p>
    <w:p>
      <w:pPr>
        <w:framePr w:w="7308" w:x="3932" w:y="13379"/>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：资产组</w:t>
      </w:r>
      <w:r>
        <w:rPr>
          <w:rFonts w:ascii="Times New Roman"/>
          <w:color w:val="000000"/>
          <w:spacing w:val="-8"/>
          <w:sz w:val="32"/>
        </w:rPr>
        <w:t xml:space="preserve"> </w:t>
      </w:r>
      <w:r>
        <w:rPr>
          <w:rFonts w:ascii="Calibri"/>
          <w:color w:val="000000"/>
          <w:spacing w:val="0"/>
          <w:sz w:val="32"/>
        </w:rPr>
        <w:t>B</w:t>
      </w:r>
      <w:r>
        <w:rPr>
          <w:rFonts w:ascii="Times New Roman"/>
          <w:color w:val="000000"/>
          <w:spacing w:val="-2"/>
          <w:sz w:val="32"/>
        </w:rPr>
        <w:t xml:space="preserve"> </w:t>
      </w:r>
      <w:r>
        <w:rPr>
          <w:rFonts w:ascii="SimSun" w:hAnsi="SimSun" w:cs="SimSun"/>
          <w:color w:val="000000"/>
          <w:spacing w:val="-3"/>
          <w:sz w:val="32"/>
        </w:rPr>
        <w:t>很对资产组</w:t>
      </w:r>
      <w:r>
        <w:rPr>
          <w:rFonts w:ascii="Times New Roman"/>
          <w:color w:val="000000"/>
          <w:spacing w:val="-11"/>
          <w:sz w:val="32"/>
        </w:rPr>
        <w:t xml:space="preserve"> </w:t>
      </w:r>
      <w:r>
        <w:rPr>
          <w:rFonts w:ascii="Calibri"/>
          <w:color w:val="000000"/>
          <w:spacing w:val="0"/>
          <w:sz w:val="32"/>
        </w:rPr>
        <w:t>A</w:t>
      </w:r>
      <w:r>
        <w:rPr>
          <w:rFonts w:ascii="Times New Roman"/>
          <w:color w:val="000000"/>
          <w:spacing w:val="-6"/>
          <w:sz w:val="32"/>
        </w:rPr>
        <w:t xml:space="preserve"> </w:t>
      </w:r>
      <w:r>
        <w:rPr>
          <w:rFonts w:ascii="SimSun" w:hAnsi="SimSun" w:cs="SimSun"/>
          <w:color w:val="000000"/>
          <w:spacing w:val="-3"/>
          <w:sz w:val="32"/>
        </w:rPr>
        <w:t>的净协同效应价值。</w:t>
      </w:r>
    </w:p>
    <w:p>
      <w:pPr>
        <w:framePr w:w="13557" w:x="3331" w:y="13844"/>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则：资产组</w:t>
      </w:r>
      <w:r>
        <w:rPr>
          <w:rFonts w:ascii="Times New Roman"/>
          <w:color w:val="000000"/>
          <w:spacing w:val="-8"/>
          <w:sz w:val="32"/>
        </w:rPr>
        <w:t xml:space="preserve"> </w:t>
      </w:r>
      <w:r>
        <w:rPr>
          <w:rFonts w:ascii="Calibri"/>
          <w:color w:val="000000"/>
          <w:spacing w:val="0"/>
          <w:sz w:val="32"/>
        </w:rPr>
        <w:t>B</w:t>
      </w:r>
      <w:r>
        <w:rPr>
          <w:rFonts w:ascii="Times New Roman"/>
          <w:color w:val="000000"/>
          <w:spacing w:val="-6"/>
          <w:sz w:val="32"/>
        </w:rPr>
        <w:t xml:space="preserve"> </w:t>
      </w:r>
      <w:r>
        <w:rPr>
          <w:rFonts w:ascii="SimSun" w:hAnsi="SimSun" w:cs="SimSun"/>
          <w:color w:val="000000"/>
          <w:spacing w:val="-4"/>
          <w:sz w:val="32"/>
        </w:rPr>
        <w:t>的投资价值</w:t>
      </w:r>
      <w:r>
        <w:rPr>
          <w:rFonts w:ascii="Calibri"/>
          <w:color w:val="000000"/>
          <w:spacing w:val="-5"/>
          <w:sz w:val="32"/>
        </w:rPr>
        <w:t>=</w:t>
      </w:r>
      <w:r>
        <w:rPr>
          <w:rFonts w:ascii="SimSun" w:hAnsi="SimSun" w:cs="SimSun"/>
          <w:color w:val="000000"/>
          <w:spacing w:val="-3"/>
          <w:sz w:val="32"/>
        </w:rPr>
        <w:t>资产组</w:t>
      </w:r>
      <w:r>
        <w:rPr>
          <w:rFonts w:ascii="Times New Roman"/>
          <w:color w:val="000000"/>
          <w:spacing w:val="-5"/>
          <w:sz w:val="32"/>
        </w:rPr>
        <w:t xml:space="preserve"> </w:t>
      </w:r>
      <w:r>
        <w:rPr>
          <w:rFonts w:ascii="Calibri"/>
          <w:color w:val="000000"/>
          <w:spacing w:val="0"/>
          <w:sz w:val="32"/>
        </w:rPr>
        <w:t>B</w:t>
      </w:r>
      <w:r>
        <w:rPr>
          <w:rFonts w:ascii="Times New Roman"/>
          <w:color w:val="000000"/>
          <w:spacing w:val="-6"/>
          <w:sz w:val="32"/>
        </w:rPr>
        <w:t xml:space="preserve"> </w:t>
      </w:r>
      <w:r>
        <w:rPr>
          <w:rFonts w:ascii="SimSun" w:hAnsi="SimSun" w:cs="SimSun"/>
          <w:color w:val="000000"/>
          <w:spacing w:val="-3"/>
          <w:sz w:val="32"/>
        </w:rPr>
        <w:t>的市场价值</w:t>
      </w:r>
      <w:r>
        <w:rPr>
          <w:rFonts w:ascii="Times New Roman"/>
          <w:color w:val="000000"/>
          <w:spacing w:val="-7"/>
          <w:sz w:val="32"/>
        </w:rPr>
        <w:t xml:space="preserve"> </w:t>
      </w:r>
      <w:r>
        <w:rPr>
          <w:rFonts w:ascii="Calibri"/>
          <w:color w:val="000000"/>
          <w:spacing w:val="0"/>
          <w:sz w:val="32"/>
        </w:rPr>
        <w:t>V</w:t>
      </w:r>
      <w:r>
        <w:rPr>
          <w:rFonts w:ascii="Times New Roman"/>
          <w:color w:val="000000"/>
          <w:spacing w:val="30"/>
          <w:sz w:val="32"/>
        </w:rPr>
        <w:t xml:space="preserve"> </w:t>
      </w:r>
      <w:r>
        <w:rPr>
          <w:rFonts w:ascii="Calibri"/>
          <w:color w:val="000000"/>
          <w:spacing w:val="-5"/>
          <w:sz w:val="32"/>
        </w:rPr>
        <w:t>+</w:t>
      </w:r>
      <w:r>
        <w:rPr>
          <w:rFonts w:ascii="SimSun" w:hAnsi="SimSun" w:cs="SimSun"/>
          <w:color w:val="000000"/>
          <w:spacing w:val="-3"/>
          <w:sz w:val="32"/>
        </w:rPr>
        <w:t>资产组</w:t>
      </w:r>
      <w:r>
        <w:rPr>
          <w:rFonts w:ascii="Times New Roman"/>
          <w:color w:val="000000"/>
          <w:spacing w:val="-4"/>
          <w:sz w:val="32"/>
        </w:rPr>
        <w:t xml:space="preserve"> </w:t>
      </w:r>
      <w:r>
        <w:rPr>
          <w:rFonts w:ascii="Calibri"/>
          <w:color w:val="000000"/>
          <w:spacing w:val="0"/>
          <w:sz w:val="32"/>
        </w:rPr>
        <w:t>B</w:t>
      </w:r>
      <w:r>
        <w:rPr>
          <w:rFonts w:ascii="Times New Roman"/>
          <w:color w:val="000000"/>
          <w:spacing w:val="-5"/>
          <w:sz w:val="32"/>
        </w:rPr>
        <w:t xml:space="preserve"> </w:t>
      </w:r>
      <w:r>
        <w:rPr>
          <w:rFonts w:ascii="SimSun" w:hAnsi="SimSun" w:cs="SimSun"/>
          <w:color w:val="000000"/>
          <w:spacing w:val="-3"/>
          <w:sz w:val="32"/>
        </w:rPr>
        <w:t>针对资产组</w:t>
      </w:r>
      <w:r>
        <w:rPr>
          <w:rFonts w:ascii="Times New Roman"/>
          <w:color w:val="000000"/>
          <w:spacing w:val="-7"/>
          <w:sz w:val="32"/>
        </w:rPr>
        <w:t xml:space="preserve"> </w:t>
      </w:r>
      <w:r>
        <w:rPr>
          <w:rFonts w:ascii="Calibri"/>
          <w:color w:val="000000"/>
          <w:spacing w:val="0"/>
          <w:sz w:val="32"/>
        </w:rPr>
        <w:t>A</w:t>
      </w:r>
      <w:r>
        <w:rPr>
          <w:rFonts w:ascii="Times New Roman"/>
          <w:color w:val="000000"/>
          <w:spacing w:val="-6"/>
          <w:sz w:val="32"/>
        </w:rPr>
        <w:t xml:space="preserve"> </w:t>
      </w:r>
      <w:r>
        <w:rPr>
          <w:rFonts w:ascii="SimSun" w:hAnsi="SimSun" w:cs="SimSun"/>
          <w:color w:val="000000"/>
          <w:spacing w:val="-3"/>
          <w:sz w:val="32"/>
        </w:rPr>
        <w:t>的协同效应</w:t>
      </w:r>
    </w:p>
    <w:p>
      <w:pPr>
        <w:framePr w:w="429" w:x="10078" w:y="14081"/>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B</w:t>
      </w:r>
    </w:p>
    <w:p>
      <w:pPr>
        <w:framePr w:w="963" w:x="3388" w:y="14258"/>
        <w:widowControl w:val="0"/>
        <w:autoSpaceDE w:val="0"/>
        <w:autoSpaceDN w:val="0"/>
        <w:spacing w:before="0" w:after="0" w:line="364" w:lineRule="exact"/>
        <w:ind w:left="0" w:right="0" w:firstLine="0"/>
        <w:jc w:val="left"/>
        <w:rPr>
          <w:rFonts w:ascii="Times New Roman"/>
          <w:color w:val="000000"/>
          <w:spacing w:val="0"/>
          <w:sz w:val="35"/>
        </w:rPr>
      </w:pPr>
      <w:r>
        <w:rPr>
          <w:rFonts w:ascii="GNDKTA+Symbol" w:hAnsi="GNDKTA+Symbol" w:cs="GNDKTA+Symbol"/>
          <w:color w:val="000000"/>
          <w:spacing w:val="10"/>
          <w:sz w:val="35"/>
        </w:rPr>
        <w:sym w:font="GNDKTA+Symbol" w:char="F044"/>
      </w:r>
      <w:r>
        <w:rPr>
          <w:rFonts w:ascii="APPATW+Nimbus Roman No9 L Regular Ital"/>
          <w:color w:val="000000"/>
          <w:spacing w:val="0"/>
          <w:sz w:val="35"/>
        </w:rPr>
        <w:t>V</w:t>
      </w:r>
    </w:p>
    <w:p>
      <w:pPr>
        <w:framePr w:w="1114" w:x="2701" w:y="1431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价值</w:t>
      </w:r>
    </w:p>
    <w:p>
      <w:pPr>
        <w:framePr w:w="13678" w:x="3331" w:y="1478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10"/>
          <w:sz w:val="32"/>
        </w:rPr>
        <w:t>实际操作中的做法：无需单独估算协同效应价值，而是在资产组</w:t>
      </w:r>
      <w:r>
        <w:rPr>
          <w:rFonts w:ascii="Times New Roman"/>
          <w:color w:val="000000"/>
          <w:spacing w:val="-4"/>
          <w:sz w:val="32"/>
        </w:rPr>
        <w:t xml:space="preserve"> </w:t>
      </w:r>
      <w:r>
        <w:rPr>
          <w:rFonts w:ascii="Calibri"/>
          <w:color w:val="000000"/>
          <w:spacing w:val="0"/>
          <w:sz w:val="32"/>
        </w:rPr>
        <w:t>B</w:t>
      </w:r>
      <w:r>
        <w:rPr>
          <w:rFonts w:ascii="Times New Roman"/>
          <w:color w:val="000000"/>
          <w:spacing w:val="-2"/>
          <w:sz w:val="32"/>
        </w:rPr>
        <w:t xml:space="preserve"> </w:t>
      </w:r>
      <w:r>
        <w:rPr>
          <w:rFonts w:ascii="SimSun" w:hAnsi="SimSun" w:cs="SimSun"/>
          <w:color w:val="000000"/>
          <w:spacing w:val="-3"/>
          <w:sz w:val="32"/>
        </w:rPr>
        <w:t>的市场价值评估模型</w:t>
      </w:r>
    </w:p>
    <w:p>
      <w:pPr>
        <w:framePr w:w="14346" w:x="2701" w:y="15248"/>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
          <w:sz w:val="32"/>
        </w:rPr>
        <w:t>中，直接将协同效应影响的评估参数进行测算，获得资产组</w:t>
      </w:r>
      <w:r>
        <w:rPr>
          <w:rFonts w:ascii="Calibri"/>
          <w:color w:val="000000"/>
          <w:spacing w:val="0"/>
          <w:sz w:val="32"/>
        </w:rPr>
        <w:t>B</w:t>
      </w:r>
      <w:r>
        <w:rPr>
          <w:rFonts w:ascii="Times New Roman"/>
          <w:color w:val="000000"/>
          <w:spacing w:val="-2"/>
          <w:sz w:val="32"/>
        </w:rPr>
        <w:t xml:space="preserve"> </w:t>
      </w:r>
      <w:r>
        <w:rPr>
          <w:rFonts w:ascii="SimSun" w:hAnsi="SimSun" w:cs="SimSun"/>
          <w:color w:val="000000"/>
          <w:spacing w:val="-3"/>
          <w:sz w:val="32"/>
        </w:rPr>
        <w:t>的投资价值。</w:t>
      </w:r>
    </w:p>
    <w:p>
      <w:pPr>
        <w:framePr w:w="14346" w:x="2701" w:y="15248"/>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适用情形：在公司控股并购的情况下，并购完成后并购公司与目标公司星形成“母子关</w:t>
      </w:r>
    </w:p>
    <w:p>
      <w:pPr>
        <w:framePr w:w="14346" w:x="2701" w:y="1524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系”，两者仍然是两个独立的法人和经济实体。此时，宜采用加法途径。</w:t>
      </w:r>
    </w:p>
    <w:p>
      <w:pPr>
        <w:framePr w:w="14346" w:x="2701" w:y="15248"/>
        <w:widowControl w:val="0"/>
        <w:autoSpaceDE w:val="0"/>
        <w:autoSpaceDN w:val="0"/>
        <w:spacing w:before="138" w:after="0" w:line="330" w:lineRule="exact"/>
        <w:ind w:left="630" w:right="0" w:firstLine="0"/>
        <w:jc w:val="left"/>
        <w:rPr>
          <w:rFonts w:ascii="Times New Roman"/>
          <w:color w:val="000000"/>
          <w:spacing w:val="0"/>
          <w:sz w:val="32"/>
        </w:rPr>
      </w:pPr>
      <w:r>
        <w:rPr>
          <w:rFonts w:ascii="SimSun" w:hAnsi="SimSun" w:cs="SimSun"/>
          <w:color w:val="000000"/>
          <w:spacing w:val="-3"/>
          <w:sz w:val="32"/>
        </w:rPr>
        <w:t>（</w:t>
      </w:r>
      <w:r>
        <w:rPr>
          <w:rFonts w:ascii="Calibri"/>
          <w:color w:val="000000"/>
          <w:spacing w:val="-4"/>
          <w:sz w:val="32"/>
        </w:rPr>
        <w:t>2</w:t>
      </w:r>
      <w:r>
        <w:rPr>
          <w:rFonts w:ascii="SimSun" w:hAnsi="SimSun" w:cs="SimSun"/>
          <w:color w:val="000000"/>
          <w:spacing w:val="-3"/>
          <w:sz w:val="32"/>
        </w:rPr>
        <w:t>）“减法”技术路径</w:t>
      </w:r>
    </w:p>
    <w:p>
      <w:pPr>
        <w:framePr w:w="10856" w:x="3331" w:y="17120"/>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3"/>
          <w:sz w:val="32"/>
        </w:rPr>
        <w:t>资产组</w:t>
      </w:r>
      <w:r>
        <w:rPr>
          <w:rFonts w:ascii="Times New Roman"/>
          <w:color w:val="000000"/>
          <w:spacing w:val="-4"/>
          <w:sz w:val="32"/>
        </w:rPr>
        <w:t xml:space="preserve"> </w:t>
      </w:r>
      <w:r>
        <w:rPr>
          <w:rFonts w:ascii="Calibri"/>
          <w:color w:val="000000"/>
          <w:spacing w:val="0"/>
          <w:sz w:val="32"/>
        </w:rPr>
        <w:t>B</w:t>
      </w:r>
      <w:r>
        <w:rPr>
          <w:rFonts w:ascii="Times New Roman"/>
          <w:color w:val="000000"/>
          <w:spacing w:val="-6"/>
          <w:sz w:val="32"/>
        </w:rPr>
        <w:t xml:space="preserve"> </w:t>
      </w:r>
      <w:r>
        <w:rPr>
          <w:rFonts w:ascii="SimSun" w:hAnsi="SimSun" w:cs="SimSun"/>
          <w:color w:val="000000"/>
          <w:spacing w:val="-4"/>
          <w:sz w:val="32"/>
        </w:rPr>
        <w:t>的投资价值</w:t>
      </w:r>
      <w:r>
        <w:rPr>
          <w:rFonts w:ascii="Calibri"/>
          <w:color w:val="000000"/>
          <w:spacing w:val="-5"/>
          <w:sz w:val="32"/>
        </w:rPr>
        <w:t>=</w:t>
      </w:r>
      <w:r>
        <w:rPr>
          <w:rFonts w:ascii="SimSun" w:hAnsi="SimSun" w:cs="SimSun"/>
          <w:color w:val="000000"/>
          <w:spacing w:val="-3"/>
          <w:sz w:val="32"/>
        </w:rPr>
        <w:t>资产组</w:t>
      </w:r>
      <w:r>
        <w:rPr>
          <w:rFonts w:ascii="Times New Roman"/>
          <w:color w:val="000000"/>
          <w:spacing w:val="-5"/>
          <w:sz w:val="32"/>
        </w:rPr>
        <w:t xml:space="preserve"> </w:t>
      </w:r>
      <w:r>
        <w:rPr>
          <w:rFonts w:ascii="Calibri"/>
          <w:color w:val="000000"/>
          <w:spacing w:val="0"/>
          <w:sz w:val="32"/>
        </w:rPr>
        <w:t>C</w:t>
      </w:r>
      <w:r>
        <w:rPr>
          <w:rFonts w:ascii="Times New Roman"/>
          <w:color w:val="000000"/>
          <w:spacing w:val="-6"/>
          <w:sz w:val="32"/>
        </w:rPr>
        <w:t xml:space="preserve"> </w:t>
      </w:r>
      <w:r>
        <w:rPr>
          <w:rFonts w:ascii="SimSun" w:hAnsi="SimSun" w:cs="SimSun"/>
          <w:color w:val="000000"/>
          <w:spacing w:val="-3"/>
          <w:sz w:val="32"/>
        </w:rPr>
        <w:t>的市场价值</w:t>
      </w:r>
      <w:r>
        <w:rPr>
          <w:rFonts w:ascii="Times New Roman"/>
          <w:color w:val="000000"/>
          <w:spacing w:val="-8"/>
          <w:sz w:val="32"/>
        </w:rPr>
        <w:t xml:space="preserve"> </w:t>
      </w:r>
      <w:r>
        <w:rPr>
          <w:rFonts w:ascii="Calibri"/>
          <w:color w:val="000000"/>
          <w:spacing w:val="0"/>
          <w:sz w:val="32"/>
        </w:rPr>
        <w:t>V</w:t>
      </w:r>
      <w:r>
        <w:rPr>
          <w:rFonts w:ascii="Times New Roman"/>
          <w:color w:val="000000"/>
          <w:spacing w:val="31"/>
          <w:sz w:val="32"/>
        </w:rPr>
        <w:t xml:space="preserve"> </w:t>
      </w:r>
      <w:r>
        <w:rPr>
          <w:rFonts w:ascii="Calibri"/>
          <w:color w:val="000000"/>
          <w:spacing w:val="-4"/>
          <w:sz w:val="32"/>
        </w:rPr>
        <w:t>-</w:t>
      </w:r>
      <w:r>
        <w:rPr>
          <w:rFonts w:ascii="SimSun" w:hAnsi="SimSun" w:cs="SimSun"/>
          <w:color w:val="000000"/>
          <w:spacing w:val="-3"/>
          <w:sz w:val="32"/>
        </w:rPr>
        <w:t>资产组</w:t>
      </w:r>
      <w:r>
        <w:rPr>
          <w:rFonts w:ascii="Times New Roman"/>
          <w:color w:val="000000"/>
          <w:spacing w:val="-5"/>
          <w:sz w:val="32"/>
        </w:rPr>
        <w:t xml:space="preserve"> </w:t>
      </w:r>
      <w:r>
        <w:rPr>
          <w:rFonts w:ascii="Calibri"/>
          <w:color w:val="000000"/>
          <w:spacing w:val="0"/>
          <w:sz w:val="32"/>
        </w:rPr>
        <w:t>A</w:t>
      </w:r>
      <w:r>
        <w:rPr>
          <w:rFonts w:ascii="Times New Roman"/>
          <w:color w:val="000000"/>
          <w:spacing w:val="-6"/>
          <w:sz w:val="32"/>
        </w:rPr>
        <w:t xml:space="preserve"> </w:t>
      </w:r>
      <w:r>
        <w:rPr>
          <w:rFonts w:ascii="SimSun" w:hAnsi="SimSun" w:cs="SimSun"/>
          <w:color w:val="000000"/>
          <w:spacing w:val="-3"/>
          <w:sz w:val="32"/>
        </w:rPr>
        <w:t>的市场价值</w:t>
      </w:r>
      <w:r>
        <w:rPr>
          <w:rFonts w:ascii="Times New Roman"/>
          <w:color w:val="000000"/>
          <w:spacing w:val="-8"/>
          <w:sz w:val="32"/>
        </w:rPr>
        <w:t xml:space="preserve"> </w:t>
      </w:r>
      <w:r>
        <w:rPr>
          <w:rFonts w:ascii="Calibri"/>
          <w:color w:val="000000"/>
          <w:spacing w:val="0"/>
          <w:sz w:val="32"/>
        </w:rPr>
        <w:t>V</w:t>
      </w:r>
    </w:p>
    <w:p>
      <w:pPr>
        <w:framePr w:w="426" w:x="9444" w:y="17357"/>
        <w:widowControl w:val="0"/>
        <w:autoSpaceDE w:val="0"/>
        <w:autoSpaceDN w:val="0"/>
        <w:spacing w:before="0" w:after="0" w:line="218" w:lineRule="exact"/>
        <w:ind w:left="0" w:right="0" w:firstLine="0"/>
        <w:jc w:val="left"/>
        <w:rPr>
          <w:rFonts w:ascii="Times New Roman"/>
          <w:color w:val="000000"/>
          <w:spacing w:val="0"/>
          <w:sz w:val="21"/>
        </w:rPr>
      </w:pPr>
      <w:r>
        <w:rPr>
          <w:rFonts w:ascii="Calibri"/>
          <w:color w:val="000000"/>
          <w:spacing w:val="0"/>
          <w:sz w:val="21"/>
        </w:rPr>
        <w:t>C</w:t>
      </w:r>
    </w:p>
    <w:p>
      <w:pPr>
        <w:framePr w:w="14208" w:x="3331" w:y="17357"/>
        <w:widowControl w:val="0"/>
        <w:autoSpaceDE w:val="0"/>
        <w:autoSpaceDN w:val="0"/>
        <w:spacing w:before="0" w:after="0" w:line="218" w:lineRule="exact"/>
        <w:ind w:left="9441" w:right="0" w:firstLine="0"/>
        <w:jc w:val="left"/>
        <w:rPr>
          <w:rFonts w:ascii="Times New Roman"/>
          <w:color w:val="000000"/>
          <w:spacing w:val="0"/>
          <w:sz w:val="21"/>
        </w:rPr>
      </w:pPr>
      <w:r>
        <w:rPr>
          <w:rFonts w:ascii="Calibri"/>
          <w:color w:val="000000"/>
          <w:spacing w:val="0"/>
          <w:sz w:val="21"/>
        </w:rPr>
        <w:t>A</w:t>
      </w:r>
    </w:p>
    <w:p>
      <w:pPr>
        <w:framePr w:w="14208" w:x="3331" w:y="17357"/>
        <w:widowControl w:val="0"/>
        <w:autoSpaceDE w:val="0"/>
        <w:autoSpaceDN w:val="0"/>
        <w:spacing w:before="12" w:after="0" w:line="317" w:lineRule="exact"/>
        <w:ind w:left="0" w:right="0" w:firstLine="0"/>
        <w:jc w:val="left"/>
        <w:rPr>
          <w:rFonts w:ascii="Times New Roman"/>
          <w:color w:val="000000"/>
          <w:spacing w:val="0"/>
          <w:sz w:val="32"/>
        </w:rPr>
      </w:pPr>
      <w:r>
        <w:rPr>
          <w:rFonts w:ascii="SimSun" w:hAnsi="SimSun" w:cs="SimSun"/>
          <w:color w:val="000000"/>
          <w:spacing w:val="-12"/>
          <w:sz w:val="32"/>
        </w:rPr>
        <w:t>两者方法区别，前者通过计算协同效应价值得出结论，而后者不需要计算协同效应价值。</w:t>
      </w:r>
    </w:p>
    <w:p>
      <w:pPr>
        <w:framePr w:w="4736" w:x="3331" w:y="1805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评估方法选择考虑的主要因素</w:t>
      </w:r>
    </w:p>
    <w:p>
      <w:pPr>
        <w:framePr w:w="13844" w:x="3331" w:y="1852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7"/>
          <w:sz w:val="32"/>
        </w:rPr>
        <w:t>三种基本方法分别为收益法（基于现代价值理论的内在估值法）、成本法（基于资产负</w:t>
      </w:r>
    </w:p>
    <w:p>
      <w:pPr>
        <w:framePr w:w="13844" w:x="3331" w:y="185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债表）、市场法（基于市场科比公司和交易案例）。</w:t>
      </w:r>
    </w:p>
    <w:p>
      <w:pPr>
        <w:framePr w:w="11378" w:x="5257" w:y="19475"/>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①本身适用性和</w:t>
      </w:r>
      <w:r>
        <w:rPr>
          <w:rFonts w:ascii="Times New Roman"/>
          <w:color w:val="000000"/>
          <w:spacing w:val="263"/>
          <w:sz w:val="32"/>
        </w:rPr>
        <w:t xml:space="preserve"> </w:t>
      </w:r>
      <w:r>
        <w:rPr>
          <w:rFonts w:ascii="SimSun" w:hAnsi="SimSun" w:cs="SimSun"/>
          <w:color w:val="000000"/>
          <w:spacing w:val="-3"/>
          <w:sz w:val="32"/>
        </w:rPr>
        <w:t>②投资并购对象</w:t>
      </w:r>
      <w:r>
        <w:rPr>
          <w:rFonts w:ascii="Times New Roman"/>
          <w:color w:val="000000"/>
          <w:spacing w:val="262"/>
          <w:sz w:val="32"/>
        </w:rPr>
        <w:t xml:space="preserve"> </w:t>
      </w:r>
      <w:r>
        <w:rPr>
          <w:rFonts w:ascii="SimSun" w:hAnsi="SimSun" w:cs="SimSun"/>
          <w:color w:val="000000"/>
          <w:spacing w:val="-3"/>
          <w:sz w:val="32"/>
        </w:rPr>
        <w:t>③企业投资并购</w:t>
      </w:r>
      <w:r>
        <w:rPr>
          <w:rFonts w:ascii="Times New Roman"/>
          <w:color w:val="000000"/>
          <w:spacing w:val="258"/>
          <w:sz w:val="32"/>
        </w:rPr>
        <w:t xml:space="preserve"> </w:t>
      </w:r>
      <w:r>
        <w:rPr>
          <w:rFonts w:ascii="SimSun" w:hAnsi="SimSun" w:cs="SimSun"/>
          <w:color w:val="000000"/>
          <w:spacing w:val="-3"/>
          <w:sz w:val="32"/>
        </w:rPr>
        <w:t>④企业投资并购</w:t>
      </w:r>
    </w:p>
    <w:p>
      <w:pPr>
        <w:framePr w:w="1747" w:x="5257" w:y="199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前提条件</w:t>
      </w:r>
    </w:p>
    <w:p>
      <w:pPr>
        <w:framePr w:w="2698" w:x="7817" w:y="19943"/>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（单项收益资</w:t>
      </w:r>
    </w:p>
    <w:p>
      <w:pPr>
        <w:framePr w:w="2698" w:x="7817" w:y="1994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产；业务单元；</w:t>
      </w:r>
    </w:p>
    <w:p>
      <w:pPr>
        <w:framePr w:w="2698" w:x="7817" w:y="1994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公司）</w:t>
      </w:r>
    </w:p>
    <w:p>
      <w:pPr>
        <w:framePr w:w="2691" w:x="12933" w:y="20411"/>
        <w:widowControl w:val="0"/>
        <w:autoSpaceDE w:val="0"/>
        <w:autoSpaceDN w:val="0"/>
        <w:spacing w:before="0" w:after="0" w:line="330" w:lineRule="exact"/>
        <w:ind w:left="0" w:right="0" w:firstLine="0"/>
        <w:jc w:val="left"/>
        <w:rPr>
          <w:rFonts w:ascii="Times New Roman"/>
          <w:color w:val="000000"/>
          <w:spacing w:val="0"/>
          <w:sz w:val="32"/>
        </w:rPr>
      </w:pPr>
      <w:r>
        <w:rPr>
          <w:rFonts w:ascii="SimSun" w:hAnsi="SimSun" w:cs="SimSun"/>
          <w:color w:val="000000"/>
          <w:spacing w:val="-2"/>
          <w:sz w:val="32"/>
        </w:rPr>
        <w:t>（</w:t>
      </w:r>
      <w:r>
        <w:rPr>
          <w:rFonts w:ascii="Calibri"/>
          <w:color w:val="000000"/>
          <w:spacing w:val="0"/>
          <w:sz w:val="32"/>
        </w:rPr>
        <w:t>A</w:t>
      </w:r>
      <w:r>
        <w:rPr>
          <w:rFonts w:ascii="Times New Roman"/>
          <w:color w:val="000000"/>
          <w:spacing w:val="-2"/>
          <w:sz w:val="32"/>
        </w:rPr>
        <w:t xml:space="preserve"> </w:t>
      </w:r>
      <w:r>
        <w:rPr>
          <w:rFonts w:ascii="SimSun" w:hAnsi="SimSun" w:cs="SimSun"/>
          <w:color w:val="000000"/>
          <w:spacing w:val="-3"/>
          <w:sz w:val="32"/>
        </w:rPr>
        <w:t>初始阶段；</w:t>
      </w:r>
      <w:r>
        <w:rPr>
          <w:rFonts w:ascii="Calibri"/>
          <w:color w:val="000000"/>
          <w:spacing w:val="0"/>
          <w:sz w:val="32"/>
        </w:rPr>
        <w:t>B</w:t>
      </w:r>
    </w:p>
    <w:p>
      <w:pPr>
        <w:framePr w:w="2691" w:x="12933" w:y="2041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并购定价阶段）</w:t>
      </w:r>
    </w:p>
    <w:p>
      <w:pPr>
        <w:framePr w:w="2691" w:x="12933" w:y="20411"/>
        <w:widowControl w:val="0"/>
        <w:autoSpaceDE w:val="0"/>
        <w:autoSpaceDN w:val="0"/>
        <w:spacing w:before="220" w:after="0" w:line="281" w:lineRule="exact"/>
        <w:ind w:left="0" w:right="0" w:firstLine="0"/>
        <w:jc w:val="left"/>
        <w:rPr>
          <w:rFonts w:ascii="Times New Roman"/>
          <w:color w:val="000000"/>
          <w:spacing w:val="0"/>
          <w:sz w:val="27"/>
        </w:rPr>
      </w:pPr>
      <w:r>
        <w:rPr>
          <w:rFonts w:ascii="Calibri"/>
          <w:color w:val="000000"/>
          <w:spacing w:val="0"/>
          <w:sz w:val="27"/>
        </w:rPr>
        <w:t>B</w:t>
      </w:r>
      <w:r>
        <w:rPr>
          <w:rFonts w:ascii="Times New Roman"/>
          <w:color w:val="000000"/>
          <w:spacing w:val="2"/>
          <w:sz w:val="27"/>
        </w:rPr>
        <w:t xml:space="preserve"> </w:t>
      </w:r>
      <w:r>
        <w:rPr>
          <w:rFonts w:ascii="SimSun" w:hAnsi="SimSun" w:cs="SimSun"/>
          <w:color w:val="000000"/>
          <w:spacing w:val="0"/>
          <w:sz w:val="27"/>
        </w:rPr>
        <w:t>各种收益法评估</w:t>
      </w:r>
    </w:p>
    <w:p>
      <w:pPr>
        <w:framePr w:w="2691" w:x="12933" w:y="20411"/>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的具体方法模型，</w:t>
      </w:r>
    </w:p>
    <w:p>
      <w:pPr>
        <w:framePr w:w="2691" w:x="12933" w:y="20411"/>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都可以使用</w:t>
      </w:r>
    </w:p>
    <w:p>
      <w:pPr>
        <w:framePr w:w="1430" w:x="2701" w:y="21361"/>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收益法</w:t>
      </w:r>
    </w:p>
    <w:p>
      <w:pPr>
        <w:framePr w:w="2565" w:x="5257" w:y="22356"/>
        <w:widowControl w:val="0"/>
        <w:autoSpaceDE w:val="0"/>
        <w:autoSpaceDN w:val="0"/>
        <w:spacing w:before="0" w:after="0" w:line="270" w:lineRule="exact"/>
        <w:ind w:left="0" w:right="0" w:firstLine="0"/>
        <w:jc w:val="left"/>
        <w:rPr>
          <w:rFonts w:ascii="Times New Roman"/>
          <w:color w:val="000000"/>
          <w:spacing w:val="0"/>
          <w:sz w:val="27"/>
        </w:rPr>
      </w:pPr>
      <w:r>
        <w:rPr>
          <w:rFonts w:ascii="SimSun" w:hAnsi="SimSun" w:cs="SimSun"/>
          <w:color w:val="000000"/>
          <w:spacing w:val="0"/>
          <w:sz w:val="27"/>
        </w:rPr>
        <w:t>同效应，故境外评</w:t>
      </w:r>
    </w:p>
    <w:p>
      <w:pPr>
        <w:spacing w:before="0" w:after="0" w:line="0" w:lineRule="atLeast"/>
        <w:ind w:left="0" w:right="0" w:firstLine="0"/>
        <w:jc w:val="left"/>
        <w:rPr>
          <w:rFonts w:ascii="Arial"/>
          <w:color w:val="FF0000"/>
          <w:spacing w:val="0"/>
          <w:sz w:val="2"/>
        </w:rPr>
      </w:pPr>
      <w:r>
        <w:rPr>
          <w:noProof/>
        </w:rPr>
        <w:pict>
          <v:shape id="_x0000_s1050" type="#_x0000_t75" style="width:644pt;height:317pt;margin-top:90.35pt;margin-left:125pt;mso-position-horizontal-relative:page;mso-position-vertical-relative:page;position:absolute;z-index:-251656192">
            <v:imagedata r:id="rId29" o:title=""/>
          </v:shape>
        </w:pict>
      </w:r>
      <w:r>
        <w:rPr>
          <w:noProof/>
        </w:rPr>
        <w:pict>
          <v:shape id="_x0000_s1051" type="#_x0000_t75" style="width:644pt;height:169pt;margin-top:966.1pt;margin-left:125pt;mso-position-horizontal-relative:page;mso-position-vertical-relative:page;position:absolute;z-index:-251657216">
            <v:imagedata r:id="rId30"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2835" w:x="12933" w:y="3907"/>
        <w:widowControl w:val="0"/>
        <w:autoSpaceDE w:val="0"/>
        <w:autoSpaceDN w:val="0"/>
        <w:spacing w:before="0" w:after="0" w:line="281" w:lineRule="exact"/>
        <w:ind w:left="0" w:right="0" w:firstLine="0"/>
        <w:jc w:val="left"/>
        <w:rPr>
          <w:rFonts w:ascii="Times New Roman"/>
          <w:color w:val="000000"/>
          <w:spacing w:val="0"/>
          <w:sz w:val="27"/>
        </w:rPr>
      </w:pPr>
      <w:r>
        <w:rPr>
          <w:rFonts w:ascii="Calibri"/>
          <w:color w:val="000000"/>
          <w:spacing w:val="0"/>
          <w:sz w:val="27"/>
        </w:rPr>
        <w:t>B</w:t>
      </w:r>
      <w:r>
        <w:rPr>
          <w:rFonts w:ascii="Times New Roman"/>
          <w:color w:val="000000"/>
          <w:spacing w:val="2"/>
          <w:sz w:val="27"/>
        </w:rPr>
        <w:t xml:space="preserve"> </w:t>
      </w:r>
      <w:r>
        <w:rPr>
          <w:rFonts w:ascii="SimSun" w:hAnsi="SimSun" w:cs="SimSun"/>
          <w:color w:val="000000"/>
          <w:spacing w:val="0"/>
          <w:sz w:val="27"/>
        </w:rPr>
        <w:t>一般角度来看，</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成本法并不适用并</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购动因的评估，但</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若买方与卖方通常</w:t>
      </w:r>
    </w:p>
    <w:p>
      <w:pPr>
        <w:framePr w:w="2835" w:x="12933" w:y="3907"/>
        <w:widowControl w:val="0"/>
        <w:autoSpaceDE w:val="0"/>
        <w:autoSpaceDN w:val="0"/>
        <w:spacing w:before="187" w:after="0" w:line="281" w:lineRule="exact"/>
        <w:ind w:left="0" w:right="0" w:firstLine="0"/>
        <w:jc w:val="left"/>
        <w:rPr>
          <w:rFonts w:ascii="Times New Roman"/>
          <w:color w:val="000000"/>
          <w:spacing w:val="0"/>
          <w:sz w:val="27"/>
        </w:rPr>
      </w:pPr>
      <w:r>
        <w:rPr>
          <w:rFonts w:ascii="SimSun" w:hAnsi="SimSun" w:cs="SimSun"/>
          <w:color w:val="000000"/>
          <w:spacing w:val="0"/>
          <w:sz w:val="27"/>
        </w:rPr>
        <w:t>的操作是基于</w:t>
      </w:r>
      <w:r>
        <w:rPr>
          <w:rFonts w:ascii="Times New Roman"/>
          <w:color w:val="000000"/>
          <w:spacing w:val="2"/>
          <w:sz w:val="27"/>
        </w:rPr>
        <w:t xml:space="preserve"> </w:t>
      </w:r>
      <w:r>
        <w:rPr>
          <w:rFonts w:ascii="Calibri"/>
          <w:color w:val="000000"/>
          <w:spacing w:val="0"/>
          <w:sz w:val="27"/>
        </w:rPr>
        <w:t>BS</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表进行充值价值评</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8"/>
          <w:sz w:val="27"/>
        </w:rPr>
        <w:t>估，结果只做参考，</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则在持续经营前提</w:t>
      </w:r>
    </w:p>
    <w:p>
      <w:pPr>
        <w:framePr w:w="2835" w:x="12933" w:y="3907"/>
        <w:widowControl w:val="0"/>
        <w:autoSpaceDE w:val="0"/>
        <w:autoSpaceDN w:val="0"/>
        <w:spacing w:before="199" w:after="0" w:line="270" w:lineRule="exact"/>
        <w:ind w:left="0" w:right="0" w:firstLine="0"/>
        <w:jc w:val="left"/>
        <w:rPr>
          <w:rFonts w:ascii="Times New Roman"/>
          <w:color w:val="000000"/>
          <w:spacing w:val="0"/>
          <w:sz w:val="27"/>
        </w:rPr>
      </w:pPr>
      <w:r>
        <w:rPr>
          <w:rFonts w:ascii="SimSun" w:hAnsi="SimSun" w:cs="SimSun"/>
          <w:color w:val="000000"/>
          <w:spacing w:val="0"/>
          <w:sz w:val="27"/>
        </w:rPr>
        <w:t>下，可用次方法</w:t>
      </w:r>
    </w:p>
    <w:p>
      <w:pPr>
        <w:framePr w:w="2835" w:x="12933" w:y="3907"/>
        <w:widowControl w:val="0"/>
        <w:autoSpaceDE w:val="0"/>
        <w:autoSpaceDN w:val="0"/>
        <w:spacing w:before="201" w:after="0" w:line="281" w:lineRule="exact"/>
        <w:ind w:left="0" w:right="0" w:firstLine="0"/>
        <w:jc w:val="left"/>
        <w:rPr>
          <w:rFonts w:ascii="Times New Roman"/>
          <w:color w:val="000000"/>
          <w:spacing w:val="0"/>
          <w:sz w:val="27"/>
        </w:rPr>
      </w:pPr>
      <w:r>
        <w:rPr>
          <w:rFonts w:ascii="Calibri"/>
          <w:color w:val="000000"/>
          <w:spacing w:val="0"/>
          <w:sz w:val="27"/>
        </w:rPr>
        <w:t>A</w:t>
      </w:r>
      <w:r>
        <w:rPr>
          <w:rFonts w:ascii="Times New Roman"/>
          <w:color w:val="000000"/>
          <w:spacing w:val="0"/>
          <w:sz w:val="27"/>
        </w:rPr>
        <w:t xml:space="preserve"> </w:t>
      </w:r>
      <w:r>
        <w:rPr>
          <w:rFonts w:ascii="SimSun" w:hAnsi="SimSun" w:cs="SimSun"/>
          <w:color w:val="000000"/>
          <w:spacing w:val="0"/>
          <w:sz w:val="27"/>
        </w:rPr>
        <w:t>初期。资料少，</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仅仅是为了了解目</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标公司价值。选用</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间接估值法（参数</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估值法等。。）</w:t>
      </w:r>
    </w:p>
    <w:p>
      <w:pPr>
        <w:framePr w:w="2835" w:x="12933" w:y="3907"/>
        <w:widowControl w:val="0"/>
        <w:autoSpaceDE w:val="0"/>
        <w:autoSpaceDN w:val="0"/>
        <w:spacing w:before="187" w:after="0" w:line="281" w:lineRule="exact"/>
        <w:ind w:left="0" w:right="0" w:firstLine="0"/>
        <w:jc w:val="left"/>
        <w:rPr>
          <w:rFonts w:ascii="Times New Roman"/>
          <w:color w:val="000000"/>
          <w:spacing w:val="0"/>
          <w:sz w:val="27"/>
        </w:rPr>
      </w:pPr>
      <w:r>
        <w:rPr>
          <w:rFonts w:ascii="Calibri"/>
          <w:color w:val="000000"/>
          <w:spacing w:val="0"/>
          <w:sz w:val="27"/>
        </w:rPr>
        <w:t>B</w:t>
      </w:r>
      <w:r>
        <w:rPr>
          <w:rFonts w:ascii="Times New Roman"/>
          <w:color w:val="000000"/>
          <w:spacing w:val="2"/>
          <w:sz w:val="27"/>
        </w:rPr>
        <w:t xml:space="preserve"> </w:t>
      </w:r>
      <w:r>
        <w:rPr>
          <w:rFonts w:ascii="SimSun" w:hAnsi="SimSun" w:cs="SimSun"/>
          <w:color w:val="000000"/>
          <w:spacing w:val="0"/>
          <w:sz w:val="27"/>
        </w:rPr>
        <w:t>能够收集到可比</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公司的信息资料最</w:t>
      </w:r>
    </w:p>
    <w:p>
      <w:pPr>
        <w:framePr w:w="2835" w:x="12933" w:y="3907"/>
        <w:widowControl w:val="0"/>
        <w:autoSpaceDE w:val="0"/>
        <w:autoSpaceDN w:val="0"/>
        <w:spacing w:before="198" w:after="0" w:line="270" w:lineRule="exact"/>
        <w:ind w:left="0" w:right="0" w:firstLine="0"/>
        <w:jc w:val="left"/>
        <w:rPr>
          <w:rFonts w:ascii="Times New Roman"/>
          <w:color w:val="000000"/>
          <w:spacing w:val="0"/>
          <w:sz w:val="27"/>
        </w:rPr>
      </w:pPr>
      <w:r>
        <w:rPr>
          <w:rFonts w:ascii="SimSun" w:hAnsi="SimSun" w:cs="SimSun"/>
          <w:color w:val="000000"/>
          <w:spacing w:val="0"/>
          <w:sz w:val="27"/>
        </w:rPr>
        <w:t>为关键</w:t>
      </w:r>
    </w:p>
    <w:p>
      <w:pPr>
        <w:framePr w:w="1430" w:x="2701" w:y="8076"/>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市场法</w:t>
      </w:r>
    </w:p>
    <w:p>
      <w:pPr>
        <w:framePr w:w="3420" w:x="2701" w:y="12242"/>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三、精彩内容摘录</w:t>
      </w:r>
    </w:p>
    <w:p>
      <w:pPr>
        <w:framePr w:w="10930" w:x="2701" w:y="12774"/>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要求：也可以概括感兴趣的内容，最好对以后撰写毕业论文有帮助。</w:t>
      </w:r>
    </w:p>
    <w:p>
      <w:pPr>
        <w:framePr w:w="14363" w:x="2701" w:y="1324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曾经有老师说过，做评估的人首先要把法律掌握好，因为一份评估报告有时候会牵涉很</w:t>
      </w:r>
    </w:p>
    <w:p>
      <w:pPr>
        <w:framePr w:w="14363" w:x="2701" w:y="1324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多法律责任，甚至是刑事责任。所以我摘录了关于评估职业责任的文段。</w:t>
      </w:r>
    </w:p>
    <w:p>
      <w:pPr>
        <w:framePr w:w="14363" w:x="2701" w:y="13243"/>
        <w:widowControl w:val="0"/>
        <w:autoSpaceDE w:val="0"/>
        <w:autoSpaceDN w:val="0"/>
        <w:spacing w:before="151" w:after="0" w:line="317" w:lineRule="exact"/>
        <w:ind w:left="4652" w:right="0" w:firstLine="0"/>
        <w:jc w:val="left"/>
        <w:rPr>
          <w:rFonts w:ascii="Times New Roman"/>
          <w:color w:val="000000"/>
          <w:spacing w:val="0"/>
          <w:sz w:val="32"/>
        </w:rPr>
      </w:pPr>
      <w:r>
        <w:rPr>
          <w:rFonts w:ascii="SimSun" w:hAnsi="SimSun" w:cs="SimSun"/>
          <w:color w:val="000000"/>
          <w:spacing w:val="-3"/>
          <w:sz w:val="32"/>
        </w:rPr>
        <w:t>关于投资价值评估职业责任</w:t>
      </w:r>
    </w:p>
    <w:p>
      <w:pPr>
        <w:framePr w:w="14343" w:x="2701" w:y="14647"/>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一般认为，投资价值评估涉及的责任由两个方面，一是评估结论的合理性责任；二是评</w:t>
      </w:r>
    </w:p>
    <w:p>
      <w:pPr>
        <w:framePr w:w="14343" w:x="2701" w:y="146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估责任界定。</w:t>
      </w:r>
    </w:p>
    <w:p>
      <w:pPr>
        <w:framePr w:w="6470" w:x="3331" w:y="15583"/>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3"/>
          <w:sz w:val="32"/>
        </w:rPr>
        <w:t>1.</w:t>
      </w:r>
      <w:r>
        <w:rPr>
          <w:rFonts w:ascii="SimSun" w:hAnsi="SimSun" w:cs="SimSun"/>
          <w:color w:val="000000"/>
          <w:spacing w:val="-3"/>
          <w:sz w:val="32"/>
        </w:rPr>
        <w:t>评估人员承担法律责任的法律规定现状</w:t>
      </w:r>
    </w:p>
    <w:p>
      <w:pPr>
        <w:framePr w:w="14573" w:x="2701" w:y="16051"/>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目前，在我国，评估人员的职业责任一般分为法律责任和专业责任。法律责任是指评估</w:t>
      </w:r>
    </w:p>
    <w:p>
      <w:pPr>
        <w:framePr w:w="14573" w:x="2701" w:y="1605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人员违反法律法规所应承担的责任，具有确定性和强制性，即承担主体、内容由法律明确规</w:t>
      </w:r>
    </w:p>
    <w:p>
      <w:pPr>
        <w:framePr w:w="14573" w:x="2701" w:y="1605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定，以国家强制力为后盾保证实施。评估职业过程中，评估行为涉及的法律责任分为行政责</w:t>
      </w:r>
    </w:p>
    <w:p>
      <w:pPr>
        <w:framePr w:w="14573" w:x="2701" w:y="16051"/>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任、民事责任和刑事责任三种。</w:t>
      </w:r>
    </w:p>
    <w:p>
      <w:pPr>
        <w:framePr w:w="14573" w:x="2701" w:y="1792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我国的评估专业均由政府监管，行政手段主要是管理办法。行政责任是三种法律责任重</w:t>
      </w:r>
    </w:p>
    <w:p>
      <w:pPr>
        <w:framePr w:w="14573" w:x="2701" w:y="17923"/>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最直接、最常见、评估人员最为熟悉的形式。相关行政法规和部门规章对评估人员违规行为</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所应承担的行政责任做出了详细的规定。现阶段，由于评估人员必须在评估机构从事专门评</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估工作，由评估机构签署业务委托合同，并由评估机构和评估师在评估报告上共同签章，因</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此行政处罚又具体分为对评估机构和评估人员的处罚。《中华人民共和国公司法》对提供虚</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6"/>
          <w:sz w:val="32"/>
        </w:rPr>
        <w:t>假材料，因过失提供有重大遗漏的报告，因其出具的评估结果、验资或者验证正名不实，给</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公司债权人造成损失（能够证明自己没有过错的除外）等情形规定应承担罚款、责令停业、</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吊销直接责任人员的资格证书；吊销营业执照、在其评估或者证明不实的金额范围内承担赔</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偿责任等行政处罚。《中华人民共和国国有资产法》规定，接受委托对国家对国家出资企业</w:t>
      </w:r>
    </w:p>
    <w:p>
      <w:pPr>
        <w:framePr w:w="14573" w:x="2701" w:y="1792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进行资产评估的资产评估机构违反法律、行政法规的规定和执业标准，出具虚假的资产评估</w:t>
      </w:r>
    </w:p>
    <w:p>
      <w:pPr>
        <w:spacing w:before="0" w:after="0" w:line="0" w:lineRule="atLeast"/>
        <w:ind w:left="0" w:right="0" w:firstLine="0"/>
        <w:jc w:val="left"/>
        <w:rPr>
          <w:rFonts w:ascii="Arial"/>
          <w:color w:val="FF0000"/>
          <w:spacing w:val="0"/>
          <w:sz w:val="2"/>
        </w:rPr>
      </w:pPr>
      <w:r>
        <w:rPr>
          <w:noProof/>
        </w:rPr>
        <w:pict>
          <v:shape id="_x0000_s1052" type="#_x0000_t75" style="width:644pt;height:498pt;margin-top:90.35pt;margin-left:125pt;mso-position-horizontal-relative:page;mso-position-vertical-relative:page;position:absolute;z-index:-251658240">
            <v:imagedata r:id="rId3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573"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8"/>
          <w:sz w:val="32"/>
        </w:rPr>
        <w:t>报告或者审计报告的，依照有关法律、行政法规的规定追究法律责任。《国有资产评估管理</w:t>
      </w:r>
    </w:p>
    <w:p>
      <w:pPr>
        <w:framePr w:w="1457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办法》规定，资产评估机构作弊或者玩忽职守，致使资产评估结果失实的，国有资产管理行</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政主管部门可以宣布资产评估结果无效，并可以根据情节轻重，对该资产评估机构给予下列</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处罚：警告；停业整顿；吊销国有资产评估资格证书。《企业国有资产评估管理暂行办法》</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规定，受托资产评估机构在资产评估过程中违规执业的，由国有资产监督管理机构将有关情</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况通报其行业主管部门，建议给予相应处罚；情节严重的，可要求企业不得再委托该中介机</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构及其当事人进行国有资产评估业务；涉嫌犯罪的，依法移送司法机关处理。</w:t>
      </w:r>
    </w:p>
    <w:p>
      <w:pPr>
        <w:framePr w:w="14573" w:x="2701" w:y="1947"/>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3"/>
          <w:sz w:val="32"/>
        </w:rPr>
        <w:t>评估人员如违反与委托人签订的委托合同或在职业中损害委托人或第三方的利益并造</w:t>
      </w:r>
    </w:p>
    <w:p>
      <w:pPr>
        <w:framePr w:w="1457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成经济损失的，需承担民事赔偿责任。</w:t>
      </w:r>
    </w:p>
    <w:p>
      <w:pPr>
        <w:framePr w:w="14573" w:x="2701" w:y="6160"/>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《中华人民共和国刑法》规定，我国评估人员实施犯罪行为须承担明确、严厉的刑事责</w:t>
      </w:r>
    </w:p>
    <w:p>
      <w:pPr>
        <w:framePr w:w="14573" w:x="2701"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任，明确了“提供虚假证明文件罪”和“证明文件失实罪”两种罪名，刑罚处罚相当严厉，</w:t>
      </w:r>
    </w:p>
    <w:p>
      <w:pPr>
        <w:framePr w:w="14573" w:x="2701"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最高可判十年以下有期徒刑；不仅故意提供虚假证明须承担刑事责任，过失犯罪情节严重的</w:t>
      </w:r>
    </w:p>
    <w:p>
      <w:pPr>
        <w:framePr w:w="14573" w:x="2701" w:y="6160"/>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也要接受刑罚制裁；不仅直接责任人员对犯罪行为承担刑事责任，评估机构直接负责的主管</w:t>
      </w:r>
    </w:p>
    <w:p>
      <w:pPr>
        <w:framePr w:w="14573" w:x="2701"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人员和其他责任人员根据情节严重程度也可以依照相关规定追究刑事责任。</w:t>
      </w:r>
    </w:p>
    <w:p>
      <w:pPr>
        <w:framePr w:w="14573" w:x="2701" w:y="6160"/>
        <w:widowControl w:val="0"/>
        <w:autoSpaceDE w:val="0"/>
        <w:autoSpaceDN w:val="0"/>
        <w:spacing w:before="151" w:after="0" w:line="317" w:lineRule="exact"/>
        <w:ind w:left="630" w:right="0" w:firstLine="0"/>
        <w:jc w:val="left"/>
        <w:rPr>
          <w:rFonts w:ascii="Times New Roman"/>
          <w:color w:val="000000"/>
          <w:spacing w:val="0"/>
          <w:sz w:val="32"/>
        </w:rPr>
      </w:pPr>
      <w:r>
        <w:rPr>
          <w:rFonts w:ascii="SimSun" w:hAnsi="SimSun" w:cs="SimSun"/>
          <w:color w:val="000000"/>
          <w:spacing w:val="-8"/>
          <w:sz w:val="32"/>
        </w:rPr>
        <w:t>目前，我过法律框架内所规定的评估人员的法律责任，不能简单地与境外评估人员承担</w:t>
      </w:r>
    </w:p>
    <w:p>
      <w:pPr>
        <w:framePr w:w="14573" w:x="2701" w:y="6160"/>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的法律责任相类比，外国的规定与中国不同</w:t>
      </w:r>
    </w:p>
    <w:p>
      <w:pPr>
        <w:framePr w:w="5741" w:x="3331" w:y="9437"/>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3"/>
          <w:sz w:val="32"/>
        </w:rPr>
        <w:t>2.</w:t>
      </w:r>
      <w:r>
        <w:rPr>
          <w:rFonts w:ascii="SimSun" w:hAnsi="SimSun" w:cs="SimSun"/>
          <w:color w:val="000000"/>
          <w:spacing w:val="-3"/>
          <w:sz w:val="32"/>
        </w:rPr>
        <w:t>关于评估结论合理性责任认定问题</w:t>
      </w:r>
    </w:p>
    <w:p>
      <w:pPr>
        <w:framePr w:w="14573" w:x="2701" w:y="990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与境外评估估值报告的客观属性相比，以市场价值为主、发源于政府推动的中国资产评</w:t>
      </w:r>
    </w:p>
    <w:p>
      <w:pPr>
        <w:framePr w:w="1457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估报告以法定评估为主，多具有见证性。传统观点及实践中，资产评估主要服务于国有资产</w:t>
      </w:r>
    </w:p>
    <w:p>
      <w:pPr>
        <w:framePr w:w="1457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产权变动或收购非国有资产，相关法律法规对于交易价格和资产评估结果的关系有较为明确</w:t>
      </w:r>
    </w:p>
    <w:p>
      <w:pPr>
        <w:framePr w:w="1457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的规定，资产评估结果往往成为最终交易价格。因此，交易价格的高低及其合理性成为判断</w:t>
      </w:r>
    </w:p>
    <w:p>
      <w:pPr>
        <w:framePr w:w="1457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评估结论合理性的首要标准。</w:t>
      </w:r>
    </w:p>
    <w:p>
      <w:pPr>
        <w:framePr w:w="14573" w:x="2701" w:y="1224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12"/>
          <w:sz w:val="32"/>
        </w:rPr>
        <w:t>与传统法定评估不同，投资价值评估具有咨询性和定向使用等特点，服务于评估委托方，</w:t>
      </w:r>
    </w:p>
    <w:p>
      <w:pPr>
        <w:framePr w:w="14573"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评估参数选取充分考虑了投资并购方的经济特殊偏好及对协同效应的判断，其结论可能是区</w:t>
      </w:r>
    </w:p>
    <w:p>
      <w:pPr>
        <w:framePr w:w="14573" w:x="2701" w:y="1224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8"/>
          <w:sz w:val="32"/>
        </w:rPr>
        <w:t>间值，投资并购双方在此基础上博弈谈判确定交易价格，评估结论可能并不包含投资并购双</w:t>
      </w:r>
    </w:p>
    <w:p>
      <w:pPr>
        <w:framePr w:w="14573"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方在交易价格谈判中可能考虑到的非经济型偏好，交易价格和评估结论可能不完全一致。因</w:t>
      </w:r>
    </w:p>
    <w:p>
      <w:pPr>
        <w:framePr w:w="14573"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此，以交易价格作为判断评估结论合理性标准的传统做法面临挑战。</w:t>
      </w:r>
    </w:p>
    <w:p>
      <w:pPr>
        <w:framePr w:w="4648" w:x="3331" w:y="14585"/>
        <w:widowControl w:val="0"/>
        <w:autoSpaceDE w:val="0"/>
        <w:autoSpaceDN w:val="0"/>
        <w:spacing w:before="0" w:after="0" w:line="330" w:lineRule="exact"/>
        <w:ind w:left="0" w:right="0" w:firstLine="0"/>
        <w:jc w:val="left"/>
        <w:rPr>
          <w:rFonts w:ascii="Times New Roman"/>
          <w:color w:val="000000"/>
          <w:spacing w:val="0"/>
          <w:sz w:val="32"/>
        </w:rPr>
      </w:pPr>
      <w:r>
        <w:rPr>
          <w:rFonts w:ascii="Calibri"/>
          <w:color w:val="000000"/>
          <w:spacing w:val="-3"/>
          <w:sz w:val="32"/>
        </w:rPr>
        <w:t>3.</w:t>
      </w:r>
      <w:r>
        <w:rPr>
          <w:rFonts w:ascii="SimSun" w:hAnsi="SimSun" w:cs="SimSun"/>
          <w:color w:val="000000"/>
          <w:spacing w:val="-3"/>
          <w:sz w:val="32"/>
        </w:rPr>
        <w:t>关于评估职业责任认定问题</w:t>
      </w:r>
    </w:p>
    <w:p>
      <w:pPr>
        <w:framePr w:w="14573" w:x="2701" w:y="15053"/>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3"/>
          <w:sz w:val="32"/>
        </w:rPr>
        <w:t>评估责任认定包括认定主体（谁来认定）、认定依据（依据什么认定）、认定程序（怎</w:t>
      </w:r>
    </w:p>
    <w:p>
      <w:pPr>
        <w:framePr w:w="14573"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么认定），认定客体（谁来承担何种责任），目的，相关法律法规无明确规定。公司法、国</w:t>
      </w:r>
    </w:p>
    <w:p>
      <w:pPr>
        <w:framePr w:w="14573"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有资产法等关于评估机构和人员的职业责任规定主要是提供虚假材料、过失提供有重大遗漏</w:t>
      </w:r>
    </w:p>
    <w:p>
      <w:pPr>
        <w:framePr w:w="14573"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的报告，作弊或者玩忽职守，致使资产评估结果失实等违规执业行为。</w:t>
      </w:r>
    </w:p>
    <w:p>
      <w:pPr>
        <w:framePr w:w="14573" w:x="2701" w:y="16925"/>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在目前的司法实践与相关监管部门对评估项目管理实践中，认定主体一般是司法或监管</w:t>
      </w:r>
    </w:p>
    <w:p>
      <w:pPr>
        <w:framePr w:w="14573"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4"/>
          <w:sz w:val="32"/>
        </w:rPr>
        <w:t>主体，认定依据有市场成交价格、其他评估机构评估结果对比、账面价值与评估值对比，认</w:t>
      </w:r>
    </w:p>
    <w:p>
      <w:pPr>
        <w:framePr w:w="14573"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定程序一般是司法或监管主体直接判断或委托其他评估机构分析判断，以上述三者与评估结</w:t>
      </w:r>
    </w:p>
    <w:p>
      <w:pPr>
        <w:framePr w:w="14573" w:x="2701" w:y="16925"/>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论的差异视为评估结论不合理的依据，并据此追究评估机构的责任。</w:t>
      </w:r>
    </w:p>
    <w:p>
      <w:pPr>
        <w:framePr w:w="14937" w:x="2701" w:y="18798"/>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基于投资价值评估的咨询性、定向服务于特定投资并购主体和方案、动态调整、以区间</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11"/>
          <w:sz w:val="32"/>
        </w:rPr>
        <w:t>值为结论、协同效应的实现依赖于诸多假设条件等特点，投资并购双方会综合考虑市场环境、</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非经济性协同进行定价决策，可能会导致上述三种判断依据有失偏颇。投资并购失败或价格</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不合理的原因包括企业方案或定价决策不合理、企业或评估机构及人员预测估值明显不合</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理、评估机构及人员主观故意因素导致评估结论不合理、评估机构及人员职业能力不足导致</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评估结论不合理、市场环境等假设条件发生重大变化导致预测无法实现等，应分析不同原因</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由不同的责任主体承担相关责任。科学、客观地分析导致评估结论不合理的原因并界定责任</w:t>
      </w:r>
    </w:p>
    <w:p>
      <w:pPr>
        <w:framePr w:w="1493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主体是投资价值评估职业责任认定的关键，简单地将评估结论不合理的责任归咎于评估机构</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r>
        <w:rPr>
          <w:rFonts w:ascii="Arial"/>
          <w:color w:val="FF0000"/>
          <w:spacing w:val="0"/>
          <w:sz w:val="2"/>
        </w:rPr>
        <w:cr/>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3648" w:x="2701" w:y="1947"/>
        <w:widowControl w:val="0"/>
        <w:autoSpaceDE w:val="0"/>
        <w:autoSpaceDN w:val="0"/>
        <w:spacing w:before="0" w:after="0" w:line="317" w:lineRule="exact"/>
        <w:ind w:left="0" w:right="0" w:firstLine="0"/>
        <w:jc w:val="left"/>
        <w:rPr>
          <w:rFonts w:ascii="Times New Roman"/>
          <w:color w:val="000000"/>
          <w:spacing w:val="0"/>
          <w:sz w:val="32"/>
        </w:rPr>
      </w:pPr>
      <w:r>
        <w:rPr>
          <w:rFonts w:ascii="SimSun" w:hAnsi="SimSun" w:cs="SimSun"/>
          <w:color w:val="000000"/>
          <w:spacing w:val="-3"/>
          <w:sz w:val="32"/>
        </w:rPr>
        <w:t>及评估人员有失公允。</w:t>
      </w:r>
    </w:p>
    <w:p>
      <w:pPr>
        <w:framePr w:w="14573" w:x="2701" w:y="241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4"/>
          <w:sz w:val="32"/>
        </w:rPr>
        <w:t>同时，鉴于投资价值评估专业性较强，由专业、专门机构依据评估准则、行业及市场环</w:t>
      </w:r>
    </w:p>
    <w:p>
      <w:pPr>
        <w:framePr w:w="14573"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境判断评估结论的合理性具有现实意义，在依法行政的大背景下，在相关政策法规中明确评</w:t>
      </w:r>
    </w:p>
    <w:p>
      <w:pPr>
        <w:framePr w:w="14573"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估机构及评估人员所应承担的具体职业责任具有高度的必要性和紧迫性。</w:t>
      </w:r>
    </w:p>
    <w:p>
      <w:pPr>
        <w:framePr w:w="14573"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附表——笔记</w:t>
      </w:r>
    </w:p>
    <w:p>
      <w:pPr>
        <w:framePr w:w="3060" w:x="2701" w:y="4224"/>
        <w:widowControl w:val="0"/>
        <w:autoSpaceDE w:val="0"/>
        <w:autoSpaceDN w:val="0"/>
        <w:spacing w:before="0" w:after="0" w:line="360" w:lineRule="exact"/>
        <w:ind w:left="0" w:right="0" w:firstLine="0"/>
        <w:jc w:val="left"/>
        <w:rPr>
          <w:rFonts w:ascii="Times New Roman"/>
          <w:color w:val="000000"/>
          <w:spacing w:val="0"/>
          <w:sz w:val="36"/>
        </w:rPr>
      </w:pPr>
      <w:r>
        <w:rPr>
          <w:rFonts w:ascii="SimSun" w:hAnsi="SimSun" w:cs="SimSun"/>
          <w:color w:val="000000"/>
          <w:spacing w:val="0"/>
          <w:sz w:val="36"/>
        </w:rPr>
        <w:t>四、心得及规划</w:t>
      </w:r>
    </w:p>
    <w:p>
      <w:pPr>
        <w:framePr w:w="14573" w:x="2701" w:y="4756"/>
        <w:widowControl w:val="0"/>
        <w:autoSpaceDE w:val="0"/>
        <w:autoSpaceDN w:val="0"/>
        <w:spacing w:before="0" w:after="0" w:line="330" w:lineRule="exact"/>
        <w:ind w:left="630" w:right="0" w:firstLine="0"/>
        <w:jc w:val="left"/>
        <w:rPr>
          <w:rFonts w:ascii="Times New Roman"/>
          <w:color w:val="000000"/>
          <w:spacing w:val="0"/>
          <w:sz w:val="32"/>
        </w:rPr>
      </w:pPr>
      <w:r>
        <w:rPr>
          <w:rFonts w:ascii="Calibri"/>
          <w:color w:val="000000"/>
          <w:spacing w:val="-2"/>
          <w:sz w:val="32"/>
        </w:rPr>
        <w:t>2008</w:t>
      </w:r>
      <w:r>
        <w:rPr>
          <w:rFonts w:ascii="Times New Roman"/>
          <w:color w:val="000000"/>
          <w:spacing w:val="-1"/>
          <w:sz w:val="32"/>
        </w:rPr>
        <w:t xml:space="preserve"> </w:t>
      </w:r>
      <w:r>
        <w:rPr>
          <w:rFonts w:ascii="SimSun" w:hAnsi="SimSun" w:cs="SimSun"/>
          <w:color w:val="000000"/>
          <w:spacing w:val="-3"/>
          <w:sz w:val="32"/>
        </w:rPr>
        <w:t>年金融危机席卷全球，世界经济格局和发展趋势已迥然不同。在经济剧烈波动的</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环境下，收益法、市场法和成本法三种传统评估方法本身记忆方法运用的假设前提、基本理</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论等都受到了严峻的挑战。在资产评估业务面对复杂多变的市场发生日新月异的变化的背景</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下，我们应该回归资产评估的基本理论和方法形成路径，才能科学地进行资产评估理论和方</w:t>
      </w:r>
    </w:p>
    <w:p>
      <w:pPr>
        <w:framePr w:w="145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法的创新。</w:t>
      </w:r>
    </w:p>
    <w:p>
      <w:pPr>
        <w:framePr w:w="14573" w:x="2701" w:y="7096"/>
        <w:widowControl w:val="0"/>
        <w:autoSpaceDE w:val="0"/>
        <w:autoSpaceDN w:val="0"/>
        <w:spacing w:before="0" w:after="0" w:line="317" w:lineRule="exact"/>
        <w:ind w:left="630" w:right="0" w:firstLine="0"/>
        <w:jc w:val="left"/>
        <w:rPr>
          <w:rFonts w:ascii="Times New Roman"/>
          <w:color w:val="000000"/>
          <w:spacing w:val="0"/>
          <w:sz w:val="32"/>
        </w:rPr>
      </w:pPr>
      <w:r>
        <w:rPr>
          <w:rFonts w:ascii="SimSun" w:hAnsi="SimSun" w:cs="SimSun"/>
          <w:color w:val="000000"/>
          <w:spacing w:val="-8"/>
          <w:sz w:val="32"/>
        </w:rPr>
        <w:t>随着国有企业“走出去”开展国际化经营和国有经济布局结构调整的加快，国有企业投</w:t>
      </w:r>
    </w:p>
    <w:p>
      <w:pPr>
        <w:framePr w:w="14573"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SimSun" w:hAnsi="SimSun" w:cs="SimSun"/>
          <w:color w:val="000000"/>
          <w:spacing w:val="-3"/>
          <w:sz w:val="32"/>
        </w:rPr>
        <w:t>资并购实践日益增多，迫切需要解决投资并购中遇到的定价以及评估项目管理问题。</w:t>
      </w:r>
    </w:p>
    <w:p>
      <w:pPr>
        <w:framePr w:w="14573" w:x="2701" w:y="7096"/>
        <w:widowControl w:val="0"/>
        <w:autoSpaceDE w:val="0"/>
        <w:autoSpaceDN w:val="0"/>
        <w:spacing w:before="151" w:after="0" w:line="317" w:lineRule="exact"/>
        <w:ind w:left="633" w:right="0" w:firstLine="0"/>
        <w:jc w:val="left"/>
        <w:rPr>
          <w:rFonts w:ascii="Times New Roman"/>
          <w:color w:val="000000"/>
          <w:spacing w:val="0"/>
          <w:sz w:val="32"/>
        </w:rPr>
      </w:pPr>
      <w:r>
        <w:rPr>
          <w:rFonts w:ascii="SimSun" w:hAnsi="SimSun" w:cs="SimSun"/>
          <w:color w:val="000000"/>
          <w:spacing w:val="-3"/>
          <w:sz w:val="32"/>
        </w:rPr>
        <w:t>老实说，我也不知道选这一本书跟我的职业生涯规划有什么帮助，如果有的话，第一，</w:t>
      </w:r>
    </w:p>
    <w:p>
      <w:pPr>
        <w:framePr w:w="14573"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5"/>
          <w:sz w:val="32"/>
        </w:rPr>
        <w:t>对于资产评估专业的我，这本书教给了我理论知识、实务应用、研究方法。它包罗万象地汇</w:t>
      </w:r>
    </w:p>
    <w:p>
      <w:pPr>
        <w:framePr w:w="14573"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集了资产评估相关的基础理论和实务操作，教会了我通过查阅文献用科学严谨的态度去对待</w:t>
      </w:r>
    </w:p>
    <w:p>
      <w:pPr>
        <w:framePr w:w="14573"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7"/>
          <w:sz w:val="32"/>
        </w:rPr>
        <w:t>一个研究话题（围绕投资价值评估讲了一本书），并且告诉了我如何去粗取精，抓住学习资</w:t>
      </w:r>
    </w:p>
    <w:p>
      <w:pPr>
        <w:framePr w:w="14573"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料中的关键点进行理解而不是一字不漏地死记硬背。第二，本书重点是企业价值的评估，与</w:t>
      </w:r>
    </w:p>
    <w:p>
      <w:pPr>
        <w:framePr w:w="14573"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8"/>
          <w:sz w:val="32"/>
        </w:rPr>
        <w:t>企业之间的并购重组实务联系密切，对于我本科金融、硕士评估的专业背景来说，这本书知</w:t>
      </w:r>
    </w:p>
    <w:p>
      <w:pPr>
        <w:framePr w:w="14573" w:x="2701" w:y="7096"/>
        <w:widowControl w:val="0"/>
        <w:autoSpaceDE w:val="0"/>
        <w:autoSpaceDN w:val="0"/>
        <w:spacing w:before="151" w:after="0" w:line="317" w:lineRule="exact"/>
        <w:ind w:left="0" w:right="0" w:firstLine="0"/>
        <w:jc w:val="left"/>
        <w:rPr>
          <w:rFonts w:ascii="Times New Roman"/>
          <w:color w:val="000000"/>
          <w:spacing w:val="0"/>
          <w:sz w:val="32"/>
        </w:rPr>
      </w:pPr>
      <w:r>
        <w:rPr>
          <w:rFonts w:ascii="SimSun" w:hAnsi="SimSun" w:cs="SimSun"/>
          <w:color w:val="000000"/>
          <w:spacing w:val="-3"/>
          <w:sz w:val="32"/>
        </w:rPr>
        <w:t>识的掌握有助于我以后往证券投资、资产管理的行业发展。</w:t>
      </w:r>
    </w:p>
    <w:p>
      <w:pPr>
        <w:spacing w:before="0" w:after="0" w:line="0" w:lineRule="atLeast"/>
        <w:ind w:left="0" w:right="0" w:firstLine="0"/>
        <w:jc w:val="left"/>
        <w:rPr>
          <w:rFonts w:ascii="Arial"/>
          <w:color w:val="FF0000"/>
          <w:spacing w:val="0"/>
          <w:sz w:val="2"/>
        </w:rPr>
      </w:pPr>
    </w:p>
    <w:p>
      <w:pPr>
        <w:spacing w:before="0" w:after="0" w:line="0" w:lineRule="atLeast"/>
        <w:ind w:left="0" w:right="0" w:firstLine="0"/>
        <w:jc w:val="left"/>
        <w:rPr>
          <w:rFonts w:ascii="Arial"/>
          <w:color w:val="FF0000"/>
          <w:spacing w:val="0"/>
          <w:sz w:val="2"/>
        </w:rPr>
      </w:pPr>
    </w:p>
    <w:sectPr>
      <w:headerReference w:type="default" r:id="rId32"/>
      <w:footerReference w:type="default" r:id="rId33"/>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CB0A994F-69B8-470D-ACA0-94D4DAB12EC9}"/>
  </w:font>
  <w:font w:name="Arial">
    <w:panose1 w:val="020B0604020202020204"/>
    <w:charset w:val="CC"/>
    <w:family w:val="swiss"/>
    <w:pitch w:val="variable"/>
    <w:sig w:usb0="01010101" w:usb1="01010101" w:usb2="01010101" w:usb3="01010101" w:csb0="01010105" w:csb1="01010101"/>
    <w:embedRegular r:id="rId2" w:fontKey="{7C48ACD8-B15A-43C3-9E3A-71BB430B1890}"/>
  </w:font>
  <w:font w:name="Calibri">
    <w:panose1 w:val="020F0502020204030204"/>
    <w:charset w:val="CC"/>
    <w:family w:val="swiss"/>
    <w:pitch w:val="variable"/>
    <w:sig w:usb0="01010101" w:usb1="01010101" w:usb2="01010101" w:usb3="01010101" w:csb0="01010105" w:csb1="01010101"/>
    <w:embedRegular r:id="rId3" w:fontKey="{5A016917-10C1-4A84-9F9B-64250F8AA123}"/>
    <w:embedBold r:id="rId4" w:fontKey="{EF15577C-746C-4C13-A117-19386AA2D308}"/>
  </w:font>
  <w:font w:name="SimSun">
    <w:panose1 w:val="00000000000000000000"/>
    <w:charset w:val="01"/>
    <w:family w:val="auto"/>
    <w:notTrueType/>
    <w:pitch w:val="default"/>
    <w:sig w:usb0="01010101" w:usb1="01010101" w:usb2="01010101" w:usb3="01010101" w:csb0="01010101" w:csb1="01010101"/>
    <w:embedRegular r:id="rId5" w:subsetted="1" w:fontKey="{19B45D80-F9E1-4A4C-A7C2-50303B924416}"/>
  </w:font>
  <w:font w:name="GNDKTA+Symbol">
    <w:panose1 w:val="02000500000000000000"/>
    <w:charset w:val="01"/>
    <w:family w:val="auto"/>
    <w:pitch w:val="variable"/>
    <w:sig w:usb0="01010101" w:usb1="01010101" w:usb2="01010101" w:usb3="01010101" w:csb0="01010101" w:csb1="01010101"/>
    <w:embedRegular r:id="rId6" w:fontKey="{F7624221-2939-4F58-9F35-49EF9D96D4CB}"/>
  </w:font>
  <w:font w:name="APPATW+Nimbus Roman No9 L Regular Ital">
    <w:charset w:val="00"/>
    <w:family w:val="auto"/>
    <w:pitch w:val="default"/>
  </w:font>
  <w:font w:name="Cambria">
    <w:charset w:val="00"/>
    <w:family w:val="auto"/>
    <w:pitch w:val="default"/>
    <w:embedRegular r:id="rId7" w:fontKey="{3623B639-6DB8-48B3-8882-91AE10816C0A}"/>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经典word整理文档，仅参考，双击此处可删除页眉页脚。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image" Target="media/image19.jpeg" /><Relationship Id="rId23" Type="http://schemas.openxmlformats.org/officeDocument/2006/relationships/image" Target="media/image20.jpeg" /><Relationship Id="rId24" Type="http://schemas.openxmlformats.org/officeDocument/2006/relationships/image" Target="media/image21.jpeg" /><Relationship Id="rId25" Type="http://schemas.openxmlformats.org/officeDocument/2006/relationships/image" Target="media/image22.jpeg" /><Relationship Id="rId26" Type="http://schemas.openxmlformats.org/officeDocument/2006/relationships/image" Target="media/image23.jpeg" /><Relationship Id="rId27" Type="http://schemas.openxmlformats.org/officeDocument/2006/relationships/image" Target="media/image24.jpeg" /><Relationship Id="rId28" Type="http://schemas.openxmlformats.org/officeDocument/2006/relationships/image" Target="media/image25.jpeg" /><Relationship Id="rId29" Type="http://schemas.openxmlformats.org/officeDocument/2006/relationships/image" Target="media/image26.jpeg" /><Relationship Id="rId3" Type="http://schemas.openxmlformats.org/officeDocument/2006/relationships/fontTable" Target="fontTable.xml" /><Relationship Id="rId30" Type="http://schemas.openxmlformats.org/officeDocument/2006/relationships/image" Target="media/image27.jpeg" /><Relationship Id="rId31" Type="http://schemas.openxmlformats.org/officeDocument/2006/relationships/image" Target="media/image28.jpeg" /><Relationship Id="rId32" Type="http://schemas.openxmlformats.org/officeDocument/2006/relationships/header" Target="header1.xml" /><Relationship Id="rId33" Type="http://schemas.openxmlformats.org/officeDocument/2006/relationships/footer" Target="footer1.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 Id="rId7" Type="http://schemas.openxmlformats.org/officeDocument/2006/relationships/font" Target="fonts/font7.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13</Pages>
  <Words>835</Words>
  <Characters>11409</Characters>
  <Application>Microsoft Office Word</Application>
  <DocSecurity>0</DocSecurity>
  <Lines>542</Lines>
  <Paragraphs>542</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11538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I5-4590二机</dc:creator>
  <cp:lastModifiedBy>I5-4590二机</cp:lastModifiedBy>
  <cp:revision>1</cp:revision>
  <dcterms:created xsi:type="dcterms:W3CDTF">2023-02-06T03:45:38Z</dcterms:created>
  <dcterms:modified xsi:type="dcterms:W3CDTF">2023-02-06T03:45:38Z</dcterms:modified>
</cp:coreProperties>
</file>