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D5715">
      <w:pPr>
        <w:pStyle w:val="167"/>
        <w:rPr>
          <w:lang w:eastAsia="zh-CN"/>
        </w:rPr>
      </w:pPr>
      <w:bookmarkStart w:id="0" w:name="_Toc517262917"/>
      <w:bookmarkStart w:id="1" w:name="_Toc453597319"/>
      <w:bookmarkStart w:id="2" w:name="_Toc481801204"/>
      <w:bookmarkStart w:id="3" w:name="_Toc438987549"/>
      <w:bookmarkStart w:id="4" w:name="_Toc415818939"/>
      <w:bookmarkStart w:id="5" w:name="OLE_LINK15"/>
      <w:bookmarkStart w:id="6" w:name="OLE_LINK13"/>
      <w:bookmarkStart w:id="7" w:name="_Toc415142861"/>
      <w:bookmarkStart w:id="8" w:name="_Toc418070112"/>
      <w:bookmarkStart w:id="9" w:name="_Toc415143481"/>
      <w:bookmarkStart w:id="10" w:name="OLE_LINK40"/>
      <w:bookmarkStart w:id="11" w:name="OLE_LINK39"/>
      <w:bookmarkStart w:id="12" w:name="OLE_LINK24"/>
      <w:r>
        <w:drawing>
          <wp:inline distT="0" distB="0" distL="114300" distR="114300">
            <wp:extent cx="6000750" cy="43243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00750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eastAsia="zh-CN"/>
        </w:rPr>
        <w:t>医用级酶</w:t>
      </w:r>
      <w:r>
        <w:rPr>
          <w:rFonts w:hint="eastAsia"/>
          <w:lang w:eastAsia="zh-CN"/>
        </w:rPr>
        <w:t>全球市场总体规模</w:t>
      </w:r>
    </w:p>
    <w:p w14:paraId="5E1467C2">
      <w:pPr>
        <w:pStyle w:val="145"/>
        <w:rPr>
          <w:lang w:eastAsia="zh-CN"/>
        </w:rPr>
      </w:pPr>
      <w:r>
        <w:rPr>
          <w:lang w:eastAsia="zh-CN"/>
        </w:rPr>
        <w:t>医用级酶是用于制药、诊断及临床应用的高纯度酶，可确保治疗、实验室检测、组织解离、创面清创及酶学诊断中的特异性、稳定性及安全性。严格的质量控制及法规合规对于保持性能和可靠性至关重要。医用级酶的产业链包括上游微生物菌株、培养基及纯化试剂；中游涵盖发酵、提取、纯化、冻干及质量检测；下游应用涉及医院、诊断实验室、制药公司及科研机构，并提供配方指导、技术支持、法规文件及定制化酶解决方案。</w:t>
      </w:r>
      <w:bookmarkStart w:id="13" w:name="_GoBack"/>
      <w:bookmarkEnd w:id="13"/>
    </w:p>
    <w:p w14:paraId="43E4AD38"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根据QYResearch最新调研报告显示，预计2</w:t>
      </w:r>
      <w:r>
        <w:rPr>
          <w:lang w:eastAsia="zh-CN"/>
        </w:rPr>
        <w:t>03</w:t>
      </w:r>
      <w:r>
        <w:rPr>
          <w:rFonts w:hint="eastAsia"/>
          <w:lang w:eastAsia="zh-CN"/>
        </w:rPr>
        <w:t>2年全球</w:t>
      </w:r>
      <w:r>
        <w:rPr>
          <w:lang w:eastAsia="zh-CN"/>
        </w:rPr>
        <w:t>医用级酶</w:t>
      </w:r>
      <w:r>
        <w:rPr>
          <w:rFonts w:hint="eastAsia"/>
          <w:lang w:eastAsia="zh-CN"/>
        </w:rPr>
        <w:t>市场规模将达到6.41亿美元，未来几年年复合增长率CAGR为6.25%。</w:t>
      </w:r>
    </w:p>
    <w:p w14:paraId="4D38E3C6">
      <w:pPr>
        <w:pStyle w:val="145"/>
        <w:rPr>
          <w:lang w:eastAsia="zh-CN"/>
        </w:rPr>
      </w:pPr>
    </w:p>
    <w:p w14:paraId="3F6C2722">
      <w:pPr>
        <w:pStyle w:val="148"/>
        <w:numPr>
          <w:numId w:val="0"/>
        </w:numPr>
        <w:ind w:left="357" w:leftChars="0" w:hanging="357" w:firstLineChars="0"/>
        <w:rPr>
          <w:lang w:eastAsia="zh-CN"/>
        </w:rPr>
      </w:pPr>
      <w:r>
        <w:rPr>
          <w:rFonts w:hint="default" w:ascii="Tahoma" w:hAnsi="Tahoma" w:eastAsia="宋体" w:cs="Arial"/>
          <w:b/>
          <w:color w:val="FF8200"/>
          <w:kern w:val="0"/>
          <w:sz w:val="21"/>
          <w:szCs w:val="22"/>
          <w:lang w:val="en-IN" w:eastAsia="zh-CN" w:bidi="ar-SA"/>
        </w:rPr>
        <w:t xml:space="preserve">图.   </w:t>
      </w:r>
      <w:r>
        <w:rPr>
          <w:lang w:eastAsia="zh-CN"/>
        </w:rPr>
        <w:t>医用级酶</w:t>
      </w:r>
      <w:r>
        <w:rPr>
          <w:rFonts w:hint="eastAsia"/>
          <w:lang w:eastAsia="zh-CN"/>
        </w:rPr>
        <w:t>，全球市场总体规模</w:t>
      </w:r>
    </w:p>
    <w:p w14:paraId="33261207">
      <w:pPr>
        <w:pStyle w:val="145"/>
      </w:pPr>
      <w:r>
        <w:drawing>
          <wp:inline distT="0" distB="0" distL="0" distR="0">
            <wp:extent cx="6120765" cy="2877820"/>
            <wp:effectExtent l="0" t="0" r="0" b="0"/>
            <wp:docPr id="108089554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895541" name="图片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2877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8964BA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医用级酶</w:t>
      </w:r>
      <w:r>
        <w:rPr>
          <w:rFonts w:hint="eastAsia"/>
          <w:lang w:eastAsia="zh-CN"/>
        </w:rPr>
        <w:t>市场研究报告2026-2032”</w:t>
      </w:r>
      <w:r>
        <w:rPr>
          <w:lang w:eastAsia="zh-CN"/>
        </w:rPr>
        <w:t>.</w:t>
      </w:r>
    </w:p>
    <w:p w14:paraId="12FD9BEF">
      <w:pPr>
        <w:pStyle w:val="145"/>
        <w:rPr>
          <w:lang w:eastAsia="zh-CN"/>
        </w:rPr>
      </w:pPr>
    </w:p>
    <w:p w14:paraId="720E31E2">
      <w:pPr>
        <w:pStyle w:val="148"/>
        <w:numPr>
          <w:numId w:val="0"/>
        </w:numPr>
        <w:ind w:left="357" w:leftChars="0" w:hanging="357" w:firstLineChars="0"/>
        <w:rPr>
          <w:lang w:eastAsia="zh-CN"/>
        </w:rPr>
      </w:pPr>
      <w:r>
        <w:rPr>
          <w:rFonts w:hint="default" w:ascii="Tahoma" w:hAnsi="Tahoma" w:eastAsia="宋体" w:cs="Arial"/>
          <w:b/>
          <w:color w:val="FF8200"/>
          <w:kern w:val="0"/>
          <w:sz w:val="21"/>
          <w:szCs w:val="22"/>
          <w:lang w:val="en-IN" w:eastAsia="zh-CN" w:bidi="ar-SA"/>
        </w:rPr>
        <w:t xml:space="preserve">图.   </w:t>
      </w:r>
      <w:r>
        <w:rPr>
          <w:rFonts w:hint="eastAsia"/>
          <w:lang w:eastAsia="zh-CN"/>
        </w:rPr>
        <w:t>全球</w:t>
      </w:r>
      <w:r>
        <w:rPr>
          <w:lang w:eastAsia="zh-CN"/>
        </w:rPr>
        <w:t>医用级酶</w:t>
      </w:r>
      <w:r>
        <w:rPr>
          <w:rFonts w:hint="eastAsia"/>
          <w:lang w:eastAsia="zh-CN"/>
        </w:rPr>
        <w:t>市场前12强生产商排名及市场占有率（基于2025年调研数据；目前最新数据以本公司最新调研数据为准）</w:t>
      </w:r>
    </w:p>
    <w:p w14:paraId="773AFA33">
      <w:pPr>
        <w:widowControl/>
        <w:topLinePunct w:val="0"/>
        <w:spacing w:after="0"/>
        <w:jc w:val="center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drawing>
          <wp:inline distT="0" distB="0" distL="0" distR="0">
            <wp:extent cx="3773805" cy="5993130"/>
            <wp:effectExtent l="0" t="0" r="0" b="7620"/>
            <wp:docPr id="160246499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2464990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3805" cy="5993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A43543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医用级酶</w:t>
      </w:r>
      <w:r>
        <w:rPr>
          <w:rFonts w:hint="eastAsia"/>
          <w:lang w:eastAsia="zh-CN"/>
        </w:rPr>
        <w:t>市场研究报告2026-2032”，排名基于2025数据。目前最新数据，以本公司最新调研数据为准。</w:t>
      </w:r>
    </w:p>
    <w:p w14:paraId="6E466FB3"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全球范围内，</w:t>
      </w:r>
      <w:r>
        <w:rPr>
          <w:lang w:eastAsia="zh-CN"/>
        </w:rPr>
        <w:t>医用级酶</w:t>
      </w:r>
      <w:r>
        <w:rPr>
          <w:rFonts w:hint="eastAsia"/>
          <w:lang w:eastAsia="zh-CN"/>
        </w:rPr>
        <w:t>主要生产商包括</w:t>
      </w:r>
      <w:r>
        <w:rPr>
          <w:lang w:eastAsia="zh-CN"/>
        </w:rPr>
        <w:t>F. Hoffmann‑La Roche Ltd，Novozymes，QIAGEN，BASF SE，Amano Enzyme Inc.</w:t>
      </w:r>
      <w:r>
        <w:rPr>
          <w:rFonts w:hint="eastAsia"/>
          <w:lang w:eastAsia="zh-CN"/>
        </w:rPr>
        <w:t>等，其中前五大厂商占有大约46.28%的市场份额。</w:t>
      </w:r>
    </w:p>
    <w:p w14:paraId="54B6AF7C">
      <w:pPr>
        <w:widowControl/>
        <w:topLinePunct w:val="0"/>
        <w:spacing w:after="0"/>
        <w:jc w:val="left"/>
        <w:rPr>
          <w:rFonts w:cs="Arial"/>
          <w:b/>
          <w:color w:val="FF8200"/>
          <w:kern w:val="0"/>
          <w:szCs w:val="22"/>
        </w:rPr>
      </w:pPr>
      <w:r>
        <w:rPr>
          <w:rFonts w:cs="Arial"/>
          <w:b/>
          <w:color w:val="FF8200"/>
        </w:rPr>
        <w:br w:type="page"/>
      </w:r>
    </w:p>
    <w:p w14:paraId="5AD49027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 w14:paraId="1F3C15BD">
      <w:pPr>
        <w:pStyle w:val="145"/>
        <w:numPr>
          <w:ilvl w:val="0"/>
          <w:numId w:val="4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体外诊断（IVD）：全球POCT、化学发光、分子诊断市场高速增长，对HRP（辣根过氧化物酶）等核心原料需求激增；中国分级诊疗与“千县工程”推动基层检验能力建设，带动国产酶试剂放量。</w:t>
      </w:r>
    </w:p>
    <w:p w14:paraId="75C959B5">
      <w:pPr>
        <w:pStyle w:val="145"/>
        <w:numPr>
          <w:ilvl w:val="0"/>
          <w:numId w:val="4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生物药与细胞基因治疗爆发：单抗、ADC、CAR-T、mRNA疫苗等生产需大量核酸酶（Benzonase®）、蛋白酶（Trypsin）等去除宿主杂质；GMP级酶成为生物制药关键耗材，供应链安全要求提升本土化采购意愿。</w:t>
      </w:r>
    </w:p>
    <w:p w14:paraId="1D0075DD">
      <w:pPr>
        <w:pStyle w:val="145"/>
        <w:numPr>
          <w:ilvl w:val="0"/>
          <w:numId w:val="4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治疗用酶药物拓展：溶栓酶（尿激酶、替奈普酶）、胰激肽原酶、L-天冬酰胺酶等在心脑血管、肿瘤、代谢病领域应用深化；酶替代疗法（ERT）用于罕见病（如戈谢病）推动高纯治疗酶研发。</w:t>
      </w:r>
    </w:p>
    <w:p w14:paraId="5666E4F2">
      <w:pPr>
        <w:pStyle w:val="145"/>
        <w:numPr>
          <w:ilvl w:val="0"/>
          <w:numId w:val="4"/>
        </w:numPr>
        <w:rPr>
          <w:lang w:eastAsia="zh-CN"/>
        </w:rPr>
      </w:pPr>
      <w:r>
        <w:rPr>
          <w:rFonts w:hint="eastAsia"/>
          <w:lang w:eastAsia="zh-CN"/>
        </w:rPr>
        <w:t>医用清洗与感控升级：国家《软式内镜清洗消毒规范》强制要求使用多酶清洗液，医院感控投入加大，带动复合酶制剂稳定需求。</w:t>
      </w:r>
    </w:p>
    <w:p w14:paraId="7719E0DF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 w14:paraId="20CD5676">
      <w:pPr>
        <w:pStyle w:val="145"/>
        <w:numPr>
          <w:ilvl w:val="0"/>
          <w:numId w:val="5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高技术壁垒与质量控制难度大：医用级酶需严格控制内毒素（&lt;1 EU/mg），纯化工艺复杂（层析、超滤）；批间一致性要求极高，中小企业难以通过GMP或ISO 13485认证。</w:t>
      </w:r>
    </w:p>
    <w:p w14:paraId="629B5051">
      <w:pPr>
        <w:pStyle w:val="145"/>
        <w:numPr>
          <w:ilvl w:val="0"/>
          <w:numId w:val="5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进口垄断与供应链依赖：高端诊断/治疗用酶长期被Roche、Merck、Sigma-Aldrich、Thermo Fisher等垄断；关键菌种、表达系统、冻干保护剂等“卡脖子”环节受制于人。</w:t>
      </w:r>
    </w:p>
    <w:p w14:paraId="742CE300">
      <w:pPr>
        <w:pStyle w:val="145"/>
        <w:numPr>
          <w:ilvl w:val="0"/>
          <w:numId w:val="5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注册与合规成本高：作为IVD原料需提供DMF文件，作为药品辅料需符合药典标准，申报周期长、投入大；不同国家法规差异（如FDA vs NMPA）增加出海难度。</w:t>
      </w:r>
    </w:p>
    <w:p w14:paraId="35196413">
      <w:pPr>
        <w:pStyle w:val="145"/>
        <w:numPr>
          <w:ilvl w:val="0"/>
          <w:numId w:val="5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价格敏感与集采压力：医院清洗酶液已进入地方集采（如浙江、广东），单价压至 ¥80–120/L；IVD厂商成本传导能力弱，压缩上游酶供应商利润空间。</w:t>
      </w:r>
    </w:p>
    <w:p w14:paraId="3296E651">
      <w:pPr>
        <w:pStyle w:val="145"/>
        <w:numPr>
          <w:ilvl w:val="0"/>
          <w:numId w:val="5"/>
        </w:numPr>
        <w:rPr>
          <w:lang w:eastAsia="zh-CN"/>
        </w:rPr>
      </w:pPr>
      <w:r>
        <w:rPr>
          <w:rFonts w:hint="eastAsia"/>
          <w:lang w:eastAsia="zh-CN"/>
        </w:rPr>
        <w:t>稳定性与储存挑战：多数酶需 2–8℃ 冷链运输，部分冻干粉复溶后活性衰减快，限制基层使用。</w:t>
      </w:r>
    </w:p>
    <w:p w14:paraId="7456D24B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行业发展机遇</w:t>
      </w:r>
      <w:r>
        <w:rPr>
          <w:lang w:eastAsia="zh-CN"/>
        </w:rPr>
        <w:t>:</w:t>
      </w:r>
    </w:p>
    <w:p w14:paraId="27B120AC">
      <w:pPr>
        <w:pStyle w:val="145"/>
        <w:numPr>
          <w:ilvl w:val="0"/>
          <w:numId w:val="6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国产高端酶突破窗口期：上海源叶、菲鹏生物、近岸蛋白、瀚海新酶等企业已实现HRP、GOD、Benzonase等量产，性能接近进口，价格低30–50%，加速替代。</w:t>
      </w:r>
    </w:p>
    <w:p w14:paraId="54EA84D3">
      <w:pPr>
        <w:pStyle w:val="145"/>
        <w:numPr>
          <w:ilvl w:val="0"/>
          <w:numId w:val="6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mRNA与CGT催生新需求：mRNA纯化需DSN核酸酶、Cap 1甲基转移酶等新型工具酶；CAR-T生产依赖无动物源胰蛋白酶（Recombinant Trypsin），国产GMP级产品稀缺，溢价高。</w:t>
      </w:r>
    </w:p>
    <w:p w14:paraId="7022B3C0">
      <w:pPr>
        <w:pStyle w:val="145"/>
        <w:numPr>
          <w:ilvl w:val="0"/>
          <w:numId w:val="6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酶工程技术创新：定向进化、AI辅助设计提升酶热稳定性、pH耐受性，拓展应用场景（如常温储存诊断酶）；融合标签、固定化技术便于回收再利用，降低生物药生产成本。</w:t>
      </w:r>
    </w:p>
    <w:p w14:paraId="07A95001">
      <w:pPr>
        <w:pStyle w:val="145"/>
        <w:rPr>
          <w:lang w:eastAsia="zh-CN"/>
        </w:rPr>
      </w:pPr>
      <w:r>
        <w:rPr>
          <w:rFonts w:hint="eastAsia"/>
          <w:lang w:eastAsia="zh-CN"/>
        </w:rPr>
        <w:t>“诊断+治疗”一体化趋势：酶联免疫（ELISA）、酶激活前药（ADEPT）等技术融合，推动多功能医用酶开发。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E0980">
    <w:pPr>
      <w:pStyle w:val="21"/>
      <w:jc w:val="center"/>
    </w:pPr>
    <w: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BBC53"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65371B16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65371B16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02A48211">
    <w:pPr>
      <w:pStyle w:val="22"/>
      <w:pBdr>
        <w:bottom w:val="none" w:color="auto" w:sz="0" w:space="0"/>
      </w:pBdr>
      <w:jc w:val="both"/>
    </w:pPr>
  </w:p>
  <w:p w14:paraId="7C1E6558">
    <w:pPr>
      <w:pStyle w:val="22"/>
      <w:pBdr>
        <w:bottom w:val="none" w:color="auto" w:sz="0" w:space="0"/>
      </w:pBdr>
      <w:jc w:val="both"/>
    </w:pPr>
  </w:p>
  <w:p w14:paraId="3522D064">
    <w:pPr>
      <w:pStyle w:val="22"/>
      <w:pBdr>
        <w:bottom w:val="none" w:color="auto" w:sz="0" w:space="0"/>
      </w:pBdr>
      <w:jc w:val="both"/>
    </w:pPr>
  </w:p>
  <w:p w14:paraId="0E6B6DFD"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39A2F"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6DDD5"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3CE56E5A"/>
    <w:multiLevelType w:val="multilevel"/>
    <w:tmpl w:val="3CE56E5A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3F932049"/>
    <w:multiLevelType w:val="multilevel"/>
    <w:tmpl w:val="3F932049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abstractNum w:abstractNumId="5">
    <w:nsid w:val="59113CA2"/>
    <w:multiLevelType w:val="multilevel"/>
    <w:tmpl w:val="59113CA2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B0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67A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4FD1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6BC4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8E2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76C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097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5A7A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4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947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8D0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8EE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63A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23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4C6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AF5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A24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0D0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6E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143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69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6CA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4F67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977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53E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119A02EF"/>
    <w:rsid w:val="171D1E45"/>
    <w:rsid w:val="51571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1926</Words>
  <Characters>2301</Characters>
  <Lines>63</Lines>
  <Paragraphs>48</Paragraphs>
  <TotalTime>709</TotalTime>
  <ScaleCrop>false</ScaleCrop>
  <LinksUpToDate>false</LinksUpToDate>
  <CharactersWithSpaces>2317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鼕鼕</cp:lastModifiedBy>
  <dcterms:modified xsi:type="dcterms:W3CDTF">2026-02-05T09:26:06Z</dcterms:modified>
  <cp:revision>884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eyJoZGlkIjoiMjFmNGNlNTgxMTU0YzBhMjY3NTRmNDcyYjNlZTNhMDciLCJ1c2VySWQiOiI0MzI5MTg4NDMifQ==</vt:lpwstr>
  </property>
  <property fmtid="{D5CDD505-2E9C-101B-9397-08002B2CF9AE}" pid="3" name="KSOProductBuildVer">
    <vt:lpwstr>2052-12.1.0.24657</vt:lpwstr>
  </property>
  <property fmtid="{D5CDD505-2E9C-101B-9397-08002B2CF9AE}" pid="4" name="ICV">
    <vt:lpwstr>0F14FD59FD7B4F3DAD817D4D2143C3C4_12</vt:lpwstr>
  </property>
</Properties>
</file>