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6EB5D">
      <w:pPr>
        <w:pStyle w:val="167"/>
        <w:rPr>
          <w:lang w:eastAsia="zh-CN"/>
        </w:rPr>
      </w:pPr>
      <w:bookmarkStart w:id="0" w:name="_Toc438987549"/>
      <w:bookmarkStart w:id="1" w:name="_Toc481801204"/>
      <w:bookmarkStart w:id="2" w:name="_Toc517262917"/>
      <w:bookmarkStart w:id="3" w:name="_Toc453597319"/>
      <w:bookmarkStart w:id="4" w:name="_Toc415818939"/>
      <w:bookmarkStart w:id="5" w:name="_Toc418070112"/>
      <w:bookmarkStart w:id="6" w:name="_Toc415143481"/>
      <w:bookmarkStart w:id="7" w:name="_Toc415142861"/>
      <w:bookmarkStart w:id="8" w:name="OLE_LINK13"/>
      <w:bookmarkStart w:id="9" w:name="OLE_LINK40"/>
      <w:bookmarkStart w:id="10" w:name="OLE_LINK15"/>
      <w:bookmarkStart w:id="11" w:name="OLE_LINK39"/>
      <w:bookmarkStart w:id="12" w:name="OLE_LINK24"/>
      <w:r>
        <w:drawing>
          <wp:inline distT="0" distB="0" distL="114300" distR="114300">
            <wp:extent cx="6184265" cy="4396105"/>
            <wp:effectExtent l="0" t="0" r="698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439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>装卸臂解决方案</w:t>
      </w:r>
      <w:r>
        <w:rPr>
          <w:rFonts w:hint="eastAsia"/>
          <w:lang w:eastAsia="zh-CN"/>
        </w:rPr>
        <w:t>概述</w:t>
      </w:r>
    </w:p>
    <w:p w14:paraId="498CCBFE">
      <w:pPr>
        <w:pStyle w:val="145"/>
        <w:rPr>
          <w:lang w:eastAsia="zh-CN"/>
        </w:rPr>
      </w:pPr>
      <w:r>
        <w:rPr>
          <w:rFonts w:hint="eastAsia"/>
          <w:lang w:eastAsia="zh-CN"/>
        </w:rPr>
        <w:t>装卸臂解决方案是指专门设计的铰接式管道系统，用于在固定式储存设施和移动单元之间安全高效地输送液体或气体。它们是散装液体/气体处理行业的核心设备，由于其稳定性、耐用性和安全性，在许多高风险场景中取代了刚性软管。</w:t>
      </w:r>
    </w:p>
    <w:p w14:paraId="2BC4A487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根据QYResearch最新调研报告显示，预计2032年全球</w:t>
      </w:r>
      <w:r>
        <w:rPr>
          <w:lang w:eastAsia="zh-CN"/>
        </w:rPr>
        <w:t>装卸臂解决方案</w:t>
      </w:r>
      <w:r>
        <w:rPr>
          <w:rFonts w:hint="eastAsia"/>
          <w:lang w:eastAsia="zh-CN"/>
        </w:rPr>
        <w:t>市场规模将达到11.2亿美元，未来几年年复合增长率CAGR为4.8%。</w:t>
      </w:r>
    </w:p>
    <w:p w14:paraId="435E3011">
      <w:pPr>
        <w:pStyle w:val="145"/>
        <w:rPr>
          <w:lang w:eastAsia="zh-CN"/>
        </w:rPr>
      </w:pPr>
    </w:p>
    <w:p w14:paraId="3F6C272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lang w:eastAsia="zh-CN"/>
        </w:rPr>
        <w:t>装卸臂解决方案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88710" cy="2954655"/>
            <wp:effectExtent l="0" t="0" r="2540" b="0"/>
            <wp:docPr id="199303096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机械及设备研究中心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全球</w:t>
      </w:r>
      <w:r>
        <w:rPr>
          <w:lang w:eastAsia="zh-CN"/>
        </w:rPr>
        <w:t>装卸臂解决方案</w:t>
      </w:r>
      <w:r>
        <w:rPr>
          <w:rFonts w:hint="eastAsia"/>
          <w:lang w:eastAsia="zh-CN"/>
        </w:rPr>
        <w:t>市场前9强生产商排名及市场占有率（基于2025年调研数据；目前最新数据以本公司最新调研数据为准）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3352800"/>
            <wp:effectExtent l="0" t="0" r="0" b="0"/>
            <wp:docPr id="17354308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430802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335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机械及设备研究中心。行业处于不断变动之中，最新数据请联系QYResearch咨询。</w:t>
      </w:r>
    </w:p>
    <w:p w14:paraId="112510AD"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目前，全球核心厂商主要分布在欧美和亚太地区。</w:t>
      </w:r>
    </w:p>
    <w:p w14:paraId="6B20EBE4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 w14:paraId="7E19C953">
      <w:pPr>
        <w:pStyle w:val="151"/>
        <w:rPr>
          <w:lang w:eastAsia="zh-CN"/>
        </w:rPr>
      </w:pPr>
      <w:r>
        <w:rPr>
          <w:lang w:eastAsia="zh-CN"/>
        </w:rPr>
        <w:t>装卸臂解决方案产业链分析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467"/>
        <w:gridCol w:w="6778"/>
      </w:tblGrid>
      <w:tr w14:paraId="1AB5A23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shd w:val="solid" w:color="000080" w:fill="FFFFFF"/>
            <w:vAlign w:val="center"/>
          </w:tcPr>
          <w:p w14:paraId="3E4D731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solid" w:color="000080" w:fill="FFFFFF"/>
            <w:vAlign w:val="center"/>
          </w:tcPr>
          <w:p w14:paraId="3C45B9B0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产业</w:t>
            </w:r>
          </w:p>
        </w:tc>
        <w:tc>
          <w:tcPr>
            <w:tcW w:w="3401" w:type="pct"/>
            <w:shd w:val="solid" w:color="000080" w:fill="FFFFFF"/>
            <w:vAlign w:val="center"/>
          </w:tcPr>
          <w:p w14:paraId="59F15779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99619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451BCE20">
            <w:pPr>
              <w:rPr>
                <w:rFonts w:cs="Times New Roman"/>
                <w:kern w:val="0"/>
                <w:sz w:val="20"/>
                <w:szCs w:val="20"/>
              </w:rPr>
            </w:pPr>
            <w:bookmarkStart w:id="16" w:name="_GoBack" w:colFirst="0" w:colLast="2"/>
            <w:r>
              <w:rPr>
                <w:rFonts w:hint="eastAsia" w:cs="Times New Roman"/>
                <w:kern w:val="0"/>
                <w:sz w:val="20"/>
                <w:szCs w:val="20"/>
              </w:rPr>
              <w:t>上游</w:t>
            </w:r>
          </w:p>
        </w:tc>
        <w:tc>
          <w:tcPr>
            <w:tcW w:w="1238" w:type="pct"/>
            <w:shd w:val="clear" w:color="auto" w:fill="auto"/>
            <w:vAlign w:val="center"/>
          </w:tcPr>
          <w:p w14:paraId="56BF6E6D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原材料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21CEFD68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特种钢（不锈钢、双相钢）、铝合金、耐低温密封材料、高压橡胶软管</w:t>
            </w:r>
          </w:p>
          <w:p w14:paraId="4D405F55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耐腐蚀性、耐低温性（适用于LNG/LPG）、耐高压性（≥10MPa）</w:t>
            </w:r>
          </w:p>
        </w:tc>
      </w:tr>
      <w:tr w14:paraId="2FF15AD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30330A1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3117BF6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核心部件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25F63C61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旋转接头、平衡装置（气动/机械）、紧急切断阀、快速连接接头</w:t>
            </w:r>
          </w:p>
          <w:p w14:paraId="77165CC1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旋转精度≤0.02°，密封性能符合API 6A标准，使用寿命≥50,000次循环</w:t>
            </w:r>
          </w:p>
        </w:tc>
      </w:tr>
      <w:tr w14:paraId="57A7229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0E2EEA9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38E9EE2F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控制与安全系统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43A8C6C5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PLC控制器、安全继电器（SIL3）、液位传感器、ESD系统</w:t>
            </w:r>
          </w:p>
          <w:p w14:paraId="01634051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符合IEC 61508标准，响应时间&lt;1秒，具备远程监控功能</w:t>
            </w:r>
          </w:p>
        </w:tc>
      </w:tr>
      <w:tr w14:paraId="54977E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4E6299A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中游</w:t>
            </w:r>
          </w:p>
        </w:tc>
        <w:tc>
          <w:tcPr>
            <w:tcW w:w="1238" w:type="pct"/>
            <w:shd w:val="clear" w:color="auto" w:fill="auto"/>
            <w:vAlign w:val="center"/>
          </w:tcPr>
          <w:p w14:paraId="37AD2C74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定制设计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098F2BFF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根据介质类型（石油产品、液化天然气、化学品）、装卸场景（船对岸、陆上罐车）和安全标准（API、EN、GB），进行个性化设计。例如，液化天然气低温装卸臂需要采用真空绝热技术。</w:t>
            </w:r>
          </w:p>
        </w:tc>
      </w:tr>
      <w:tr w14:paraId="35F0A9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13C0A221">
            <w:pPr>
              <w:rPr>
                <w:rFonts w:hint="eastAsia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60188DA0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关键工艺包括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28FE1176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臂体精密加工、低温压力容器焊接、旋转接头组装调试以及控制系统集成。压力容器制造资质（例如ASME U钢印）是必要条件。</w:t>
            </w:r>
          </w:p>
        </w:tc>
      </w:tr>
      <w:tr w14:paraId="0FE1B4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546D79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06CC814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系统集成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6E88C45A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将装卸臂与蒸汽回收系统、伴热系统和远程监控平台相结合，形成完整的流体输送解决方案。</w:t>
            </w:r>
          </w:p>
        </w:tc>
      </w:tr>
      <w:tr w14:paraId="6BBF4B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52DEA17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下游</w:t>
            </w:r>
          </w:p>
        </w:tc>
        <w:tc>
          <w:tcPr>
            <w:tcW w:w="1238" w:type="pct"/>
            <w:shd w:val="clear" w:color="auto" w:fill="auto"/>
            <w:vAlign w:val="center"/>
          </w:tcPr>
          <w:p w14:paraId="41E44B0F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石油及石化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6904D02C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油库、炼油厂、沿海码头</w:t>
            </w:r>
          </w:p>
          <w:p w14:paraId="6E206493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大流量装卸（≥1000立方米/小时），防爆、防漏</w:t>
            </w:r>
          </w:p>
        </w:tc>
      </w:tr>
      <w:tr w14:paraId="206E35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743F4FD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3BE81B38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液化天然气/液化石油气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75096EAE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接收站、液化厂、加注站</w:t>
            </w:r>
          </w:p>
          <w:p w14:paraId="5268FAE6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耐低温（液化天然气可达-162℃），快速连接</w:t>
            </w:r>
          </w:p>
        </w:tc>
      </w:tr>
      <w:tr w14:paraId="10AAE7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42B50ADA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366E1B46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化工行业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6631BDEC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化工园区、医药原料基地</w:t>
            </w:r>
          </w:p>
          <w:p w14:paraId="39190A3F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耐腐蚀，闭环输送</w:t>
            </w:r>
          </w:p>
        </w:tc>
      </w:tr>
      <w:tr w14:paraId="64FE196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1F31EA4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pct"/>
            <w:shd w:val="clear" w:color="auto" w:fill="auto"/>
            <w:vAlign w:val="center"/>
          </w:tcPr>
          <w:p w14:paraId="58F4533E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铁路及公路物流</w:t>
            </w:r>
          </w:p>
        </w:tc>
        <w:tc>
          <w:tcPr>
            <w:tcW w:w="3401" w:type="pct"/>
            <w:shd w:val="clear" w:color="auto" w:fill="auto"/>
            <w:vAlign w:val="top"/>
          </w:tcPr>
          <w:p w14:paraId="636FF307">
            <w:pPr>
              <w:jc w:val="left"/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罐车装卸站</w:t>
            </w:r>
          </w:p>
          <w:p w14:paraId="302A61FE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高效，自动定位</w:t>
            </w:r>
          </w:p>
        </w:tc>
      </w:tr>
      <w:bookmarkEnd w:id="16"/>
    </w:tbl>
    <w:p w14:paraId="24BA5732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51F33C98">
      <w:pPr>
        <w:pStyle w:val="151"/>
        <w:widowControl w:val="0"/>
        <w:ind w:left="252" w:leftChars="-50" w:right="-105" w:rightChars="-50" w:hanging="357"/>
        <w:rPr>
          <w:lang w:eastAsia="zh-CN"/>
        </w:rPr>
      </w:pPr>
      <w:bookmarkStart w:id="13" w:name="_Toc207814809"/>
      <w:bookmarkStart w:id="14" w:name="_Toc60772837"/>
      <w:r>
        <w:rPr>
          <w:lang w:eastAsia="zh-CN"/>
        </w:rPr>
        <w:t>装卸臂解决方案</w:t>
      </w:r>
      <w:r>
        <w:rPr>
          <w:rFonts w:hint="eastAsia"/>
          <w:lang w:eastAsia="zh-CN"/>
        </w:rPr>
        <w:t>行业政策分析</w:t>
      </w:r>
      <w:bookmarkEnd w:id="13"/>
      <w:bookmarkEnd w:id="14"/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581"/>
        <w:gridCol w:w="6923"/>
      </w:tblGrid>
      <w:tr w14:paraId="7E00D4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7B6884B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295" w:type="pct"/>
            <w:shd w:val="solid" w:color="000080" w:fill="FFFFFF"/>
            <w:vAlign w:val="center"/>
          </w:tcPr>
          <w:p w14:paraId="73B90140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政策</w:t>
            </w:r>
          </w:p>
        </w:tc>
        <w:tc>
          <w:tcPr>
            <w:tcW w:w="3474" w:type="pct"/>
            <w:shd w:val="solid" w:color="000080" w:fill="FFFFFF"/>
            <w:vAlign w:val="center"/>
          </w:tcPr>
          <w:p w14:paraId="1B71F641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CFC70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0EFED3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pct"/>
            <w:shd w:val="clear" w:color="auto" w:fill="auto"/>
            <w:vAlign w:val="center"/>
          </w:tcPr>
          <w:p w14:paraId="0F6B90C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国际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5C26831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IMO MARPOL 附则 VI、API 6A、EN 14748 </w:t>
            </w:r>
          </w:p>
          <w:p w14:paraId="07E46A3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船舶零泄漏、压力容器安全、泄漏检测 </w:t>
            </w:r>
          </w:p>
          <w:p w14:paraId="2C9DCE34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推广闭环系统和先进密封技术</w:t>
            </w:r>
          </w:p>
        </w:tc>
      </w:tr>
      <w:tr w14:paraId="175311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B804AB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pct"/>
            <w:shd w:val="clear" w:color="auto" w:fill="auto"/>
            <w:vAlign w:val="center"/>
          </w:tcPr>
          <w:p w14:paraId="43C02A2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欧盟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7C4F47C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船舶设备指令 (MED 2024)、EU 2023/1230 </w:t>
            </w:r>
          </w:p>
          <w:p w14:paraId="00E0D7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网络安全认证、碳排放限制 </w:t>
            </w:r>
          </w:p>
          <w:p w14:paraId="3E1DC67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提高研发成本；促进智能监控的普及</w:t>
            </w:r>
          </w:p>
        </w:tc>
      </w:tr>
      <w:tr w14:paraId="1222187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AD9DE51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95" w:type="pct"/>
            <w:shd w:val="clear" w:color="auto" w:fill="auto"/>
            <w:vAlign w:val="center"/>
          </w:tcPr>
          <w:p w14:paraId="4332C8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美国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12C19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基础设施投资与就业法案、OSHA 1910.119</w:t>
            </w:r>
          </w:p>
          <w:p w14:paraId="406787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对55%以上本地化智能设备提供30%的税收抵免 </w:t>
            </w:r>
          </w:p>
          <w:p w14:paraId="0E4898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加速国内替代和数字化转型</w:t>
            </w:r>
          </w:p>
        </w:tc>
      </w:tr>
      <w:tr w14:paraId="3FDDC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CFF4CC6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295" w:type="pct"/>
            <w:shd w:val="clear" w:color="auto" w:fill="auto"/>
            <w:vAlign w:val="center"/>
          </w:tcPr>
          <w:p w14:paraId="49311EE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中国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5F4FD64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智能制造“十四五”规划、VOCs 减排计划 </w:t>
            </w:r>
          </w:p>
          <w:p w14:paraId="3133AEC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新项目强制进行泄漏检测与修复 (LDAR) </w:t>
            </w:r>
          </w:p>
          <w:p w14:paraId="7C7C192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推动对环保改造的需求</w:t>
            </w:r>
          </w:p>
        </w:tc>
      </w:tr>
      <w:tr w14:paraId="63D446F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2A02ED2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95" w:type="pct"/>
            <w:shd w:val="clear" w:color="auto" w:fill="auto"/>
            <w:vAlign w:val="center"/>
          </w:tcPr>
          <w:p w14:paraId="5630E9D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亚太地区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3F597B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新加坡海事及港务管理局 (MPA)、韩国职业安全与健康管理局 (KOSHA) </w:t>
            </w:r>
          </w:p>
          <w:p w14:paraId="34C6016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 xml:space="preserve">严格的码头安全审核、定期设备认证 </w:t>
            </w:r>
          </w:p>
          <w:p w14:paraId="2D885F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增加维护成本；偏爱高端供应商</w:t>
            </w:r>
          </w:p>
        </w:tc>
      </w:tr>
    </w:tbl>
    <w:p w14:paraId="2CFF1C73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4B7DF85B">
      <w:pPr>
        <w:pStyle w:val="151"/>
        <w:rPr>
          <w:lang w:eastAsia="zh-CN"/>
        </w:rPr>
      </w:pPr>
      <w:bookmarkStart w:id="15" w:name="_Toc207814808"/>
      <w:r>
        <w:rPr>
          <w:lang w:eastAsia="zh-CN"/>
        </w:rPr>
        <w:t>装卸臂解决方案</w:t>
      </w:r>
      <w:r>
        <w:rPr>
          <w:rFonts w:hint="eastAsia"/>
          <w:lang w:eastAsia="zh-CN"/>
        </w:rPr>
        <w:t>行业发展</w:t>
      </w:r>
      <w:bookmarkEnd w:id="15"/>
      <w:r>
        <w:rPr>
          <w:rFonts w:hint="eastAsia"/>
          <w:lang w:eastAsia="zh-CN"/>
        </w:rPr>
        <w:t>趋势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437"/>
        <w:gridCol w:w="7067"/>
      </w:tblGrid>
      <w:tr w14:paraId="54343F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3AAD9353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223" w:type="pct"/>
            <w:shd w:val="solid" w:color="000080" w:fill="FFFFFF"/>
            <w:vAlign w:val="center"/>
          </w:tcPr>
          <w:p w14:paraId="2FF9AFF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发展趋势</w:t>
            </w:r>
          </w:p>
        </w:tc>
        <w:tc>
          <w:tcPr>
            <w:tcW w:w="3547" w:type="pct"/>
            <w:shd w:val="solid" w:color="000080" w:fill="FFFFFF"/>
            <w:vAlign w:val="center"/>
          </w:tcPr>
          <w:p w14:paraId="18DF93C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5BDA0E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381BD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535838E6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智能自动化集成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7A8BAF89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主要特性：物联网传感器、PLC+远程控制、预测性维护（故障率降低40%）、自动定位（精度±5厘米）。</w:t>
            </w:r>
          </w:p>
        </w:tc>
      </w:tr>
      <w:tr w14:paraId="597561D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75093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3FEF2333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材料与能效创新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43F77AEA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轻量化材料：采用碳纤维/复合材料；重量降低28%，承载能力提升15%。</w:t>
            </w:r>
          </w:p>
          <w:p w14:paraId="083335F5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低温适应性：液化天然气真空绝热（-162℃）；液氢聚四氟乙烯密封（-253℃）。</w:t>
            </w:r>
          </w:p>
          <w:p w14:paraId="542639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节能：动态能源监控平均降低能耗17%；碳交易将投资回收期缩短至3.8年。</w:t>
            </w:r>
          </w:p>
        </w:tc>
      </w:tr>
      <w:tr w14:paraId="3D6282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7372FC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6B30A162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新能源驱动的需求转变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01E5A2CA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液化天然气装载臂：浮式液化天然气装置和小型终端推动需求增长。</w:t>
            </w:r>
          </w:p>
          <w:p w14:paraId="43AC20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氢气与新型化学品：液氢/锂电解液业务订单不断增长；需要符合ATEX II 2G防爆标准。</w:t>
            </w:r>
          </w:p>
        </w:tc>
      </w:tr>
    </w:tbl>
    <w:p w14:paraId="140271A2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64C1AE96">
      <w:pPr>
        <w:pStyle w:val="151"/>
        <w:rPr>
          <w:lang w:eastAsia="zh-CN"/>
        </w:rPr>
      </w:pPr>
      <w:r>
        <w:rPr>
          <w:lang w:eastAsia="zh-CN"/>
        </w:rPr>
        <w:t>装卸臂解决方案</w:t>
      </w:r>
      <w:r>
        <w:rPr>
          <w:rFonts w:hint="eastAsia"/>
          <w:lang w:eastAsia="zh-CN"/>
        </w:rPr>
        <w:t>行业发展机会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437"/>
        <w:gridCol w:w="7067"/>
      </w:tblGrid>
      <w:tr w14:paraId="03B7401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30" w:type="pct"/>
            <w:shd w:val="solid" w:color="000080" w:fill="FFFFFF"/>
            <w:vAlign w:val="center"/>
          </w:tcPr>
          <w:p w14:paraId="75539F6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223" w:type="pct"/>
            <w:shd w:val="solid" w:color="000080" w:fill="FFFFFF"/>
            <w:vAlign w:val="center"/>
          </w:tcPr>
          <w:p w14:paraId="24166C36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发展机会</w:t>
            </w:r>
          </w:p>
        </w:tc>
        <w:tc>
          <w:tcPr>
            <w:tcW w:w="3547" w:type="pct"/>
            <w:shd w:val="solid" w:color="000080" w:fill="FFFFFF"/>
            <w:vAlign w:val="center"/>
          </w:tcPr>
          <w:p w14:paraId="0B4225F8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595D3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82341A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6B9B329B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能源转型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598D3628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液化天然气/氢气基础设施扩张</w:t>
            </w:r>
          </w:p>
          <w:p w14:paraId="3BF15D5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液化天然气接收站、氢气加注中心</w:t>
            </w:r>
          </w:p>
        </w:tc>
      </w:tr>
      <w:tr w14:paraId="15F7F6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FE959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460BE095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环境合规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50B39F6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零泄漏政策；VOC减排指令</w:t>
            </w:r>
          </w:p>
        </w:tc>
      </w:tr>
      <w:tr w14:paraId="4B7B68C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4BD7D1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5475C0B0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本地化替代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2AE1C282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核心部件突破（低温阀门/旋转接头）</w:t>
            </w:r>
          </w:p>
          <w:p w14:paraId="446E0325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陆上油库、中型液化天然气接收站</w:t>
            </w:r>
          </w:p>
        </w:tc>
      </w:tr>
      <w:tr w14:paraId="20CB018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870497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223" w:type="pct"/>
            <w:shd w:val="clear" w:color="auto" w:fill="auto"/>
            <w:vAlign w:val="center"/>
          </w:tcPr>
          <w:p w14:paraId="66BEBDD5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服务导向型转型</w:t>
            </w:r>
          </w:p>
        </w:tc>
        <w:tc>
          <w:tcPr>
            <w:tcW w:w="3547" w:type="pct"/>
            <w:shd w:val="clear" w:color="auto" w:fill="auto"/>
            <w:vAlign w:val="center"/>
          </w:tcPr>
          <w:p w14:paraId="4A19B9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全生命周期服务（设备+运营+维护）；服务收入占比目标&gt;30%</w:t>
            </w:r>
          </w:p>
          <w:p w14:paraId="0B95271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售后服务维护成本占设备价值的3%-5%</w:t>
            </w:r>
          </w:p>
          <w:p w14:paraId="3E8574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跨境终端运营、远程维护合同</w:t>
            </w:r>
          </w:p>
        </w:tc>
      </w:tr>
    </w:tbl>
    <w:p w14:paraId="2706EFFD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5031831E">
      <w:pPr>
        <w:pStyle w:val="151"/>
        <w:rPr>
          <w:lang w:eastAsia="zh-CN"/>
        </w:rPr>
      </w:pPr>
      <w:r>
        <w:rPr>
          <w:lang w:eastAsia="zh-CN"/>
        </w:rPr>
        <w:t>装卸臂解决方案</w:t>
      </w:r>
      <w:r>
        <w:rPr>
          <w:rFonts w:hint="eastAsia"/>
          <w:lang w:eastAsia="zh-CN"/>
        </w:rPr>
        <w:t>行业发展阻碍因素/挑战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002"/>
        <w:gridCol w:w="7502"/>
      </w:tblGrid>
      <w:tr w14:paraId="7BDB36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67FF74F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05" w:type="pct"/>
            <w:shd w:val="solid" w:color="000080" w:fill="FFFFFF"/>
            <w:vAlign w:val="center"/>
          </w:tcPr>
          <w:p w14:paraId="463F4A45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阻碍因素/挑战</w:t>
            </w:r>
          </w:p>
        </w:tc>
        <w:tc>
          <w:tcPr>
            <w:tcW w:w="3766" w:type="pct"/>
            <w:shd w:val="solid" w:color="000080" w:fill="FFFFFF"/>
            <w:vAlign w:val="center"/>
          </w:tcPr>
          <w:p w14:paraId="0511183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E1964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3D10B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pct"/>
            <w:shd w:val="clear" w:color="auto" w:fill="auto"/>
            <w:vAlign w:val="center"/>
          </w:tcPr>
          <w:p w14:paraId="25AA1888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技术壁垒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2AC6CC92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高端组件依赖性：低温旋转接头和SIL3安全控制器仍有65%依赖进口；交货期为12-14周。</w:t>
            </w:r>
          </w:p>
          <w:p w14:paraId="27A2CC5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集成复杂性：定制的低温/高腐蚀系统需要符合多项标准（API + EN + GB）；研发周期为18-24个月。</w:t>
            </w:r>
          </w:p>
          <w:p w14:paraId="097BD1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技能差距：新兴市场中仅有35%的操作人员满足智能系统操作要求。</w:t>
            </w:r>
          </w:p>
        </w:tc>
      </w:tr>
      <w:tr w14:paraId="629C05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F23AB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05" w:type="pct"/>
            <w:shd w:val="clear" w:color="auto" w:fill="auto"/>
            <w:vAlign w:val="center"/>
          </w:tcPr>
          <w:p w14:paraId="768547F9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成本和运营压力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7C843560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原材料波动：特种钢价格上涨23%（2020-2023年）；制造成本上涨12%。</w:t>
            </w:r>
          </w:p>
          <w:p w14:paraId="7700A1A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进口零部件溢价：核心组件成本比国产替代品高出30%-45%；利润率被压缩至18%-22%。</w:t>
            </w:r>
          </w:p>
          <w:p w14:paraId="722723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初始投资高：自动化船用机械臂的成本是手动机械臂的2-3倍；东南亚/非洲的小型港口会延缓升级。</w:t>
            </w:r>
          </w:p>
        </w:tc>
      </w:tr>
      <w:tr w14:paraId="6EA3AE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699B3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05" w:type="pct"/>
            <w:shd w:val="clear" w:color="auto" w:fill="auto"/>
            <w:vAlign w:val="center"/>
          </w:tcPr>
          <w:p w14:paraId="217E4810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市场及竞争风险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2BAECB7A">
            <w:pPr>
              <w:rPr>
                <w:rFonts w:hint="eastAsia"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国际竞争：全球企业凭借品牌/技术优势占据中国高端市场40%-50%的份额。</w:t>
            </w:r>
          </w:p>
          <w:p w14:paraId="6BC0D8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替代技术竞争：柔性软管和移动式装载系统每年蚕食刚性臂8%-10%的市场份额。</w:t>
            </w:r>
          </w:p>
          <w:p w14:paraId="049F4EE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监管合规负担：冗长的认证流程导致产品上市延迟6-8个月；合规成本每年高达20%。</w:t>
            </w:r>
          </w:p>
        </w:tc>
      </w:tr>
    </w:tbl>
    <w:p w14:paraId="6BF1349A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3808FA7A">
      <w:pPr>
        <w:pStyle w:val="143"/>
        <w:rPr>
          <w:lang w:eastAsia="zh-CN"/>
        </w:rPr>
      </w:pPr>
    </w:p>
    <w:p w14:paraId="44C61FC0">
      <w:pPr>
        <w:pStyle w:val="145"/>
        <w:rPr>
          <w:lang w:eastAsia="zh-CN"/>
        </w:rPr>
      </w:pPr>
    </w:p>
    <w:p w14:paraId="0BA9BF5E"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Book Antiqua">
    <w:panose1 w:val="02040602050305030304"/>
    <w:charset w:val="01"/>
    <w:family w:val="auto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2FF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699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3E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77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02D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3DC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7CF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3FFA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EAC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66B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658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33F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0C1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CC5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5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9C5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5D00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959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C11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3FFC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0F6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1CD1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3F72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536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20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37EC8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CD7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29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CAD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B41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BB4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C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5D8D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36C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0EB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BEE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798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4B2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D08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3C2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1E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C86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319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437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B8D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29D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2D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D07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073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657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A4A512A"/>
    <w:rsid w:val="6393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05">
    <w:name w:val="表"/>
    <w:basedOn w:val="148"/>
    <w:link w:val="206"/>
    <w:qFormat/>
    <w:uiPriority w:val="0"/>
    <w:rPr>
      <w:lang w:eastAsia="zh-CN"/>
    </w:rPr>
  </w:style>
  <w:style w:type="character" w:customStyle="1" w:styleId="206">
    <w:name w:val="表 字符"/>
    <w:basedOn w:val="150"/>
    <w:link w:val="205"/>
    <w:uiPriority w:val="0"/>
    <w:rPr>
      <w:rFonts w:ascii="Tahoma" w:hAnsi="Tahoma" w:eastAsia="宋体" w:cs="Arial"/>
      <w:color w:val="FF8200"/>
      <w:kern w:val="0"/>
      <w:sz w:val="22"/>
      <w:szCs w:val="22"/>
      <w:lang w:eastAsia="en-US"/>
    </w:rPr>
  </w:style>
  <w:style w:type="paragraph" w:customStyle="1" w:styleId="207">
    <w:name w:val="表.   Table S"/>
    <w:basedOn w:val="151"/>
    <w:link w:val="208"/>
    <w:uiPriority w:val="0"/>
    <w:pPr>
      <w:widowControl w:val="0"/>
      <w:spacing w:line="288" w:lineRule="auto"/>
      <w:ind w:left="252" w:right="-105" w:rightChars="-50" w:hanging="357"/>
    </w:pPr>
    <w:rPr>
      <w:u w:val="single"/>
      <w:lang w:eastAsia="zh-CN"/>
    </w:rPr>
  </w:style>
  <w:style w:type="character" w:customStyle="1" w:styleId="208">
    <w:name w:val="表.   Table S 字符"/>
    <w:basedOn w:val="168"/>
    <w:link w:val="207"/>
    <w:uiPriority w:val="0"/>
    <w:rPr>
      <w:rFonts w:ascii="Tahoma" w:hAnsi="Tahoma" w:eastAsia="宋体" w:cs="Calibri"/>
      <w:caps w:val="0"/>
      <w:color w:val="FF8200"/>
      <w:spacing w:val="-3"/>
      <w:kern w:val="0"/>
      <w:sz w:val="40"/>
      <w:szCs w:val="22"/>
      <w:u w:val="single"/>
      <w:lang w:val="en-IN" w:eastAsia="en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26700;&#38754;\&#23459;&#20256;&#25991;&#20214;-&#25253;&#21578;&#27169;&#26495;\&#35266;&#28857;&#25968;&#25454;&#22270;&#34920;&#27169;&#26495;-&#27169;&#26495;%2020240612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全球市场规模（百万美元），</a:t>
            </a:r>
            <a:r>
              <a:rPr lang="en-US" alt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2026</a:t>
            </a:r>
            <a:r>
              <a:rPr lang="en-US" altLang="zh-CN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cs typeface="Times New Roman" panose="02020603050405020304" charset="0"/>
              </a:rPr>
              <a:t> VS 2032</a:t>
            </a:r>
            <a:endParaRPr lang="en-US" altLang="zh-CN"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Times New Roman" panose="02020603050405020304" charset="0"/>
              <a:cs typeface="Times New Roman" panose="02020603050405020304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783950617284"/>
          <c:y val="0.139741503267974"/>
          <c:w val="0.956882716049383"/>
          <c:h val="0.7639781045751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全球总体!$T$6:$U$6</c:f>
              <c:numCache>
                <c:formatCode>General</c:formatCode>
                <c:ptCount val="2"/>
                <c:pt idx="0">
                  <c:v>2026</c:v>
                </c:pt>
                <c:pt idx="1">
                  <c:v>2032</c:v>
                </c:pt>
              </c:numCache>
            </c:numRef>
          </c:cat>
          <c:val>
            <c:numRef>
              <c:f>全球总体!$T$7:$U$7</c:f>
              <c:numCache>
                <c:formatCode>#,##0_ </c:formatCode>
                <c:ptCount val="2"/>
                <c:pt idx="0">
                  <c:v>894.003430024401</c:v>
                </c:pt>
                <c:pt idx="1">
                  <c:v>1181.47423674467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flat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b0620c0c-1837-4d5e-966d-2901dd35ff9c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0.43661</cdr:x>
      <cdr:y>0.29825</cdr:y>
    </cdr:from>
    <cdr:to>
      <cdr:x>0.56834</cdr:x>
      <cdr:y>0.41076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0847704">
          <a:off x="2797794" y="912652"/>
          <a:ext cx="844098" cy="344275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en-US" sz="1100" b="0" i="0" u="none" strike="noStrike" baseline="0">
              <a:solidFill>
                <a:srgbClr val="000000"/>
              </a:solidFill>
              <a:latin typeface="Book Antiqua" panose="02040602050305030304"/>
              <a:ea typeface="宋体" panose="02010600030101010101" charset="-122"/>
              <a:cs typeface="Times New Roman" panose="02020603050405020304" charset="0"/>
            </a:rPr>
            <a:t>4.8%</a:t>
          </a:r>
          <a:endParaRPr lang="zh-CN" sz="1000" baseline="0"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1201</Words>
  <Characters>1393</Characters>
  <Lines>179</Lines>
  <Paragraphs>117</Paragraphs>
  <TotalTime>811</TotalTime>
  <ScaleCrop>false</ScaleCrop>
  <LinksUpToDate>false</LinksUpToDate>
  <CharactersWithSpaces>1420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2026-02-05T09:44:55Z</dcterms:modified>
  <cp:revision>954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4B0D54BA62994ED38CA0B4A76EA206D3_12</vt:lpwstr>
  </property>
</Properties>
</file>