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48F89A">
      <w:pPr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-1045210</wp:posOffset>
                </wp:positionH>
                <wp:positionV relativeFrom="paragraph">
                  <wp:posOffset>169545</wp:posOffset>
                </wp:positionV>
                <wp:extent cx="7350760" cy="1311910"/>
                <wp:effectExtent l="0" t="0" r="0" b="0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50760" cy="13119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F4706C"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264" w:lineRule="auto"/>
                              <w:jc w:val="center"/>
                              <w:textAlignment w:val="auto"/>
                              <w:rPr>
                                <w:rFonts w:hint="eastAsia" w:ascii="黑体" w:hAnsi="黑体" w:eastAsia="黑体" w:cs="Source Han Sans SC Bold"/>
                                <w:b/>
                                <w:bCs/>
                                <w:color w:val="FFFFFF"/>
                                <w:kern w:val="0"/>
                                <w:sz w:val="72"/>
                                <w:szCs w:val="72"/>
                                <w:lang w:bidi="ar"/>
                              </w:rPr>
                            </w:pPr>
                            <w:r>
                              <w:rPr>
                                <w:rFonts w:hint="eastAsia" w:ascii="黑体" w:hAnsi="黑体" w:eastAsia="黑体" w:cs="Source Han Sans SC Bold"/>
                                <w:b/>
                                <w:bCs/>
                                <w:color w:val="FFFFFF"/>
                                <w:kern w:val="0"/>
                                <w:sz w:val="72"/>
                                <w:szCs w:val="72"/>
                                <w:lang w:bidi="ar"/>
                              </w:rPr>
                              <w:t>重点城市</w:t>
                            </w:r>
                            <w:r>
                              <w:rPr>
                                <w:rFonts w:hint="eastAsia" w:ascii="黑体" w:hAnsi="黑体" w:eastAsia="黑体" w:cs="Source Han Sans SC Bold"/>
                                <w:b/>
                                <w:bCs/>
                                <w:color w:val="FFFFFF"/>
                                <w:kern w:val="0"/>
                                <w:sz w:val="72"/>
                                <w:szCs w:val="72"/>
                                <w:lang w:val="en-US" w:eastAsia="zh-CN" w:bidi="ar"/>
                              </w:rPr>
                              <w:t>市场情绪指数</w:t>
                            </w:r>
                            <w:r>
                              <w:rPr>
                                <w:rFonts w:hint="eastAsia" w:ascii="黑体" w:hAnsi="黑体" w:eastAsia="黑体" w:cs="Source Han Sans SC Bold"/>
                                <w:b/>
                                <w:bCs/>
                                <w:color w:val="FFFFFF"/>
                                <w:kern w:val="0"/>
                                <w:sz w:val="72"/>
                                <w:szCs w:val="72"/>
                                <w:lang w:bidi="ar"/>
                              </w:rPr>
                              <w:t>报告</w:t>
                            </w:r>
                          </w:p>
                          <w:p w14:paraId="5903F2FC"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264" w:lineRule="auto"/>
                              <w:jc w:val="center"/>
                              <w:textAlignment w:val="auto"/>
                              <w:rPr>
                                <w:rFonts w:hint="eastAsia" w:ascii="黑体" w:hAnsi="黑体" w:eastAsia="黑体" w:cs="Source Han Sans SC Bold"/>
                                <w:b/>
                                <w:bCs/>
                                <w:color w:val="FFFFFF"/>
                                <w:kern w:val="0"/>
                                <w:sz w:val="72"/>
                                <w:szCs w:val="72"/>
                                <w:lang w:val="en-US" w:eastAsia="zh-CN" w:bidi="ar"/>
                              </w:rPr>
                            </w:pPr>
                            <w:r>
                              <w:rPr>
                                <w:rFonts w:hint="eastAsia" w:ascii="黑体" w:hAnsi="黑体" w:eastAsia="黑体" w:cs="Source Han Sans SC Bold"/>
                                <w:b/>
                                <w:bCs/>
                                <w:color w:val="FFFFFF"/>
                                <w:kern w:val="0"/>
                                <w:sz w:val="72"/>
                                <w:szCs w:val="72"/>
                                <w:lang w:val="en-US" w:eastAsia="zh-CN" w:bidi="ar"/>
                              </w:rPr>
                              <w:t>（2024年7月）</w:t>
                            </w:r>
                          </w:p>
                          <w:p w14:paraId="6A1A2071">
                            <w:pPr>
                              <w:keepNext w:val="0"/>
                              <w:keepLines w:val="0"/>
                              <w:pageBreakBefore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264" w:lineRule="auto"/>
                              <w:jc w:val="center"/>
                              <w:textAlignment w:val="auto"/>
                              <w:rPr>
                                <w:rFonts w:ascii="黑体" w:hAnsi="黑体" w:eastAsia="黑体" w:cs="Source Han Sans SC Bold"/>
                                <w:b/>
                                <w:bCs/>
                                <w:sz w:val="72"/>
                                <w:szCs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82.3pt;margin-top:13.35pt;height:103.3pt;width:578.8pt;mso-position-horizontal-relative:margin;z-index:251665408;mso-width-relative:page;mso-height-relative:page;" filled="f" stroked="f" coordsize="21600,21600" o:gfxdata="UEsDBAoAAAAAAIdO4kAAAAAAAAAAAAAAAAAEAAAAZHJzL1BLAwQUAAAACACHTuJAQ3cteNwAAAAL&#10;AQAADwAAAGRycy9kb3ducmV2LnhtbE2Py07DMBBF90j8gzVI7FrnAaENcSoUqUJCdNHSDbtJ7CYR&#10;8TjE7gO+nmEFy5k5unNusbrYQZzM5HtHCuJ5BMJQ43RPrYL923q2AOEDksbBkVHwZTysyuurAnPt&#10;zrQ1p11oBYeQz1FBF8KYS+mbzlj0czca4tvBTRYDj1Mr9YRnDreDTKIokxZ74g8djqbqTPOxO1oF&#10;L9V6g9s6sYvvoXp+PTyNn/v3e6Vub+LoEUQwl/AHw68+q0PJTrU7kvZiUDCLs7uMWQVJ9gCCieUy&#10;5XY1L9I0BVkW8n+H8gdQSwMEFAAAAAgAh07iQJevAJs9AgAAZwQAAA4AAABkcnMvZTJvRG9jLnht&#10;bK1UzW7UMBC+I/EOlu80m/4tXTVbLa2KkCpaqSDOXsdpItkeY3ublAeAN+iJC3eeq8/BZ2d3WxUO&#10;PXBxxjPjmfm+mcnxyWA0u1U+dGQrXu5MOFNWUt3Zm4p//nT+5i1nIQpbC01WVfxOBX4yf/3quHcz&#10;tUst6Vp5hiA2zHpX8TZGNyuKIFtlRNghpyyMDXkjIq7+pqi96BHd6GJ3MjksevK18yRVCNCejUa+&#10;juhfEpCappPqjOTKKBvHqF5pEQEptJ0LfJ6rbRol42XTBBWZrjiQxnwiCeRlOov5sZjdeOHaTq5L&#10;EC8p4RkmIzqLpNtQZyIKtvLdX6FMJz0FauKOJFOMQDIjQFFOnnFz3QqnMhZQHdyW9PD/wsqPt1ee&#10;dXXFp5xZYdDwh/sfDz9/P/z6zqaJnt6FGbyuHfzi8I4GDM1GH6BMqIfGm/QFHgY7yL3bkquGyCSU&#10;072DyfQQJglbuVeWR2Wmv3h87nyI7xUZloSKe3QvkypuL0JEKXDduKRsls47rXMHtWV9xQ+RIj/Y&#10;WvBCWzxMIMZikxSH5bBGtqT6DsA8jZMRnDzvkPxChHglPEYBBWNZ4iWORhOS0FrirCX/7V/65I8O&#10;wcpZj9GqePi6El5xpj9Y9O6o3N9H2Jgv+wfTXVz8U8vyqcWuzClhekuspZNZTP5Rb8TGk/mCnVqk&#10;rDAJK5G74nEjnsZx4LGTUi0W2QnT50S8sNdOptAjnYtVpKbLTCeaRm7W7GH+cgPWu5IG/Ok9ez3+&#10;H+Z/AF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EN3LXjcAAAACwEAAA8AAAAAAAAAAQAgAAAAIgAA&#10;AGRycy9kb3ducmV2LnhtbFBLAQIUABQAAAAIAIdO4kCXrwCbPQIAAGcEAAAOAAAAAAAAAAEAIAAA&#10;ACsBAABkcnMvZTJvRG9jLnhtbFBLBQYAAAAABgAGAFkBAADa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62F4706C">
                      <w:pPr>
                        <w:keepNext w:val="0"/>
                        <w:keepLines w:val="0"/>
                        <w:pageBreakBefore w:val="0"/>
                        <w:widowControl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264" w:lineRule="auto"/>
                        <w:jc w:val="center"/>
                        <w:textAlignment w:val="auto"/>
                        <w:rPr>
                          <w:rFonts w:hint="eastAsia" w:ascii="黑体" w:hAnsi="黑体" w:eastAsia="黑体" w:cs="Source Han Sans SC Bold"/>
                          <w:b/>
                          <w:bCs/>
                          <w:color w:val="FFFFFF"/>
                          <w:kern w:val="0"/>
                          <w:sz w:val="72"/>
                          <w:szCs w:val="72"/>
                          <w:lang w:bidi="ar"/>
                        </w:rPr>
                      </w:pPr>
                      <w:r>
                        <w:rPr>
                          <w:rFonts w:hint="eastAsia" w:ascii="黑体" w:hAnsi="黑体" w:eastAsia="黑体" w:cs="Source Han Sans SC Bold"/>
                          <w:b/>
                          <w:bCs/>
                          <w:color w:val="FFFFFF"/>
                          <w:kern w:val="0"/>
                          <w:sz w:val="72"/>
                          <w:szCs w:val="72"/>
                          <w:lang w:bidi="ar"/>
                        </w:rPr>
                        <w:t>重点城市</w:t>
                      </w:r>
                      <w:r>
                        <w:rPr>
                          <w:rFonts w:hint="eastAsia" w:ascii="黑体" w:hAnsi="黑体" w:eastAsia="黑体" w:cs="Source Han Sans SC Bold"/>
                          <w:b/>
                          <w:bCs/>
                          <w:color w:val="FFFFFF"/>
                          <w:kern w:val="0"/>
                          <w:sz w:val="72"/>
                          <w:szCs w:val="72"/>
                          <w:lang w:val="en-US" w:eastAsia="zh-CN" w:bidi="ar"/>
                        </w:rPr>
                        <w:t>市场情绪指数</w:t>
                      </w:r>
                      <w:r>
                        <w:rPr>
                          <w:rFonts w:hint="eastAsia" w:ascii="黑体" w:hAnsi="黑体" w:eastAsia="黑体" w:cs="Source Han Sans SC Bold"/>
                          <w:b/>
                          <w:bCs/>
                          <w:color w:val="FFFFFF"/>
                          <w:kern w:val="0"/>
                          <w:sz w:val="72"/>
                          <w:szCs w:val="72"/>
                          <w:lang w:bidi="ar"/>
                        </w:rPr>
                        <w:t>报告</w:t>
                      </w:r>
                    </w:p>
                    <w:p w14:paraId="5903F2FC">
                      <w:pPr>
                        <w:keepNext w:val="0"/>
                        <w:keepLines w:val="0"/>
                        <w:pageBreakBefore w:val="0"/>
                        <w:widowControl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264" w:lineRule="auto"/>
                        <w:jc w:val="center"/>
                        <w:textAlignment w:val="auto"/>
                        <w:rPr>
                          <w:rFonts w:hint="eastAsia" w:ascii="黑体" w:hAnsi="黑体" w:eastAsia="黑体" w:cs="Source Han Sans SC Bold"/>
                          <w:b/>
                          <w:bCs/>
                          <w:color w:val="FFFFFF"/>
                          <w:kern w:val="0"/>
                          <w:sz w:val="72"/>
                          <w:szCs w:val="72"/>
                          <w:lang w:val="en-US" w:eastAsia="zh-CN" w:bidi="ar"/>
                        </w:rPr>
                      </w:pPr>
                      <w:r>
                        <w:rPr>
                          <w:rFonts w:hint="eastAsia" w:ascii="黑体" w:hAnsi="黑体" w:eastAsia="黑体" w:cs="Source Han Sans SC Bold"/>
                          <w:b/>
                          <w:bCs/>
                          <w:color w:val="FFFFFF"/>
                          <w:kern w:val="0"/>
                          <w:sz w:val="72"/>
                          <w:szCs w:val="72"/>
                          <w:lang w:val="en-US" w:eastAsia="zh-CN" w:bidi="ar"/>
                        </w:rPr>
                        <w:t>（2024年7月）</w:t>
                      </w:r>
                    </w:p>
                    <w:p w14:paraId="6A1A2071">
                      <w:pPr>
                        <w:keepNext w:val="0"/>
                        <w:keepLines w:val="0"/>
                        <w:pageBreakBefore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264" w:lineRule="auto"/>
                        <w:jc w:val="center"/>
                        <w:textAlignment w:val="auto"/>
                        <w:rPr>
                          <w:rFonts w:ascii="黑体" w:hAnsi="黑体" w:eastAsia="黑体" w:cs="Source Han Sans SC Bold"/>
                          <w:b/>
                          <w:bCs/>
                          <w:sz w:val="72"/>
                          <w:szCs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bookmarkStart w:id="0" w:name="_GoBack"/>
      <w:bookmarkEnd w:id="0"/>
      <w:r>
        <w:rPr>
          <w:rFonts w:hint="eastAsia" w:ascii="黑体" w:hAnsi="黑体" w:eastAsia="黑体" w:cs="黑体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-1241425</wp:posOffset>
                </wp:positionH>
                <wp:positionV relativeFrom="paragraph">
                  <wp:posOffset>-1035050</wp:posOffset>
                </wp:positionV>
                <wp:extent cx="8035290" cy="2971165"/>
                <wp:effectExtent l="0" t="0" r="16510" b="635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16890" y="718820"/>
                          <a:ext cx="8035290" cy="29711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BB00FDC">
                            <w:pPr>
                              <w:rPr>
                                <w:color w:val="FFFFFF" w:themeColor="background1"/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7.75pt;margin-top:-81.5pt;height:233.95pt;width:632.7pt;z-index:251663360;mso-width-relative:page;mso-height-relative:page;" fillcolor="#FFFFFF [3201]" filled="t" stroked="f" coordsize="21600,21600" o:gfxdata="UEsDBAoAAAAAAIdO4kAAAAAAAAAAAAAAAAAEAAAAZHJzL1BLAwQUAAAACACHTuJATVleNdgAAAAO&#10;AQAADwAAAGRycy9kb3ducmV2LnhtbE2Py07DMBBF90j8gzVI7Fo7tI1IiNMFElsk+lq78RBH2OPI&#10;dp9fj7OC3Yzm6M65zfrqLDtjiIMnCcVcAEPqvB6ol7DbfsxegcWkSCvrCSXcMMK6fXxoVK39hb7w&#10;vEk9yyEUayXBpDTWnMfOoFNx7kekfPv2wamU19BzHdQlhzvLX4QouVMD5Q9GjfhusPvZnJyEQ+/u&#10;h30xBqOdXdLn/bbd+UHK56dCvAFLeE1/MEz6WR3a7HT0J9KRWQmzolqtMjtN5SLXmhhRVhWwo4SF&#10;WFbA24b/r9H+AlBLAwQUAAAACACHTuJAPOwWk1oCAACaBAAADgAAAGRycy9lMm9Eb2MueG1srVTB&#10;bhMxEL0j8Q+W73Sz2yRNo26qkCoIqaKVCuLseL1ZS7bH2E52ywfAH/TEhTvf1e9g7N20pXDogRyc&#10;sWfyZt6bmZydd1qRvXBegilpfjSiRBgOlTTbkn76uH4zo8QHZiqmwIiS3gpPzxevX521di4KaEBV&#10;whEEMX7e2pI2Idh5lnneCM38EVhh0FmD0yzg1W2zyrEW0bXKitFomrXgKuuAC+/x9aJ30gHRvQQQ&#10;6lpycQF8p4UJPaoTigWk5BtpPV2kauta8HBV114EokqKTEM6MQnam3hmizM23zpmG8mHEthLSnjG&#10;STNpMOkD1AULjOyc/AtKS+7AQx2OOOisJ5IUQRb56Jk2Nw2zInFBqb19EN3/P1j+YX/tiKxKWlBi&#10;mMaG3999v//x6/7nN1JEeVrr5xh1YzEudG+hw6E5vHt8jKy72un4jXwI+if5dHaKCt+W9CSfzYpB&#10;ZtEFwtE9Gx1PiujnGFCcnuT5dBIRs0cg63x4J0CTaJTUYR+TvGx/6UMfegiJeT0oWa2lUunitpuV&#10;cmTPsOfr9BnQ/whThrQlnR5PRgnZQPx9D60MFhN59/yiFbpNN4ixgeoWtXDQD5O3fC2xykvmwzVz&#10;OD3IDPcrXOFRK8AkMFiUNOC+/us9xmNT0UtJi9NYUv9lx5ygRL032O7TfDxG2JAu48kJSkrcU8/m&#10;qcfs9AqQfI6bbHkyY3xQB7N2oD/jGi5jVnQxwzF3ScPBXIV+R3CNuVguUxAOrGXh0txYHqGj1AaW&#10;uwC1TC2JMvXaDOrhyKamDusVd+LpPUU9/qUsfgN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BNWV41&#10;2AAAAA4BAAAPAAAAAAAAAAEAIAAAACIAAABkcnMvZG93bnJldi54bWxQSwECFAAUAAAACACHTuJA&#10;POwWk1oCAACaBAAADgAAAAAAAAABACAAAAAnAQAAZHJzL2Uyb0RvYy54bWxQSwUGAAAAAAYABgBZ&#10;AQAA8w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1BB00FDC">
                      <w:pPr>
                        <w:rPr>
                          <w:color w:val="FFFFFF" w:themeColor="background1"/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A17EB54">
      <w:pPr>
        <w:rPr>
          <w:rFonts w:ascii="黑体" w:hAnsi="黑体" w:eastAsia="黑体" w:cs="黑体"/>
        </w:rPr>
      </w:pPr>
    </w:p>
    <w:p w14:paraId="535E8676">
      <w:pPr>
        <w:rPr>
          <w:rFonts w:ascii="黑体" w:hAnsi="黑体" w:eastAsia="黑体" w:cs="黑体"/>
        </w:rPr>
      </w:pPr>
    </w:p>
    <w:p w14:paraId="34D01398">
      <w:pPr>
        <w:rPr>
          <w:rFonts w:ascii="黑体" w:hAnsi="黑体" w:eastAsia="黑体" w:cs="黑体"/>
        </w:rPr>
      </w:pPr>
    </w:p>
    <w:p w14:paraId="25D26A70">
      <w:pPr>
        <w:rPr>
          <w:rFonts w:ascii="黑体" w:hAnsi="黑体" w:eastAsia="黑体" w:cs="黑体"/>
        </w:rPr>
      </w:pPr>
    </w:p>
    <w:p w14:paraId="1138C238">
      <w:pPr>
        <w:rPr>
          <w:rFonts w:ascii="黑体" w:hAnsi="黑体" w:eastAsia="黑体" w:cs="黑体"/>
        </w:rPr>
      </w:pPr>
    </w:p>
    <w:p w14:paraId="3635D0DC">
      <w:pPr>
        <w:rPr>
          <w:rFonts w:ascii="黑体" w:hAnsi="黑体" w:eastAsia="黑体" w:cs="黑体"/>
        </w:rPr>
      </w:pPr>
    </w:p>
    <w:p w14:paraId="657FE4F1">
      <w:pPr>
        <w:rPr>
          <w:rFonts w:ascii="黑体" w:hAnsi="黑体" w:eastAsia="黑体" w:cs="黑体"/>
        </w:rPr>
      </w:pPr>
    </w:p>
    <w:p w14:paraId="57E65E6E">
      <w:pPr>
        <w:rPr>
          <w:rFonts w:ascii="黑体" w:hAnsi="黑体" w:eastAsia="黑体" w:cs="黑体"/>
        </w:rPr>
      </w:pPr>
    </w:p>
    <w:p w14:paraId="0EB50E73">
      <w:pPr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-76200</wp:posOffset>
                </wp:positionH>
                <wp:positionV relativeFrom="paragraph">
                  <wp:posOffset>226695</wp:posOffset>
                </wp:positionV>
                <wp:extent cx="5457825" cy="1000125"/>
                <wp:effectExtent l="0" t="0" r="9525" b="9525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57825" cy="1000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5A9CB1">
                            <w:pPr>
                              <w:rPr>
                                <w:rFonts w:hint="default" w:ascii="黑体" w:hAnsi="黑体" w:eastAsia="黑体" w:cs="Source Han Sans SC Bold"/>
                                <w:b/>
                                <w:bCs/>
                                <w:kern w:val="0"/>
                                <w:sz w:val="40"/>
                                <w:szCs w:val="40"/>
                                <w:lang w:val="en-US" w:eastAsia="zh-CN" w:bidi="ar"/>
                              </w:rPr>
                            </w:pPr>
                            <w:r>
                              <w:rPr>
                                <w:rFonts w:hint="eastAsia" w:ascii="黑体" w:hAnsi="黑体" w:eastAsia="黑体" w:cs="Source Han Sans SC Bold"/>
                                <w:b/>
                                <w:bCs/>
                                <w:kern w:val="0"/>
                                <w:sz w:val="40"/>
                                <w:szCs w:val="40"/>
                                <w:lang w:val="en-US" w:eastAsia="zh-CN" w:bidi="ar"/>
                              </w:rPr>
                              <w:t>7月全国重点50城市场情绪指数低位运行，预计短期房价仍以跌为主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pt;margin-top:17.85pt;height:78.75pt;width:429.75pt;z-index:251664384;mso-width-relative:page;mso-height-relative:page;" fillcolor="#FFFFFF [3201]" filled="t" stroked="f" coordsize="21600,21600" o:gfxdata="UEsDBAoAAAAAAIdO4kAAAAAAAAAAAAAAAAAEAAAAZHJzL1BLAwQUAAAACACHTuJAGU+BbNcAAAAK&#10;AQAADwAAAGRycy9kb3ducmV2LnhtbE2Py07DMBBF90j8gzVI7FonaUtLiNMFElsk2tK1Gw9xhD2O&#10;bPf59QwrWI7m6N5zm/XFO3HCmIZACsppAQKpC2agXsFu+zZZgUhZk9EuECq4YoJ1e3/X6NqEM33g&#10;aZN7wSGUaq3A5jzWUqbOotdpGkYk/n2F6HXmM/bSRH3mcO9kVRRP0uuBuMHqEV8tdt+bo1ew7/1t&#10;/1mO0Rrv5vR+u253YVDq8aEsXkBkvOQ/GH71WR1adjqEI5kknIJJWfGWrGC2WIJgYDVfLkAcmHye&#10;VSDbRv6f0P4AUEsDBBQAAAAIAIdO4kBU0zhrTwIAAJAEAAAOAAAAZHJzL2Uyb0RvYy54bWytVMGO&#10;0zAQvSPxD5bvNElpl6Vquiq7KkJasSstiLPrOI0l22Nst0n5APgDTly48139DsZOulsWDnugh3TG&#10;M3nj92Ym84tOK7ITzkswJS1GOSXCcKik2ZT044fVi3NKfGCmYgqMKOleeHqxeP5s3tqZGEMDqhKO&#10;IIjxs9aWtAnBzrLM80Zo5kdghcFgDU6zgK7bZJVjLaJrlY3z/CxrwVXWARfe4+lVH6QDonsKINS1&#10;5OIK+FYLE3pUJxQLSMk30nq6SLeta8HDTV17EYgqKTIN6YlF0F7HZ7aYs9nGMdtIPlyBPeUKjzhp&#10;Jg0WvYe6YoGRrZN/QWnJHXiow4iDznoiSRFkUeSPtLlrmBWJC0rt7b3o/v/B8ve7W0dkVdIJJYZp&#10;bPjh+7fDj1+Hn1/JJMrTWj/DrDuLeaF7Ax0OzfHc42Fk3dVOx3/kQzCO4u7vxRVdIBwPp5Ppq/Px&#10;lBKOsSLP8wIdxM8eXrfOh7cCNIlGSR12L4nKdtc+9KnHlFjNg5LVSiqVHLdZXypHdgw7vUq/Af2P&#10;NGVIW9Kzl9M8IRuI7/fQyuBlItueVbRCt+4GCdZQ7VEBB/0IectXEm95zXy4ZQ5nBknjVoUbfNQK&#10;sAgMFiUNuC//Oo/52EqMUtLiDJbUf94yJyhR7ww2+XUxmcShTQ7KN0bHnUbWpxGz1ZeA5AvcX8uT&#10;GfODOpq1A/0Jl28Zq2KIGY61SxqO5mXoNwOXl4vlMiXhmFoWrs2d5RE6Sm1guQ1Qy9SSKFOvzaAe&#10;Dmpq6rBUcRNO/ZT18CFZ/AZ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AZT4Fs1wAAAAoBAAAPAAAA&#10;AAAAAAEAIAAAACIAAABkcnMvZG93bnJldi54bWxQSwECFAAUAAAACACHTuJAVNM4a08CAACQBAAA&#10;DgAAAAAAAAABACAAAAAmAQAAZHJzL2Uyb0RvYy54bWxQSwUGAAAAAAYABgBZAQAA5w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7B5A9CB1">
                      <w:pPr>
                        <w:rPr>
                          <w:rFonts w:hint="default" w:ascii="黑体" w:hAnsi="黑体" w:eastAsia="黑体" w:cs="Source Han Sans SC Bold"/>
                          <w:b/>
                          <w:bCs/>
                          <w:kern w:val="0"/>
                          <w:sz w:val="40"/>
                          <w:szCs w:val="40"/>
                          <w:lang w:val="en-US" w:eastAsia="zh-CN" w:bidi="ar"/>
                        </w:rPr>
                      </w:pPr>
                      <w:r>
                        <w:rPr>
                          <w:rFonts w:hint="eastAsia" w:ascii="黑体" w:hAnsi="黑体" w:eastAsia="黑体" w:cs="Source Han Sans SC Bold"/>
                          <w:b/>
                          <w:bCs/>
                          <w:kern w:val="0"/>
                          <w:sz w:val="40"/>
                          <w:szCs w:val="40"/>
                          <w:lang w:val="en-US" w:eastAsia="zh-CN" w:bidi="ar"/>
                        </w:rPr>
                        <w:t>7月全国重点50城市场情绪指数低位运行，预计短期房价仍以跌为主</w:t>
                      </w:r>
                    </w:p>
                  </w:txbxContent>
                </v:textbox>
              </v:shape>
            </w:pict>
          </mc:Fallback>
        </mc:AlternateContent>
      </w:r>
    </w:p>
    <w:p w14:paraId="637A0A20">
      <w:pPr>
        <w:rPr>
          <w:rFonts w:ascii="黑体" w:hAnsi="黑体" w:eastAsia="黑体" w:cs="黑体"/>
        </w:rPr>
      </w:pPr>
    </w:p>
    <w:p w14:paraId="152A3F7A">
      <w:pPr>
        <w:rPr>
          <w:rFonts w:ascii="黑体" w:hAnsi="黑体" w:eastAsia="黑体" w:cs="黑体"/>
        </w:rPr>
      </w:pPr>
    </w:p>
    <w:p w14:paraId="6CFC4390">
      <w:pPr>
        <w:rPr>
          <w:rFonts w:ascii="黑体" w:hAnsi="黑体" w:eastAsia="黑体" w:cs="黑体"/>
        </w:rPr>
      </w:pPr>
    </w:p>
    <w:p w14:paraId="0A645D5A">
      <w:pPr>
        <w:rPr>
          <w:rFonts w:ascii="黑体" w:hAnsi="黑体" w:eastAsia="黑体" w:cs="黑体"/>
        </w:rPr>
      </w:pPr>
    </w:p>
    <w:p w14:paraId="6AEEC04D">
      <w:pPr>
        <w:rPr>
          <w:rFonts w:ascii="黑体" w:hAnsi="黑体" w:eastAsia="黑体" w:cs="黑体"/>
        </w:rPr>
      </w:pPr>
    </w:p>
    <w:p w14:paraId="24D1A606">
      <w:pPr>
        <w:spacing w:line="360" w:lineRule="auto"/>
        <w:ind w:firstLine="400" w:firstLineChars="200"/>
        <w:rPr>
          <w:rFonts w:hint="eastAsia" w:ascii="黑体" w:hAnsi="黑体" w:eastAsia="黑体" w:cs="Times New Roman"/>
          <w:bCs/>
          <w:sz w:val="20"/>
          <w:szCs w:val="20"/>
          <w:highlight w:val="none"/>
        </w:rPr>
      </w:pPr>
    </w:p>
    <w:p w14:paraId="01B8F6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500" w:line="360" w:lineRule="auto"/>
        <w:ind w:firstLine="400" w:firstLineChars="200"/>
        <w:textAlignment w:val="auto"/>
        <w:rPr>
          <w:rFonts w:hint="eastAsia" w:ascii="黑体" w:hAnsi="黑体" w:eastAsia="黑体" w:cs="Times New Roman"/>
          <w:szCs w:val="21"/>
          <w:highlight w:val="none"/>
        </w:rPr>
      </w:pPr>
      <w:r>
        <w:rPr>
          <w:rFonts w:hint="eastAsia" w:ascii="黑体" w:hAnsi="黑体" w:eastAsia="黑体" w:cs="Times New Roman"/>
          <w:bCs/>
          <w:sz w:val="20"/>
          <w:szCs w:val="20"/>
          <w:highlight w:val="none"/>
        </w:rPr>
        <w:t>根据最新公布的</w:t>
      </w:r>
      <w:r>
        <w:rPr>
          <w:rFonts w:ascii="黑体" w:hAnsi="黑体" w:eastAsia="黑体" w:cs="Times New Roman"/>
          <w:bCs/>
          <w:sz w:val="20"/>
          <w:szCs w:val="20"/>
          <w:highlight w:val="none"/>
        </w:rPr>
        <w:t>202</w:t>
      </w:r>
      <w:r>
        <w:rPr>
          <w:rFonts w:hint="eastAsia" w:ascii="黑体" w:hAnsi="黑体" w:eastAsia="黑体" w:cs="Times New Roman"/>
          <w:bCs/>
          <w:sz w:val="20"/>
          <w:szCs w:val="20"/>
          <w:highlight w:val="none"/>
          <w:lang w:val="en-US" w:eastAsia="zh-CN"/>
        </w:rPr>
        <w:t>4</w:t>
      </w:r>
      <w:r>
        <w:rPr>
          <w:rFonts w:ascii="黑体" w:hAnsi="黑体" w:eastAsia="黑体" w:cs="Times New Roman"/>
          <w:bCs/>
          <w:sz w:val="20"/>
          <w:szCs w:val="20"/>
          <w:highlight w:val="none"/>
        </w:rPr>
        <w:t>年</w:t>
      </w:r>
      <w:r>
        <w:rPr>
          <w:rFonts w:hint="eastAsia" w:ascii="黑体" w:hAnsi="黑体" w:eastAsia="黑体" w:cs="Times New Roman"/>
          <w:bCs/>
          <w:sz w:val="20"/>
          <w:szCs w:val="20"/>
          <w:highlight w:val="none"/>
          <w:lang w:val="en-US" w:eastAsia="zh-CN"/>
        </w:rPr>
        <w:t>7</w:t>
      </w:r>
      <w:r>
        <w:rPr>
          <w:rFonts w:hint="eastAsia" w:ascii="黑体" w:hAnsi="黑体" w:eastAsia="黑体" w:cs="Times New Roman"/>
          <w:bCs/>
          <w:sz w:val="20"/>
          <w:szCs w:val="20"/>
          <w:highlight w:val="none"/>
        </w:rPr>
        <w:t>月份市场情绪指数数据，</w:t>
      </w:r>
      <w:r>
        <w:rPr>
          <w:rFonts w:hint="eastAsia" w:ascii="黑体" w:hAnsi="黑体" w:eastAsia="黑体" w:cs="Times New Roman"/>
          <w:bCs/>
          <w:sz w:val="20"/>
          <w:szCs w:val="20"/>
          <w:highlight w:val="none"/>
          <w:lang w:val="en-US" w:eastAsia="zh-CN"/>
        </w:rPr>
        <w:t>7月下旬以来，央行年内第二次降息、中央政治局会议定调支持收储商品房等利好消息频频，但目前来看似乎并未对市场情绪起到提振作用，7月重点50城市场情绪指数仍在筑底</w:t>
      </w:r>
      <w:r>
        <w:rPr>
          <w:rFonts w:hint="eastAsia" w:ascii="黑体" w:hAnsi="黑体" w:eastAsia="黑体" w:cs="Times New Roman"/>
          <w:bCs/>
          <w:sz w:val="20"/>
          <w:szCs w:val="20"/>
          <w:highlight w:val="none"/>
        </w:rPr>
        <w:t>。分等级城市来看，</w:t>
      </w:r>
      <w:r>
        <w:rPr>
          <w:rFonts w:hint="eastAsia" w:ascii="黑体" w:hAnsi="黑体" w:eastAsia="黑体" w:cs="Times New Roman"/>
          <w:bCs/>
          <w:sz w:val="20"/>
          <w:szCs w:val="20"/>
          <w:highlight w:val="none"/>
          <w:lang w:val="en-US" w:eastAsia="zh-CN"/>
        </w:rPr>
        <w:t>一线城市情绪指数止升转降，二线、三四线低位维稳</w:t>
      </w:r>
      <w:r>
        <w:rPr>
          <w:rFonts w:hint="eastAsia" w:ascii="黑体" w:hAnsi="黑体" w:eastAsia="黑体" w:cs="Times New Roman"/>
          <w:sz w:val="20"/>
          <w:szCs w:val="20"/>
          <w:highlight w:val="none"/>
        </w:rPr>
        <w:t>。根据情绪指数预测房价模型，短期内</w:t>
      </w:r>
      <w:r>
        <w:rPr>
          <w:rFonts w:hint="eastAsia" w:ascii="黑体" w:hAnsi="黑体" w:eastAsia="黑体" w:cs="Times New Roman"/>
          <w:sz w:val="20"/>
          <w:szCs w:val="20"/>
          <w:highlight w:val="none"/>
          <w:lang w:val="en-US" w:eastAsia="zh-CN"/>
        </w:rPr>
        <w:t>大</w:t>
      </w:r>
      <w:r>
        <w:rPr>
          <w:rFonts w:hint="eastAsia" w:ascii="黑体" w:hAnsi="黑体" w:eastAsia="黑体" w:cs="Times New Roman"/>
          <w:sz w:val="20"/>
          <w:szCs w:val="20"/>
          <w:highlight w:val="none"/>
        </w:rPr>
        <w:t>多数城市</w:t>
      </w:r>
      <w:r>
        <w:rPr>
          <w:rFonts w:hint="eastAsia" w:ascii="黑体" w:hAnsi="黑体" w:eastAsia="黑体" w:cs="Times New Roman"/>
          <w:sz w:val="20"/>
          <w:szCs w:val="20"/>
          <w:highlight w:val="none"/>
          <w:lang w:val="en-US" w:eastAsia="zh-CN"/>
        </w:rPr>
        <w:t>或</w:t>
      </w:r>
      <w:r>
        <w:rPr>
          <w:rFonts w:hint="eastAsia" w:ascii="黑体" w:hAnsi="黑体" w:eastAsia="黑体" w:cs="Times New Roman"/>
          <w:sz w:val="20"/>
          <w:szCs w:val="20"/>
          <w:highlight w:val="none"/>
        </w:rPr>
        <w:t>仍有下行趋势。</w:t>
      </w:r>
    </w:p>
    <w:p w14:paraId="0897AAC8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40" w:line="240" w:lineRule="auto"/>
        <w:textAlignment w:val="auto"/>
        <w:rPr>
          <w:rFonts w:hint="default" w:ascii="黑体" w:hAnsi="黑体" w:eastAsia="黑体"/>
          <w:sz w:val="24"/>
          <w:szCs w:val="24"/>
          <w:highlight w:val="none"/>
          <w:lang w:val="en-US" w:eastAsia="zh-CN" w:bidi="ar"/>
        </w:rPr>
      </w:pPr>
      <w:r>
        <w:rPr>
          <w:rFonts w:ascii="黑体" w:hAnsi="黑体" w:eastAsia="黑体"/>
          <w:sz w:val="24"/>
          <w:szCs w:val="24"/>
          <w:highlight w:val="none"/>
          <w:lang w:bidi="ar"/>
        </w:rPr>
        <w:t>一</w:t>
      </w:r>
      <w:r>
        <w:rPr>
          <w:rFonts w:hint="eastAsia" w:ascii="黑体" w:hAnsi="黑体" w:eastAsia="黑体"/>
          <w:sz w:val="24"/>
          <w:szCs w:val="24"/>
          <w:highlight w:val="none"/>
          <w:lang w:bidi="ar"/>
        </w:rPr>
        <w:t>、</w:t>
      </w:r>
      <w:r>
        <w:rPr>
          <w:rFonts w:hint="eastAsia" w:ascii="黑体" w:hAnsi="黑体" w:eastAsia="黑体"/>
          <w:sz w:val="24"/>
          <w:szCs w:val="24"/>
          <w:highlight w:val="none"/>
          <w:lang w:val="en-US" w:eastAsia="zh-CN" w:bidi="ar"/>
        </w:rPr>
        <w:t>7</w:t>
      </w:r>
      <w:r>
        <w:rPr>
          <w:rFonts w:hint="eastAsia" w:ascii="黑体" w:hAnsi="黑体" w:eastAsia="黑体"/>
          <w:sz w:val="24"/>
          <w:szCs w:val="24"/>
          <w:highlight w:val="none"/>
          <w:lang w:bidi="ar"/>
        </w:rPr>
        <w:t>月重点50城情绪指数</w:t>
      </w:r>
      <w:r>
        <w:rPr>
          <w:rFonts w:hint="eastAsia" w:ascii="黑体" w:hAnsi="黑体" w:eastAsia="黑体"/>
          <w:sz w:val="24"/>
          <w:szCs w:val="24"/>
          <w:highlight w:val="none"/>
          <w:lang w:val="en-US" w:eastAsia="zh-CN" w:bidi="ar"/>
        </w:rPr>
        <w:t>持续筑底，一线城市止升转降</w:t>
      </w:r>
    </w:p>
    <w:p w14:paraId="4264A5A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40" w:line="360" w:lineRule="auto"/>
        <w:ind w:firstLine="400" w:firstLineChars="200"/>
        <w:textAlignment w:val="auto"/>
        <w:rPr>
          <w:rFonts w:hint="eastAsia" w:ascii="黑体" w:hAnsi="黑体" w:eastAsia="黑体" w:cs="Times New Roman"/>
          <w:sz w:val="20"/>
          <w:szCs w:val="20"/>
          <w:lang w:val="en-US" w:eastAsia="zh-CN"/>
        </w:rPr>
      </w:pPr>
      <w:r>
        <w:rPr>
          <w:rFonts w:ascii="黑体" w:hAnsi="黑体" w:eastAsia="黑体" w:cs="Times New Roman"/>
          <w:sz w:val="20"/>
          <w:szCs w:val="20"/>
        </w:rPr>
        <w:t>根据诸葛数据研究中心监测数据显示，</w:t>
      </w:r>
      <w:r>
        <w:rPr>
          <w:rFonts w:hint="eastAsia" w:ascii="黑体" w:hAnsi="黑体" w:eastAsia="黑体" w:cs="Times New Roman"/>
          <w:b/>
          <w:bCs/>
          <w:sz w:val="20"/>
          <w:szCs w:val="20"/>
          <w:u w:val="single"/>
        </w:rPr>
        <w:t>2</w:t>
      </w:r>
      <w:r>
        <w:rPr>
          <w:rFonts w:ascii="黑体" w:hAnsi="黑体" w:eastAsia="黑体" w:cs="Times New Roman"/>
          <w:b/>
          <w:bCs/>
          <w:sz w:val="20"/>
          <w:szCs w:val="20"/>
          <w:u w:val="single"/>
        </w:rPr>
        <w:t>02</w:t>
      </w:r>
      <w:r>
        <w:rPr>
          <w:rFonts w:hint="eastAsia" w:ascii="黑体" w:hAnsi="黑体" w:eastAsia="黑体" w:cs="Times New Roman"/>
          <w:b/>
          <w:bCs/>
          <w:sz w:val="20"/>
          <w:szCs w:val="20"/>
          <w:u w:val="single"/>
          <w:lang w:val="en-US" w:eastAsia="zh-CN"/>
        </w:rPr>
        <w:t>4</w:t>
      </w:r>
      <w:r>
        <w:rPr>
          <w:rFonts w:hint="eastAsia" w:ascii="黑体" w:hAnsi="黑体" w:eastAsia="黑体" w:cs="Times New Roman"/>
          <w:b/>
          <w:bCs/>
          <w:sz w:val="20"/>
          <w:szCs w:val="20"/>
          <w:u w:val="single"/>
        </w:rPr>
        <w:t>年</w:t>
      </w:r>
      <w:r>
        <w:rPr>
          <w:rFonts w:hint="eastAsia" w:ascii="黑体" w:hAnsi="黑体" w:eastAsia="黑体" w:cs="Times New Roman"/>
          <w:b/>
          <w:bCs/>
          <w:sz w:val="20"/>
          <w:szCs w:val="20"/>
          <w:u w:val="single"/>
          <w:lang w:val="en-US" w:eastAsia="zh-CN"/>
        </w:rPr>
        <w:t>7</w:t>
      </w:r>
      <w:r>
        <w:rPr>
          <w:rFonts w:hint="eastAsia" w:ascii="黑体" w:hAnsi="黑体" w:eastAsia="黑体" w:cs="Times New Roman"/>
          <w:b/>
          <w:bCs/>
          <w:sz w:val="20"/>
          <w:szCs w:val="20"/>
          <w:u w:val="single"/>
        </w:rPr>
        <w:t>月，重点5</w:t>
      </w:r>
      <w:r>
        <w:rPr>
          <w:rFonts w:ascii="黑体" w:hAnsi="黑体" w:eastAsia="黑体" w:cs="Times New Roman"/>
          <w:b/>
          <w:bCs/>
          <w:sz w:val="20"/>
          <w:szCs w:val="20"/>
          <w:u w:val="single"/>
        </w:rPr>
        <w:t>0</w:t>
      </w:r>
      <w:r>
        <w:rPr>
          <w:rFonts w:hint="eastAsia" w:ascii="黑体" w:hAnsi="黑体" w:eastAsia="黑体" w:cs="Times New Roman"/>
          <w:b/>
          <w:bCs/>
          <w:sz w:val="20"/>
          <w:szCs w:val="20"/>
          <w:u w:val="single"/>
        </w:rPr>
        <w:t>城市场情绪指数为-</w:t>
      </w:r>
      <w:r>
        <w:rPr>
          <w:rFonts w:ascii="黑体" w:hAnsi="黑体" w:eastAsia="黑体" w:cs="Times New Roman"/>
          <w:b/>
          <w:bCs/>
          <w:sz w:val="20"/>
          <w:szCs w:val="20"/>
          <w:u w:val="single"/>
        </w:rPr>
        <w:t>0.</w:t>
      </w:r>
      <w:r>
        <w:rPr>
          <w:rFonts w:hint="eastAsia" w:ascii="黑体" w:hAnsi="黑体" w:eastAsia="黑体" w:cs="Times New Roman"/>
          <w:b/>
          <w:bCs/>
          <w:sz w:val="20"/>
          <w:szCs w:val="20"/>
          <w:u w:val="single"/>
        </w:rPr>
        <w:t>8</w:t>
      </w:r>
      <w:r>
        <w:rPr>
          <w:rFonts w:hint="eastAsia" w:ascii="黑体" w:hAnsi="黑体" w:eastAsia="黑体" w:cs="Times New Roman"/>
          <w:b/>
          <w:bCs/>
          <w:sz w:val="20"/>
          <w:szCs w:val="20"/>
          <w:u w:val="single"/>
          <w:lang w:val="en-US" w:eastAsia="zh-CN"/>
        </w:rPr>
        <w:t>6</w:t>
      </w:r>
      <w:r>
        <w:rPr>
          <w:rFonts w:hint="eastAsia" w:ascii="黑体" w:hAnsi="黑体" w:eastAsia="黑体" w:cs="Times New Roman"/>
          <w:b/>
          <w:bCs/>
          <w:sz w:val="20"/>
          <w:szCs w:val="20"/>
          <w:u w:val="single"/>
        </w:rPr>
        <w:t>，较</w:t>
      </w:r>
      <w:r>
        <w:rPr>
          <w:rFonts w:ascii="黑体" w:hAnsi="黑体" w:eastAsia="黑体" w:cs="Times New Roman"/>
          <w:b/>
          <w:bCs/>
          <w:sz w:val="20"/>
          <w:szCs w:val="20"/>
          <w:u w:val="single"/>
        </w:rPr>
        <w:t>上月</w:t>
      </w:r>
      <w:r>
        <w:rPr>
          <w:rFonts w:hint="eastAsia" w:ascii="黑体" w:hAnsi="黑体" w:eastAsia="黑体" w:cs="Times New Roman"/>
          <w:b/>
          <w:bCs/>
          <w:sz w:val="20"/>
          <w:szCs w:val="20"/>
          <w:u w:val="single"/>
          <w:lang w:val="en-US" w:eastAsia="zh-CN"/>
        </w:rPr>
        <w:t>下降0.01，降至近年来最低水平，同时已连续10个月位于市场低迷区间</w:t>
      </w:r>
      <w:r>
        <w:rPr>
          <w:rFonts w:hint="eastAsia" w:ascii="黑体" w:hAnsi="黑体" w:eastAsia="黑体" w:cs="Times New Roman"/>
          <w:b/>
          <w:bCs/>
          <w:sz w:val="20"/>
          <w:szCs w:val="20"/>
          <w:u w:val="single"/>
          <w:lang w:eastAsia="zh-CN"/>
        </w:rPr>
        <w:t>。</w:t>
      </w:r>
      <w:r>
        <w:rPr>
          <w:rFonts w:hint="eastAsia" w:ascii="黑体" w:hAnsi="黑体" w:eastAsia="黑体" w:cs="Times New Roman"/>
          <w:sz w:val="20"/>
          <w:szCs w:val="20"/>
          <w:lang w:val="en-US" w:eastAsia="zh-CN"/>
        </w:rPr>
        <w:t>7月下旬以来，</w:t>
      </w:r>
      <w:r>
        <w:rPr>
          <w:rFonts w:ascii="黑体" w:hAnsi="黑体" w:eastAsia="黑体" w:cs="Times New Roman"/>
          <w:sz w:val="20"/>
          <w:szCs w:val="20"/>
        </w:rPr>
        <w:t>央行年内第二次降息、中央政治局会议定调支持收储商品房等</w:t>
      </w:r>
      <w:r>
        <w:rPr>
          <w:rFonts w:hint="eastAsia" w:ascii="黑体" w:hAnsi="黑体" w:eastAsia="黑体" w:cs="Times New Roman"/>
          <w:sz w:val="20"/>
          <w:szCs w:val="20"/>
          <w:lang w:val="en-US" w:eastAsia="zh-CN"/>
        </w:rPr>
        <w:t>利好消息频频</w:t>
      </w:r>
      <w:r>
        <w:rPr>
          <w:rFonts w:ascii="黑体" w:hAnsi="黑体" w:eastAsia="黑体" w:cs="Times New Roman"/>
          <w:sz w:val="20"/>
          <w:szCs w:val="20"/>
        </w:rPr>
        <w:t>，</w:t>
      </w:r>
      <w:r>
        <w:rPr>
          <w:rFonts w:hint="eastAsia" w:ascii="黑体" w:hAnsi="黑体" w:eastAsia="黑体" w:cs="Times New Roman"/>
          <w:sz w:val="20"/>
          <w:szCs w:val="20"/>
          <w:lang w:val="en-US" w:eastAsia="zh-CN"/>
        </w:rPr>
        <w:t>但</w:t>
      </w:r>
      <w:r>
        <w:rPr>
          <w:rFonts w:ascii="黑体" w:hAnsi="黑体" w:eastAsia="黑体" w:cs="Times New Roman"/>
          <w:sz w:val="20"/>
          <w:szCs w:val="20"/>
        </w:rPr>
        <w:t>目前来看似乎并未对市场情绪起到提振作用</w:t>
      </w:r>
      <w:r>
        <w:rPr>
          <w:rFonts w:hint="eastAsia" w:ascii="黑体" w:hAnsi="黑体" w:eastAsia="黑体" w:cs="Times New Roman"/>
          <w:sz w:val="20"/>
          <w:szCs w:val="20"/>
          <w:lang w:eastAsia="zh-CN"/>
        </w:rPr>
        <w:t>，</w:t>
      </w:r>
      <w:r>
        <w:rPr>
          <w:rFonts w:hint="eastAsia" w:ascii="黑体" w:hAnsi="黑体" w:eastAsia="黑体" w:cs="Times New Roman"/>
          <w:sz w:val="20"/>
          <w:szCs w:val="20"/>
          <w:lang w:val="en-US" w:eastAsia="zh-CN"/>
        </w:rPr>
        <w:t>7月重点50城市场情绪指数仍在筑底。</w:t>
      </w:r>
    </w:p>
    <w:p w14:paraId="49E5BED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40" w:line="360" w:lineRule="auto"/>
        <w:ind w:firstLine="400" w:firstLineChars="200"/>
        <w:textAlignment w:val="auto"/>
        <w:rPr>
          <w:rFonts w:hint="default" w:ascii="黑体" w:hAnsi="黑体" w:eastAsia="黑体" w:cs="Times New Roman"/>
          <w:sz w:val="20"/>
          <w:szCs w:val="20"/>
          <w:lang w:val="en-US" w:eastAsia="zh-CN"/>
        </w:rPr>
      </w:pPr>
      <w:r>
        <w:rPr>
          <w:rFonts w:hint="eastAsia" w:ascii="黑体" w:hAnsi="黑体" w:eastAsia="黑体" w:cs="Times New Roman"/>
          <w:sz w:val="20"/>
          <w:szCs w:val="20"/>
          <w:lang w:val="en-US" w:eastAsia="zh-CN"/>
        </w:rPr>
        <w:t>另外，结合7月中央政治局会议强调落实好房地产新政策以及再提“收储”一事来看，未来政策端将继续保持宽松支持基调，限制性政策将逐步退场，以及各地收储工作陆续启动，成交端或将率先出现积极变化，随后在供求关系的逐步改善下，市场情绪有望呈现修复趋势。不过短期内市场预期依然较弱，情绪指数或难迅速扭转低迷局面。</w:t>
      </w:r>
    </w:p>
    <w:p w14:paraId="1C0F7B0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40" w:line="360" w:lineRule="auto"/>
        <w:jc w:val="center"/>
        <w:textAlignment w:val="auto"/>
      </w:pPr>
      <w:r>
        <w:drawing>
          <wp:inline distT="0" distB="0" distL="114300" distR="114300">
            <wp:extent cx="5273675" cy="2266315"/>
            <wp:effectExtent l="0" t="0" r="3175" b="635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266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3EE8D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40" w:line="360" w:lineRule="auto"/>
        <w:ind w:firstLine="400" w:firstLineChars="200"/>
        <w:textAlignment w:val="auto"/>
        <w:rPr>
          <w:rFonts w:hint="default" w:ascii="黑体" w:hAnsi="黑体" w:eastAsia="黑体" w:cs="Times New Roman"/>
          <w:sz w:val="20"/>
          <w:szCs w:val="20"/>
          <w:highlight w:val="none"/>
          <w:lang w:val="en-US" w:eastAsia="zh-CN"/>
        </w:rPr>
      </w:pPr>
      <w:r>
        <w:rPr>
          <w:rFonts w:hint="eastAsia" w:ascii="黑体" w:hAnsi="黑体" w:eastAsia="黑体" w:cs="Times New Roman"/>
          <w:sz w:val="20"/>
          <w:szCs w:val="20"/>
          <w:highlight w:val="none"/>
        </w:rPr>
        <w:t>分等级来看，</w:t>
      </w:r>
      <w:r>
        <w:rPr>
          <w:rFonts w:hint="eastAsia" w:ascii="黑体" w:hAnsi="黑体" w:eastAsia="黑体" w:cs="Times New Roman"/>
          <w:sz w:val="20"/>
          <w:szCs w:val="20"/>
          <w:highlight w:val="none"/>
          <w:lang w:val="en-US" w:eastAsia="zh-CN"/>
        </w:rPr>
        <w:t>7</w:t>
      </w:r>
      <w:r>
        <w:rPr>
          <w:rFonts w:hint="eastAsia" w:ascii="黑体" w:hAnsi="黑体" w:eastAsia="黑体" w:cs="Times New Roman"/>
          <w:sz w:val="20"/>
          <w:szCs w:val="20"/>
          <w:highlight w:val="none"/>
        </w:rPr>
        <w:t>月份</w:t>
      </w:r>
      <w:r>
        <w:rPr>
          <w:rFonts w:hint="eastAsia" w:ascii="黑体" w:hAnsi="黑体" w:eastAsia="黑体" w:cs="Times New Roman"/>
          <w:sz w:val="20"/>
          <w:szCs w:val="20"/>
          <w:highlight w:val="none"/>
          <w:lang w:val="en-US" w:eastAsia="zh-CN"/>
        </w:rPr>
        <w:t>一线城市市场情绪指数止升转降，二线、三四线低位维稳。其中，</w:t>
      </w:r>
      <w:r>
        <w:rPr>
          <w:rFonts w:hint="eastAsia" w:ascii="黑体" w:hAnsi="黑体" w:eastAsia="黑体" w:cs="Times New Roman"/>
          <w:b/>
          <w:bCs/>
          <w:sz w:val="20"/>
          <w:szCs w:val="20"/>
          <w:highlight w:val="none"/>
          <w:u w:val="single"/>
          <w:lang w:val="en-US" w:eastAsia="zh-CN"/>
        </w:rPr>
        <w:t>一</w:t>
      </w:r>
      <w:r>
        <w:rPr>
          <w:rFonts w:hint="eastAsia" w:ascii="黑体" w:hAnsi="黑体" w:eastAsia="黑体" w:cs="Times New Roman"/>
          <w:b/>
          <w:bCs/>
          <w:sz w:val="20"/>
          <w:szCs w:val="20"/>
          <w:highlight w:val="none"/>
          <w:u w:val="single"/>
        </w:rPr>
        <w:t>线</w:t>
      </w:r>
      <w:r>
        <w:rPr>
          <w:rFonts w:hint="eastAsia" w:ascii="黑体" w:hAnsi="黑体" w:eastAsia="黑体" w:cs="Times New Roman"/>
          <w:b/>
          <w:bCs/>
          <w:sz w:val="20"/>
          <w:szCs w:val="20"/>
          <w:highlight w:val="none"/>
          <w:u w:val="single"/>
          <w:lang w:val="en-US" w:eastAsia="zh-CN"/>
        </w:rPr>
        <w:t>城市</w:t>
      </w:r>
      <w:r>
        <w:rPr>
          <w:rFonts w:hint="eastAsia" w:ascii="黑体" w:hAnsi="黑体" w:eastAsia="黑体" w:cs="Times New Roman"/>
          <w:b/>
          <w:bCs/>
          <w:sz w:val="20"/>
          <w:szCs w:val="20"/>
          <w:highlight w:val="none"/>
          <w:u w:val="single"/>
        </w:rPr>
        <w:t>情绪指数为-0.</w:t>
      </w:r>
      <w:r>
        <w:rPr>
          <w:rFonts w:hint="eastAsia" w:ascii="黑体" w:hAnsi="黑体" w:eastAsia="黑体" w:cs="Times New Roman"/>
          <w:b/>
          <w:bCs/>
          <w:sz w:val="20"/>
          <w:szCs w:val="20"/>
          <w:highlight w:val="none"/>
          <w:u w:val="single"/>
          <w:lang w:val="en-US" w:eastAsia="zh-CN"/>
        </w:rPr>
        <w:t>85</w:t>
      </w:r>
      <w:r>
        <w:rPr>
          <w:rFonts w:hint="eastAsia" w:ascii="黑体" w:hAnsi="黑体" w:eastAsia="黑体" w:cs="Times New Roman"/>
          <w:b/>
          <w:bCs/>
          <w:sz w:val="20"/>
          <w:szCs w:val="20"/>
          <w:highlight w:val="none"/>
          <w:u w:val="single"/>
        </w:rPr>
        <w:t>，较</w:t>
      </w:r>
      <w:r>
        <w:rPr>
          <w:rFonts w:hint="eastAsia" w:ascii="黑体" w:hAnsi="黑体" w:eastAsia="黑体" w:cs="Times New Roman"/>
          <w:b/>
          <w:bCs/>
          <w:sz w:val="20"/>
          <w:szCs w:val="20"/>
          <w:highlight w:val="none"/>
          <w:u w:val="single"/>
          <w:lang w:val="en-US" w:eastAsia="zh-CN"/>
        </w:rPr>
        <w:t>上月下降0.03，已连续4个月位于市场低迷区间，</w:t>
      </w:r>
      <w:r>
        <w:rPr>
          <w:rFonts w:hint="eastAsia" w:ascii="黑体" w:hAnsi="黑体" w:eastAsia="黑体" w:cs="Times New Roman"/>
          <w:sz w:val="20"/>
          <w:szCs w:val="20"/>
          <w:highlight w:val="none"/>
          <w:lang w:val="en-US" w:eastAsia="zh-CN"/>
        </w:rPr>
        <w:t>当前一线城市房价下行压力较大，市场情绪缺乏持续上涨的动力。二线、三四线城市的市场情绪亦较低落，情绪指数低位运行，数据显示，</w:t>
      </w:r>
      <w:r>
        <w:rPr>
          <w:rFonts w:hint="eastAsia" w:ascii="黑体" w:hAnsi="黑体" w:eastAsia="黑体" w:cs="Times New Roman"/>
          <w:b/>
          <w:bCs/>
          <w:sz w:val="20"/>
          <w:szCs w:val="20"/>
          <w:highlight w:val="none"/>
          <w:u w:val="single"/>
          <w:lang w:val="en-US" w:eastAsia="zh-CN"/>
        </w:rPr>
        <w:t>7月二线、三四线市场情绪指数分别为-0.86、-0.88，均较上月持平，</w:t>
      </w:r>
      <w:r>
        <w:rPr>
          <w:rFonts w:hint="eastAsia" w:ascii="黑体" w:hAnsi="黑体" w:eastAsia="黑体" w:cs="Times New Roman"/>
          <w:sz w:val="20"/>
          <w:szCs w:val="20"/>
          <w:highlight w:val="none"/>
          <w:lang w:val="en-US" w:eastAsia="zh-CN"/>
        </w:rPr>
        <w:t>其中，二线情绪指数已连续12个月处于市场低迷区间。</w:t>
      </w:r>
    </w:p>
    <w:p w14:paraId="673823F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40" w:line="360" w:lineRule="auto"/>
        <w:jc w:val="center"/>
        <w:textAlignment w:val="auto"/>
      </w:pPr>
      <w:r>
        <w:drawing>
          <wp:inline distT="0" distB="0" distL="114300" distR="114300">
            <wp:extent cx="5273675" cy="2628265"/>
            <wp:effectExtent l="0" t="0" r="3175" b="635"/>
            <wp:docPr id="1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628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9D7417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40" w:line="240" w:lineRule="auto"/>
        <w:textAlignment w:val="auto"/>
        <w:rPr>
          <w:rFonts w:hint="default" w:ascii="黑体" w:hAnsi="黑体" w:eastAsia="黑体"/>
          <w:sz w:val="24"/>
          <w:szCs w:val="24"/>
          <w:highlight w:val="none"/>
          <w:lang w:val="en-US" w:bidi="ar"/>
        </w:rPr>
      </w:pPr>
      <w:r>
        <w:rPr>
          <w:rFonts w:hint="eastAsia" w:ascii="黑体" w:hAnsi="黑体" w:eastAsia="黑体"/>
          <w:sz w:val="24"/>
          <w:szCs w:val="24"/>
          <w:highlight w:val="none"/>
          <w:lang w:bidi="ar"/>
        </w:rPr>
        <w:t>二、</w:t>
      </w:r>
      <w:r>
        <w:rPr>
          <w:rFonts w:hint="eastAsia" w:ascii="黑体" w:hAnsi="黑体" w:eastAsia="黑体"/>
          <w:sz w:val="24"/>
          <w:szCs w:val="24"/>
          <w:highlight w:val="none"/>
          <w:lang w:val="en-US" w:eastAsia="zh-CN" w:bidi="ar"/>
        </w:rPr>
        <w:t>7月有6成城市情绪指数下行，无锡、郑州涨幅位居前二</w:t>
      </w:r>
    </w:p>
    <w:p w14:paraId="59A6171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40" w:line="360" w:lineRule="auto"/>
        <w:ind w:firstLine="400" w:firstLineChars="200"/>
        <w:textAlignment w:val="auto"/>
        <w:rPr>
          <w:rFonts w:hint="default" w:ascii="黑体" w:hAnsi="黑体" w:eastAsia="黑体" w:cs="Times New Roman"/>
          <w:lang w:val="en-US" w:eastAsia="zh-CN"/>
        </w:rPr>
      </w:pPr>
      <w:r>
        <w:rPr>
          <w:rFonts w:hint="eastAsia" w:ascii="黑体" w:hAnsi="黑体" w:eastAsia="黑体" w:cs="Times New Roman"/>
          <w:sz w:val="20"/>
          <w:szCs w:val="20"/>
        </w:rPr>
        <w:t>从</w:t>
      </w:r>
      <w:r>
        <w:rPr>
          <w:rFonts w:hint="eastAsia" w:ascii="黑体" w:hAnsi="黑体" w:eastAsia="黑体" w:cs="Times New Roman"/>
          <w:sz w:val="20"/>
          <w:szCs w:val="20"/>
          <w:lang w:val="en-US" w:eastAsia="zh-CN"/>
        </w:rPr>
        <w:t>7</w:t>
      </w:r>
      <w:r>
        <w:rPr>
          <w:rFonts w:ascii="黑体" w:hAnsi="黑体" w:eastAsia="黑体" w:cs="Times New Roman"/>
          <w:sz w:val="20"/>
          <w:szCs w:val="20"/>
        </w:rPr>
        <w:t>月各</w:t>
      </w:r>
      <w:r>
        <w:rPr>
          <w:rFonts w:hint="eastAsia" w:ascii="黑体" w:hAnsi="黑体" w:eastAsia="黑体" w:cs="Times New Roman"/>
          <w:sz w:val="20"/>
          <w:szCs w:val="20"/>
        </w:rPr>
        <w:t>城市市场情绪指数来看，</w:t>
      </w:r>
      <w:r>
        <w:rPr>
          <w:rFonts w:hint="eastAsia" w:ascii="黑体" w:hAnsi="黑体" w:eastAsia="黑体" w:cs="Times New Roman"/>
          <w:b/>
          <w:bCs/>
          <w:sz w:val="20"/>
          <w:szCs w:val="20"/>
          <w:u w:val="single"/>
        </w:rPr>
        <w:t>5</w:t>
      </w:r>
      <w:r>
        <w:rPr>
          <w:rFonts w:ascii="黑体" w:hAnsi="黑体" w:eastAsia="黑体" w:cs="Times New Roman"/>
          <w:b/>
          <w:bCs/>
          <w:sz w:val="20"/>
          <w:szCs w:val="20"/>
          <w:u w:val="single"/>
        </w:rPr>
        <w:t>0城的市场情绪指数</w:t>
      </w:r>
      <w:r>
        <w:rPr>
          <w:rFonts w:hint="eastAsia" w:ascii="黑体" w:hAnsi="黑体" w:eastAsia="黑体" w:cs="Times New Roman"/>
          <w:b/>
          <w:bCs/>
          <w:sz w:val="20"/>
          <w:szCs w:val="20"/>
          <w:u w:val="single"/>
          <w:lang w:val="en-US" w:eastAsia="zh-CN"/>
        </w:rPr>
        <w:t>依旧</w:t>
      </w:r>
      <w:r>
        <w:rPr>
          <w:rFonts w:ascii="黑体" w:hAnsi="黑体" w:eastAsia="黑体" w:cs="Times New Roman"/>
          <w:b/>
          <w:bCs/>
          <w:sz w:val="20"/>
          <w:szCs w:val="20"/>
          <w:u w:val="single"/>
        </w:rPr>
        <w:t>分布</w:t>
      </w:r>
      <w:r>
        <w:rPr>
          <w:rFonts w:hint="eastAsia" w:ascii="黑体" w:hAnsi="黑体" w:eastAsia="黑体" w:cs="Times New Roman"/>
          <w:b/>
          <w:bCs/>
          <w:sz w:val="20"/>
          <w:szCs w:val="20"/>
          <w:u w:val="single"/>
        </w:rPr>
        <w:t>于观望和低迷</w:t>
      </w:r>
      <w:r>
        <w:rPr>
          <w:rFonts w:hint="eastAsia" w:ascii="黑体" w:hAnsi="黑体" w:eastAsia="黑体" w:cs="Times New Roman"/>
          <w:b/>
          <w:bCs/>
          <w:sz w:val="20"/>
          <w:szCs w:val="20"/>
          <w:u w:val="single"/>
          <w:lang w:val="en-US" w:eastAsia="zh-CN"/>
        </w:rPr>
        <w:t>2</w:t>
      </w:r>
      <w:r>
        <w:rPr>
          <w:rFonts w:hint="eastAsia" w:ascii="黑体" w:hAnsi="黑体" w:eastAsia="黑体" w:cs="Times New Roman"/>
          <w:b/>
          <w:bCs/>
          <w:sz w:val="20"/>
          <w:szCs w:val="20"/>
          <w:u w:val="single"/>
        </w:rPr>
        <w:t>个区间，</w:t>
      </w:r>
      <w:r>
        <w:rPr>
          <w:rFonts w:hint="eastAsia" w:ascii="黑体" w:hAnsi="黑体" w:eastAsia="黑体" w:cs="Times New Roman"/>
          <w:b/>
          <w:bCs/>
          <w:sz w:val="20"/>
          <w:szCs w:val="20"/>
          <w:u w:val="single"/>
          <w:lang w:val="en-US" w:eastAsia="zh-CN"/>
        </w:rPr>
        <w:t>并且约8成城市的情绪指数位于低迷区间。</w:t>
      </w:r>
      <w:r>
        <w:rPr>
          <w:rFonts w:hint="eastAsia" w:ascii="黑体" w:hAnsi="黑体" w:eastAsia="黑体" w:cs="Times New Roman"/>
          <w:sz w:val="20"/>
          <w:szCs w:val="20"/>
        </w:rPr>
        <w:t>其中，</w:t>
      </w:r>
      <w:r>
        <w:rPr>
          <w:rFonts w:hint="eastAsia" w:ascii="黑体" w:hAnsi="黑体" w:eastAsia="黑体" w:cs="Times New Roman"/>
          <w:sz w:val="20"/>
          <w:szCs w:val="20"/>
          <w:lang w:val="en-US" w:eastAsia="zh-CN"/>
        </w:rPr>
        <w:t>三亚</w:t>
      </w:r>
      <w:r>
        <w:rPr>
          <w:rFonts w:hint="eastAsia" w:ascii="黑体" w:hAnsi="黑体" w:eastAsia="黑体" w:cs="Times New Roman"/>
          <w:sz w:val="20"/>
          <w:szCs w:val="20"/>
        </w:rPr>
        <w:t>情绪指数-0.</w:t>
      </w:r>
      <w:r>
        <w:rPr>
          <w:rFonts w:hint="eastAsia" w:ascii="黑体" w:hAnsi="黑体" w:eastAsia="黑体" w:cs="Times New Roman"/>
          <w:sz w:val="20"/>
          <w:szCs w:val="20"/>
          <w:lang w:val="en-US" w:eastAsia="zh-CN"/>
        </w:rPr>
        <w:t>63位居首位</w:t>
      </w:r>
      <w:r>
        <w:rPr>
          <w:rFonts w:hint="eastAsia" w:ascii="黑体" w:hAnsi="黑体" w:eastAsia="黑体" w:cs="Times New Roman"/>
          <w:sz w:val="20"/>
          <w:szCs w:val="20"/>
          <w:lang w:eastAsia="zh-CN"/>
        </w:rPr>
        <w:t>；</w:t>
      </w:r>
      <w:r>
        <w:rPr>
          <w:rFonts w:hint="eastAsia" w:ascii="黑体" w:hAnsi="黑体" w:eastAsia="黑体" w:cs="Times New Roman"/>
          <w:sz w:val="20"/>
          <w:szCs w:val="20"/>
          <w:lang w:val="en-US" w:eastAsia="zh-CN"/>
        </w:rPr>
        <w:t>无锡上升至第二，7月情绪指数为-0.67；深圳、重庆位居第三、四，情绪指数分别为-0.75、-0.77。对比其他3个一线城市，上海、广州情绪指数分别为-0.85、-0.86；北京最低，为-0.91，已处于低迷区间中低位水平。此外，包括北京在内，7月共计有盐城、潍坊、廊坊等15</w:t>
      </w:r>
      <w:r>
        <w:rPr>
          <w:rFonts w:hint="eastAsia" w:ascii="黑体" w:hAnsi="黑体" w:eastAsia="黑体" w:cs="Times New Roman"/>
          <w:sz w:val="20"/>
          <w:szCs w:val="20"/>
        </w:rPr>
        <w:t>个城市情绪指数低于-0.9</w:t>
      </w:r>
      <w:r>
        <w:rPr>
          <w:rFonts w:hint="eastAsia" w:ascii="黑体" w:hAnsi="黑体" w:eastAsia="黑体" w:cs="Times New Roman"/>
          <w:sz w:val="20"/>
          <w:szCs w:val="20"/>
          <w:lang w:eastAsia="zh-CN"/>
        </w:rPr>
        <w:t>，</w:t>
      </w:r>
      <w:r>
        <w:rPr>
          <w:rFonts w:hint="eastAsia" w:ascii="黑体" w:hAnsi="黑体" w:eastAsia="黑体" w:cs="Times New Roman"/>
          <w:sz w:val="20"/>
          <w:szCs w:val="20"/>
          <w:lang w:val="en-US" w:eastAsia="zh-CN"/>
        </w:rPr>
        <w:t>较上月增加4个，当前情绪指数分布似乎有“下沉”趋势。</w:t>
      </w:r>
    </w:p>
    <w:p w14:paraId="3D3C3CB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40" w:line="360" w:lineRule="auto"/>
        <w:jc w:val="center"/>
        <w:textAlignment w:val="auto"/>
      </w:pPr>
      <w:r>
        <w:drawing>
          <wp:inline distT="0" distB="0" distL="114300" distR="114300">
            <wp:extent cx="5268595" cy="4973320"/>
            <wp:effectExtent l="0" t="0" r="8255" b="17780"/>
            <wp:docPr id="1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4973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2AE6B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40" w:line="360" w:lineRule="auto"/>
        <w:ind w:firstLine="400" w:firstLineChars="200"/>
        <w:textAlignment w:val="auto"/>
        <w:rPr>
          <w:rFonts w:hint="default" w:ascii="黑体" w:hAnsi="黑体" w:eastAsia="黑体" w:cs="Times New Roman"/>
          <w:sz w:val="20"/>
          <w:szCs w:val="20"/>
          <w:lang w:val="en-US" w:eastAsia="zh-CN"/>
        </w:rPr>
      </w:pPr>
      <w:r>
        <w:rPr>
          <w:rFonts w:ascii="黑体" w:hAnsi="黑体" w:eastAsia="黑体" w:cs="Times New Roman"/>
          <w:sz w:val="20"/>
          <w:szCs w:val="20"/>
        </w:rPr>
        <w:t>从情绪指数变化来看，</w:t>
      </w:r>
      <w:r>
        <w:rPr>
          <w:rFonts w:hint="eastAsia" w:ascii="黑体" w:hAnsi="黑体" w:eastAsia="黑体" w:cs="Times New Roman"/>
          <w:sz w:val="20"/>
          <w:szCs w:val="20"/>
          <w:lang w:val="en-US" w:eastAsia="zh-CN"/>
        </w:rPr>
        <w:t>连续2月呈现</w:t>
      </w:r>
      <w:r>
        <w:rPr>
          <w:rFonts w:hint="eastAsia" w:ascii="黑体" w:hAnsi="黑体" w:eastAsia="黑体" w:cs="Times New Roman"/>
          <w:sz w:val="20"/>
          <w:szCs w:val="20"/>
          <w:lang w:eastAsia="zh-CN"/>
        </w:rPr>
        <w:t>“</w:t>
      </w:r>
      <w:r>
        <w:rPr>
          <w:rFonts w:hint="eastAsia" w:ascii="黑体" w:hAnsi="黑体" w:eastAsia="黑体" w:cs="Times New Roman"/>
          <w:sz w:val="20"/>
          <w:szCs w:val="20"/>
          <w:lang w:val="en-US" w:eastAsia="zh-CN"/>
        </w:rPr>
        <w:t>跌多涨少</w:t>
      </w:r>
      <w:r>
        <w:rPr>
          <w:rFonts w:hint="eastAsia" w:ascii="黑体" w:hAnsi="黑体" w:eastAsia="黑体" w:cs="Times New Roman"/>
          <w:sz w:val="20"/>
          <w:szCs w:val="20"/>
          <w:lang w:eastAsia="zh-CN"/>
        </w:rPr>
        <w:t>”</w:t>
      </w:r>
      <w:r>
        <w:rPr>
          <w:rFonts w:hint="eastAsia" w:ascii="黑体" w:hAnsi="黑体" w:eastAsia="黑体" w:cs="Times New Roman"/>
          <w:sz w:val="20"/>
          <w:szCs w:val="20"/>
          <w:lang w:val="en-US" w:eastAsia="zh-CN"/>
        </w:rPr>
        <w:t>分布，</w:t>
      </w:r>
      <w:r>
        <w:rPr>
          <w:rFonts w:hint="eastAsia" w:ascii="黑体" w:hAnsi="黑体" w:eastAsia="黑体" w:cs="Times New Roman"/>
          <w:b/>
          <w:bCs/>
          <w:sz w:val="20"/>
          <w:szCs w:val="20"/>
          <w:u w:val="single"/>
          <w:lang w:val="en-US" w:eastAsia="zh-CN"/>
        </w:rPr>
        <w:t>7月有20个城市情绪指数呈现上升态势，较上月减少2个；其余30城出现下降局面，下降城市个数占比六成。</w:t>
      </w:r>
      <w:r>
        <w:rPr>
          <w:rFonts w:ascii="黑体" w:hAnsi="黑体" w:eastAsia="黑体" w:cs="Times New Roman"/>
          <w:sz w:val="20"/>
          <w:szCs w:val="20"/>
        </w:rPr>
        <w:t>其中，</w:t>
      </w:r>
      <w:r>
        <w:rPr>
          <w:rFonts w:hint="eastAsia" w:ascii="黑体" w:hAnsi="黑体" w:eastAsia="黑体" w:cs="Times New Roman"/>
          <w:sz w:val="20"/>
          <w:szCs w:val="20"/>
          <w:lang w:val="en-US" w:eastAsia="zh-CN"/>
        </w:rPr>
        <w:t>无锡</w:t>
      </w:r>
      <w:r>
        <w:rPr>
          <w:rFonts w:hint="eastAsia" w:ascii="黑体" w:hAnsi="黑体" w:eastAsia="黑体" w:cs="Times New Roman"/>
          <w:sz w:val="20"/>
          <w:szCs w:val="20"/>
        </w:rPr>
        <w:t>涨幅领先，情绪指数</w:t>
      </w:r>
      <w:r>
        <w:rPr>
          <w:rFonts w:hint="eastAsia" w:ascii="黑体" w:hAnsi="黑体" w:eastAsia="黑体" w:cs="Times New Roman"/>
          <w:sz w:val="20"/>
          <w:szCs w:val="20"/>
          <w:lang w:val="en-US" w:eastAsia="zh-CN"/>
        </w:rPr>
        <w:t>较上月上升0.08；郑州位居第二，情绪指数较上月上升0.07，郑州近期新政频频，且推出取消限价政策，市场情绪改善回升不排除系市场对价格信心略增。石家庄、烟台位居第三、四，情绪指数均较上月上升为0.06。</w:t>
      </w:r>
    </w:p>
    <w:p w14:paraId="15A49F5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40" w:line="360" w:lineRule="auto"/>
        <w:ind w:firstLine="400" w:firstLineChars="200"/>
        <w:textAlignment w:val="auto"/>
        <w:rPr>
          <w:rFonts w:hint="default" w:ascii="黑体" w:hAnsi="黑体" w:eastAsia="黑体" w:cs="Times New Roman"/>
          <w:sz w:val="20"/>
          <w:szCs w:val="20"/>
          <w:lang w:val="en-US" w:eastAsia="zh-CN"/>
        </w:rPr>
      </w:pPr>
      <w:r>
        <w:rPr>
          <w:rFonts w:hint="eastAsia" w:ascii="黑体" w:hAnsi="黑体" w:eastAsia="黑体" w:cs="Times New Roman"/>
          <w:sz w:val="20"/>
          <w:szCs w:val="20"/>
          <w:lang w:val="en-US" w:eastAsia="zh-CN"/>
        </w:rPr>
        <w:t>4个一线城市中，仅广州市场情绪稍有改善，7月情绪指数较上月回升0.02，北上深3城均现下降态势，情绪指数分别较上月下降0.02、0.08、0.06。此外，长春</w:t>
      </w:r>
      <w:r>
        <w:rPr>
          <w:rFonts w:hint="eastAsia" w:ascii="黑体" w:hAnsi="黑体" w:eastAsia="黑体" w:cs="Times New Roman"/>
          <w:sz w:val="20"/>
          <w:szCs w:val="20"/>
        </w:rPr>
        <w:t>位列跌幅</w:t>
      </w:r>
      <w:r>
        <w:rPr>
          <w:rFonts w:hint="eastAsia" w:ascii="黑体" w:hAnsi="黑体" w:eastAsia="黑体" w:cs="Times New Roman"/>
          <w:sz w:val="20"/>
          <w:szCs w:val="20"/>
          <w:lang w:val="en-US" w:eastAsia="zh-CN"/>
        </w:rPr>
        <w:t>首位</w:t>
      </w:r>
      <w:r>
        <w:rPr>
          <w:rFonts w:hint="eastAsia" w:ascii="黑体" w:hAnsi="黑体" w:eastAsia="黑体" w:cs="Times New Roman"/>
          <w:sz w:val="20"/>
          <w:szCs w:val="20"/>
        </w:rPr>
        <w:t>，情绪指数较上月</w:t>
      </w:r>
      <w:r>
        <w:rPr>
          <w:rFonts w:hint="eastAsia" w:ascii="黑体" w:hAnsi="黑体" w:eastAsia="黑体" w:cs="Times New Roman"/>
          <w:sz w:val="20"/>
          <w:szCs w:val="20"/>
          <w:lang w:val="en-US" w:eastAsia="zh-CN"/>
        </w:rPr>
        <w:t>显著</w:t>
      </w:r>
      <w:r>
        <w:rPr>
          <w:rFonts w:hint="eastAsia" w:ascii="黑体" w:hAnsi="黑体" w:eastAsia="黑体" w:cs="Times New Roman"/>
          <w:sz w:val="20"/>
          <w:szCs w:val="20"/>
        </w:rPr>
        <w:t>回落0.</w:t>
      </w:r>
      <w:r>
        <w:rPr>
          <w:rFonts w:hint="eastAsia" w:ascii="黑体" w:hAnsi="黑体" w:eastAsia="黑体" w:cs="Times New Roman"/>
          <w:sz w:val="20"/>
          <w:szCs w:val="20"/>
          <w:lang w:val="en-US" w:eastAsia="zh-CN"/>
        </w:rPr>
        <w:t>29，市场初现加速下行，情绪指数由观望区间中高位跌落至区间底部</w:t>
      </w:r>
      <w:r>
        <w:rPr>
          <w:rFonts w:hint="eastAsia" w:ascii="黑体" w:hAnsi="黑体" w:eastAsia="黑体" w:cs="Times New Roman"/>
          <w:sz w:val="20"/>
          <w:szCs w:val="20"/>
        </w:rPr>
        <w:t>。</w:t>
      </w:r>
    </w:p>
    <w:p w14:paraId="400741B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40" w:line="360" w:lineRule="auto"/>
        <w:jc w:val="center"/>
        <w:textAlignment w:val="auto"/>
      </w:pPr>
      <w:r>
        <w:drawing>
          <wp:inline distT="0" distB="0" distL="114300" distR="114300">
            <wp:extent cx="5269230" cy="2780665"/>
            <wp:effectExtent l="0" t="0" r="7620" b="635"/>
            <wp:docPr id="1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780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14AC8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40" w:line="360" w:lineRule="auto"/>
        <w:jc w:val="center"/>
        <w:textAlignment w:val="auto"/>
      </w:pPr>
      <w:r>
        <w:drawing>
          <wp:inline distT="0" distB="0" distL="114300" distR="114300">
            <wp:extent cx="5273040" cy="4838700"/>
            <wp:effectExtent l="0" t="0" r="3810" b="0"/>
            <wp:docPr id="2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483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87AEB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40" w:line="360" w:lineRule="auto"/>
        <w:jc w:val="center"/>
        <w:textAlignment w:val="auto"/>
      </w:pPr>
    </w:p>
    <w:p w14:paraId="6979B601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40" w:line="360" w:lineRule="auto"/>
        <w:textAlignment w:val="auto"/>
        <w:rPr>
          <w:rFonts w:hint="default" w:ascii="黑体" w:hAnsi="黑体" w:eastAsia="黑体"/>
          <w:sz w:val="24"/>
          <w:szCs w:val="24"/>
          <w:highlight w:val="none"/>
          <w:lang w:val="en-US" w:bidi="ar"/>
        </w:rPr>
      </w:pPr>
      <w:r>
        <w:rPr>
          <w:rFonts w:hint="eastAsia" w:ascii="黑体" w:hAnsi="黑体" w:eastAsia="黑体"/>
          <w:sz w:val="24"/>
          <w:szCs w:val="24"/>
          <w:highlight w:val="none"/>
          <w:lang w:bidi="ar"/>
        </w:rPr>
        <w:t>三、</w:t>
      </w:r>
      <w:r>
        <w:rPr>
          <w:rFonts w:hint="eastAsia" w:ascii="黑体" w:hAnsi="黑体" w:eastAsia="黑体"/>
          <w:sz w:val="24"/>
          <w:szCs w:val="24"/>
          <w:highlight w:val="none"/>
          <w:lang w:val="en-US" w:eastAsia="zh-CN" w:bidi="ar"/>
        </w:rPr>
        <w:t>约9成城市房价短期内或持续性下行，预计无锡未来两个月内房价有“先降后升”的可能</w:t>
      </w:r>
    </w:p>
    <w:p w14:paraId="67FEBCE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40" w:line="360" w:lineRule="auto"/>
        <w:ind w:firstLine="400" w:firstLineChars="200"/>
        <w:textAlignment w:val="auto"/>
        <w:rPr>
          <w:rFonts w:ascii="黑体" w:hAnsi="黑体" w:eastAsia="黑体" w:cs="Times New Roman"/>
          <w:b/>
          <w:sz w:val="20"/>
          <w:szCs w:val="20"/>
          <w:u w:val="single"/>
        </w:rPr>
      </w:pPr>
      <w:r>
        <w:rPr>
          <w:rFonts w:hint="eastAsia" w:ascii="黑体" w:hAnsi="黑体" w:eastAsia="黑体" w:cs="Times New Roman"/>
          <w:sz w:val="20"/>
          <w:szCs w:val="20"/>
        </w:rPr>
        <w:t>根据情绪指数预测房价模型，监测的重点5</w:t>
      </w:r>
      <w:r>
        <w:rPr>
          <w:rFonts w:ascii="黑体" w:hAnsi="黑体" w:eastAsia="黑体" w:cs="Times New Roman"/>
          <w:sz w:val="20"/>
          <w:szCs w:val="20"/>
        </w:rPr>
        <w:t>0</w:t>
      </w:r>
      <w:r>
        <w:rPr>
          <w:rFonts w:hint="eastAsia" w:ascii="黑体" w:hAnsi="黑体" w:eastAsia="黑体" w:cs="Times New Roman"/>
          <w:sz w:val="20"/>
          <w:szCs w:val="20"/>
        </w:rPr>
        <w:t>城中</w:t>
      </w:r>
      <w:r>
        <w:rPr>
          <w:rFonts w:hint="eastAsia" w:ascii="黑体" w:hAnsi="黑体" w:eastAsia="黑体" w:cs="Times New Roman"/>
          <w:b/>
          <w:sz w:val="20"/>
          <w:szCs w:val="20"/>
          <w:u w:val="single"/>
        </w:rPr>
        <w:t>有</w:t>
      </w:r>
      <w:r>
        <w:rPr>
          <w:rFonts w:hint="eastAsia" w:ascii="黑体" w:hAnsi="黑体" w:eastAsia="黑体" w:cs="Times New Roman"/>
          <w:b/>
          <w:sz w:val="20"/>
          <w:szCs w:val="20"/>
          <w:u w:val="single"/>
          <w:lang w:val="en-US" w:eastAsia="zh-CN"/>
        </w:rPr>
        <w:t>5</w:t>
      </w:r>
      <w:r>
        <w:rPr>
          <w:rFonts w:ascii="黑体" w:hAnsi="黑体" w:eastAsia="黑体" w:cs="Times New Roman"/>
          <w:b/>
          <w:sz w:val="20"/>
          <w:szCs w:val="20"/>
          <w:u w:val="single"/>
        </w:rPr>
        <w:t>城房价</w:t>
      </w:r>
      <w:r>
        <w:rPr>
          <w:rFonts w:hint="eastAsia" w:ascii="黑体" w:hAnsi="黑体" w:eastAsia="黑体" w:cs="Times New Roman"/>
          <w:b/>
          <w:sz w:val="20"/>
          <w:szCs w:val="20"/>
          <w:u w:val="single"/>
          <w:lang w:val="en-US" w:eastAsia="zh-CN"/>
        </w:rPr>
        <w:t>在反应周期内有短暂的</w:t>
      </w:r>
      <w:r>
        <w:rPr>
          <w:rFonts w:ascii="黑体" w:hAnsi="黑体" w:eastAsia="黑体" w:cs="Times New Roman"/>
          <w:b/>
          <w:sz w:val="20"/>
          <w:szCs w:val="20"/>
          <w:u w:val="single"/>
        </w:rPr>
        <w:t>上涨</w:t>
      </w:r>
      <w:r>
        <w:rPr>
          <w:rFonts w:hint="eastAsia" w:ascii="黑体" w:hAnsi="黑体" w:eastAsia="黑体" w:cs="Times New Roman"/>
          <w:b/>
          <w:sz w:val="20"/>
          <w:szCs w:val="20"/>
          <w:u w:val="single"/>
          <w:lang w:val="en-US" w:eastAsia="zh-CN"/>
        </w:rPr>
        <w:t>波动</w:t>
      </w:r>
      <w:r>
        <w:rPr>
          <w:rFonts w:ascii="黑体" w:hAnsi="黑体" w:eastAsia="黑体" w:cs="Times New Roman"/>
          <w:b/>
          <w:sz w:val="20"/>
          <w:szCs w:val="20"/>
          <w:u w:val="single"/>
        </w:rPr>
        <w:t>，</w:t>
      </w:r>
      <w:r>
        <w:rPr>
          <w:rFonts w:hint="eastAsia" w:ascii="黑体" w:hAnsi="黑体" w:eastAsia="黑体" w:cs="Times New Roman"/>
          <w:b/>
          <w:sz w:val="20"/>
          <w:szCs w:val="20"/>
          <w:u w:val="single"/>
          <w:lang w:val="en-US" w:eastAsia="zh-CN"/>
        </w:rPr>
        <w:t>但大</w:t>
      </w:r>
      <w:r>
        <w:rPr>
          <w:rFonts w:hint="eastAsia" w:ascii="黑体" w:hAnsi="黑体" w:eastAsia="黑体" w:cs="Times New Roman"/>
          <w:b/>
          <w:sz w:val="20"/>
          <w:szCs w:val="20"/>
          <w:u w:val="single"/>
        </w:rPr>
        <w:t>多数城市房价短期仍</w:t>
      </w:r>
      <w:r>
        <w:rPr>
          <w:rFonts w:hint="eastAsia" w:ascii="黑体" w:hAnsi="黑体" w:eastAsia="黑体" w:cs="Times New Roman"/>
          <w:b/>
          <w:sz w:val="20"/>
          <w:szCs w:val="20"/>
          <w:u w:val="single"/>
          <w:lang w:val="en-US" w:eastAsia="zh-CN"/>
        </w:rPr>
        <w:t>有持续性</w:t>
      </w:r>
      <w:r>
        <w:rPr>
          <w:rFonts w:hint="eastAsia" w:ascii="黑体" w:hAnsi="黑体" w:eastAsia="黑体" w:cs="Times New Roman"/>
          <w:b/>
          <w:sz w:val="20"/>
          <w:szCs w:val="20"/>
          <w:u w:val="single"/>
        </w:rPr>
        <w:t>下行</w:t>
      </w:r>
      <w:r>
        <w:rPr>
          <w:rFonts w:hint="eastAsia" w:ascii="黑体" w:hAnsi="黑体" w:eastAsia="黑体" w:cs="Times New Roman"/>
          <w:b/>
          <w:sz w:val="20"/>
          <w:szCs w:val="20"/>
          <w:u w:val="single"/>
          <w:lang w:val="en-US" w:eastAsia="zh-CN"/>
        </w:rPr>
        <w:t>的可能</w:t>
      </w:r>
      <w:r>
        <w:rPr>
          <w:rFonts w:hint="eastAsia" w:ascii="黑体" w:hAnsi="黑体" w:eastAsia="黑体" w:cs="Times New Roman"/>
          <w:b/>
          <w:sz w:val="20"/>
          <w:szCs w:val="20"/>
          <w:u w:val="single"/>
        </w:rPr>
        <w:t>。</w:t>
      </w:r>
    </w:p>
    <w:p w14:paraId="303AD2A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40" w:line="360" w:lineRule="auto"/>
        <w:ind w:firstLine="400" w:firstLineChars="200"/>
        <w:textAlignment w:val="auto"/>
        <w:rPr>
          <w:rFonts w:hint="eastAsia" w:ascii="黑体" w:hAnsi="黑体" w:eastAsia="黑体" w:cs="Times New Roman"/>
          <w:bCs/>
          <w:sz w:val="20"/>
          <w:szCs w:val="20"/>
          <w:lang w:val="en-US" w:eastAsia="zh-CN"/>
        </w:rPr>
      </w:pPr>
      <w:r>
        <w:rPr>
          <w:rFonts w:hint="eastAsia" w:ascii="黑体" w:hAnsi="黑体" w:eastAsia="黑体" w:cs="Times New Roman"/>
          <w:bCs/>
          <w:sz w:val="20"/>
          <w:szCs w:val="20"/>
        </w:rPr>
        <w:t>根据情绪指数模型，</w:t>
      </w:r>
      <w:r>
        <w:rPr>
          <w:rFonts w:hint="eastAsia" w:ascii="黑体" w:hAnsi="黑体" w:eastAsia="黑体" w:cs="Times New Roman"/>
          <w:bCs/>
          <w:sz w:val="20"/>
          <w:szCs w:val="20"/>
          <w:lang w:val="en-US" w:eastAsia="zh-CN"/>
        </w:rPr>
        <w:t>再结合威海近半年来房价有两次较为明显的上涨态势，预测其8、9月房价将在7月的基础上呈现稳中有升态势，但鉴于威海目前情绪指数仍处在低位水平，预计涨幅并不大，累计微涨0.06%；无锡近期市场情绪指数持续改善上升，并且当前房价降幅较二季度有明显收窄趋势，预测其房价后续有望逐步企稳，</w:t>
      </w:r>
      <w:r>
        <w:rPr>
          <w:rFonts w:hint="eastAsia" w:ascii="黑体" w:hAnsi="黑体" w:eastAsia="黑体" w:cs="Times New Roman"/>
          <w:bCs/>
          <w:sz w:val="20"/>
          <w:szCs w:val="20"/>
        </w:rPr>
        <w:t>根据情绪指数模型，</w:t>
      </w:r>
      <w:r>
        <w:rPr>
          <w:rFonts w:hint="eastAsia" w:ascii="黑体" w:hAnsi="黑体" w:eastAsia="黑体" w:cs="Times New Roman"/>
          <w:bCs/>
          <w:sz w:val="20"/>
          <w:szCs w:val="20"/>
          <w:lang w:val="en-US" w:eastAsia="zh-CN"/>
        </w:rPr>
        <w:t>预测无锡8月房价维持降势、9月止跌微升。</w:t>
      </w:r>
    </w:p>
    <w:p w14:paraId="7D37A53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40" w:line="360" w:lineRule="auto"/>
        <w:ind w:firstLine="400" w:firstLineChars="200"/>
        <w:textAlignment w:val="auto"/>
        <w:rPr>
          <w:rFonts w:hint="default" w:ascii="黑体" w:hAnsi="黑体" w:eastAsia="黑体" w:cs="Times New Roman"/>
          <w:highlight w:val="none"/>
          <w:lang w:val="en-US" w:eastAsia="zh-CN"/>
        </w:rPr>
      </w:pPr>
      <w:r>
        <w:rPr>
          <w:rFonts w:hint="eastAsia" w:ascii="黑体" w:hAnsi="黑体" w:eastAsia="黑体" w:cs="Times New Roman"/>
          <w:sz w:val="20"/>
          <w:szCs w:val="20"/>
          <w:highlight w:val="none"/>
          <w:lang w:val="en-US" w:eastAsia="zh-CN"/>
        </w:rPr>
        <w:t>同时，</w:t>
      </w:r>
      <w:r>
        <w:rPr>
          <w:rFonts w:hint="eastAsia" w:ascii="黑体" w:hAnsi="黑体" w:eastAsia="黑体" w:cs="Times New Roman"/>
          <w:sz w:val="20"/>
          <w:szCs w:val="20"/>
          <w:highlight w:val="none"/>
        </w:rPr>
        <w:t>根据情绪指数模型，预测</w:t>
      </w:r>
      <w:r>
        <w:rPr>
          <w:rFonts w:hint="eastAsia" w:ascii="黑体" w:hAnsi="黑体" w:eastAsia="黑体" w:cs="Times New Roman"/>
          <w:sz w:val="20"/>
          <w:szCs w:val="20"/>
          <w:highlight w:val="none"/>
          <w:lang w:val="en-US" w:eastAsia="zh-CN"/>
        </w:rPr>
        <w:t>深圳、上海8、9</w:t>
      </w:r>
      <w:r>
        <w:rPr>
          <w:rFonts w:hint="eastAsia" w:ascii="黑体" w:hAnsi="黑体" w:eastAsia="黑体" w:cs="Times New Roman"/>
          <w:sz w:val="20"/>
          <w:szCs w:val="20"/>
          <w:highlight w:val="none"/>
        </w:rPr>
        <w:t>月房价</w:t>
      </w:r>
      <w:r>
        <w:rPr>
          <w:rFonts w:hint="eastAsia" w:ascii="黑体" w:hAnsi="黑体" w:eastAsia="黑体" w:cs="Times New Roman"/>
          <w:sz w:val="20"/>
          <w:szCs w:val="20"/>
          <w:highlight w:val="none"/>
          <w:lang w:val="en-US" w:eastAsia="zh-CN"/>
        </w:rPr>
        <w:t>可能下降</w:t>
      </w:r>
      <w:r>
        <w:rPr>
          <w:rFonts w:hint="eastAsia" w:ascii="黑体" w:hAnsi="黑体" w:eastAsia="黑体" w:cs="Times New Roman"/>
          <w:sz w:val="20"/>
          <w:szCs w:val="20"/>
          <w:highlight w:val="none"/>
        </w:rPr>
        <w:t>，</w:t>
      </w:r>
      <w:r>
        <w:rPr>
          <w:rFonts w:hint="eastAsia" w:ascii="黑体" w:hAnsi="黑体" w:eastAsia="黑体" w:cs="Times New Roman"/>
          <w:sz w:val="20"/>
          <w:szCs w:val="20"/>
          <w:highlight w:val="none"/>
          <w:lang w:val="en-US" w:eastAsia="zh-CN"/>
        </w:rPr>
        <w:t>10月可能出现小幅上涨态势；相比而言，北京、广州短期内仍将面临持续性下跌的压力。</w:t>
      </w:r>
      <w:r>
        <w:rPr>
          <w:rFonts w:hint="eastAsia" w:ascii="黑体" w:hAnsi="黑体" w:eastAsia="黑体" w:cs="Times New Roman"/>
          <w:b/>
          <w:sz w:val="20"/>
          <w:szCs w:val="20"/>
          <w:highlight w:val="none"/>
          <w:u w:val="single"/>
          <w:lang w:val="en-US" w:eastAsia="zh-CN"/>
        </w:rPr>
        <w:t>另外，包含北广在内共计有近9成</w:t>
      </w:r>
      <w:r>
        <w:rPr>
          <w:rFonts w:hint="eastAsia" w:ascii="黑体" w:hAnsi="黑体" w:eastAsia="黑体" w:cs="Times New Roman"/>
          <w:b/>
          <w:sz w:val="20"/>
          <w:szCs w:val="20"/>
          <w:highlight w:val="none"/>
          <w:u w:val="single"/>
        </w:rPr>
        <w:t>城市未来短期内房价</w:t>
      </w:r>
      <w:r>
        <w:rPr>
          <w:rFonts w:hint="eastAsia" w:ascii="黑体" w:hAnsi="黑体" w:eastAsia="黑体" w:cs="Times New Roman"/>
          <w:b/>
          <w:sz w:val="20"/>
          <w:szCs w:val="20"/>
          <w:highlight w:val="none"/>
          <w:u w:val="single"/>
          <w:lang w:val="en-US" w:eastAsia="zh-CN"/>
        </w:rPr>
        <w:t>或有持续性下行的趋势</w:t>
      </w:r>
      <w:r>
        <w:rPr>
          <w:rFonts w:hint="eastAsia" w:ascii="黑体" w:hAnsi="黑体" w:eastAsia="黑体" w:cs="Times New Roman"/>
          <w:b/>
          <w:sz w:val="20"/>
          <w:szCs w:val="20"/>
          <w:highlight w:val="none"/>
          <w:u w:val="single"/>
          <w:lang w:eastAsia="zh-CN"/>
        </w:rPr>
        <w:t>，</w:t>
      </w:r>
      <w:r>
        <w:rPr>
          <w:rFonts w:hint="eastAsia" w:ascii="黑体" w:hAnsi="黑体" w:eastAsia="黑体" w:cs="Times New Roman"/>
          <w:bCs/>
          <w:sz w:val="20"/>
          <w:szCs w:val="20"/>
          <w:highlight w:val="none"/>
        </w:rPr>
        <w:t>其中，</w:t>
      </w:r>
      <w:r>
        <w:rPr>
          <w:rFonts w:hint="eastAsia" w:ascii="黑体" w:hAnsi="黑体" w:eastAsia="黑体" w:cs="Times New Roman"/>
          <w:bCs/>
          <w:sz w:val="20"/>
          <w:szCs w:val="20"/>
          <w:highlight w:val="none"/>
          <w:lang w:val="en-US" w:eastAsia="zh-CN"/>
        </w:rPr>
        <w:t>重庆、温州、苏州3</w:t>
      </w:r>
      <w:r>
        <w:rPr>
          <w:rFonts w:hint="eastAsia" w:ascii="黑体" w:hAnsi="黑体" w:eastAsia="黑体" w:cs="Times New Roman"/>
          <w:bCs/>
          <w:sz w:val="20"/>
          <w:szCs w:val="20"/>
          <w:highlight w:val="none"/>
        </w:rPr>
        <w:t>个城市未来短期内房价大概率会</w:t>
      </w:r>
      <w:r>
        <w:rPr>
          <w:rFonts w:hint="eastAsia" w:ascii="黑体" w:hAnsi="黑体" w:eastAsia="黑体" w:cs="Times New Roman"/>
          <w:bCs/>
          <w:sz w:val="20"/>
          <w:szCs w:val="20"/>
          <w:highlight w:val="none"/>
          <w:lang w:val="en-US" w:eastAsia="zh-CN"/>
        </w:rPr>
        <w:t>呈现</w:t>
      </w:r>
      <w:r>
        <w:rPr>
          <w:rFonts w:hint="eastAsia" w:ascii="黑体" w:hAnsi="黑体" w:eastAsia="黑体" w:cs="Times New Roman"/>
          <w:bCs/>
          <w:sz w:val="20"/>
          <w:szCs w:val="20"/>
          <w:highlight w:val="none"/>
        </w:rPr>
        <w:t>较为明显的下滑态势，累计跌幅均超</w:t>
      </w:r>
      <w:r>
        <w:rPr>
          <w:rFonts w:hint="eastAsia" w:ascii="黑体" w:hAnsi="黑体" w:eastAsia="黑体" w:cs="Times New Roman"/>
          <w:bCs/>
          <w:sz w:val="20"/>
          <w:szCs w:val="20"/>
          <w:highlight w:val="none"/>
          <w:lang w:val="en-US" w:eastAsia="zh-CN"/>
        </w:rPr>
        <w:t>1.8</w:t>
      </w:r>
      <w:r>
        <w:rPr>
          <w:rFonts w:hint="eastAsia" w:ascii="黑体" w:hAnsi="黑体" w:eastAsia="黑体" w:cs="Times New Roman"/>
          <w:bCs/>
          <w:sz w:val="20"/>
          <w:szCs w:val="20"/>
          <w:highlight w:val="none"/>
        </w:rPr>
        <w:t>%。</w:t>
      </w:r>
    </w:p>
    <w:p w14:paraId="440C1479">
      <w:pPr>
        <w:jc w:val="center"/>
        <w:rPr>
          <w:rFonts w:ascii="黑体" w:hAnsi="黑体" w:eastAsia="黑体" w:cs="黑体"/>
        </w:rPr>
      </w:pPr>
      <w:r>
        <w:drawing>
          <wp:inline distT="0" distB="0" distL="114300" distR="114300">
            <wp:extent cx="4751705" cy="8699500"/>
            <wp:effectExtent l="0" t="0" r="10795" b="6350"/>
            <wp:docPr id="2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751705" cy="869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E9EC69">
      <w:pPr>
        <w:jc w:val="left"/>
        <w:rPr>
          <w:rFonts w:ascii="黑体" w:hAnsi="黑体" w:eastAsia="黑体" w:cs="黑体"/>
        </w:rPr>
      </w:pPr>
    </w:p>
    <w:p w14:paraId="4F8DD641">
      <w:pPr>
        <w:jc w:val="left"/>
        <w:rPr>
          <w:rFonts w:ascii="黑体" w:hAnsi="黑体" w:eastAsia="黑体" w:cs="黑体"/>
        </w:rPr>
      </w:pPr>
    </w:p>
    <w:p w14:paraId="2F669C60">
      <w:pPr>
        <w:jc w:val="left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-8255</wp:posOffset>
                </wp:positionH>
                <wp:positionV relativeFrom="paragraph">
                  <wp:posOffset>100965</wp:posOffset>
                </wp:positionV>
                <wp:extent cx="5254625" cy="5099685"/>
                <wp:effectExtent l="0" t="0" r="3175" b="5715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172845" y="1594485"/>
                          <a:ext cx="5254625" cy="50996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93DAEFD">
                            <w:pPr>
                              <w:spacing w:before="156" w:beforeLines="50" w:line="220" w:lineRule="atLeast"/>
                              <w:rPr>
                                <w:rFonts w:ascii="黑体" w:hAnsi="黑体" w:eastAsia="黑体" w:cs="Source Han Sans SC Regular"/>
                                <w:b/>
                                <w:bCs/>
                                <w:color w:val="ED7D31" w:themeColor="accent2"/>
                                <w:sz w:val="22"/>
                                <w:szCs w:val="28"/>
                                <w14:textFill>
                                  <w14:solidFill>
                                    <w14:schemeClr w14:val="accent2"/>
                                  </w14:solidFill>
                                </w14:textFill>
                              </w:rPr>
                            </w:pPr>
                          </w:p>
                          <w:p w14:paraId="63286F39">
                            <w:pPr>
                              <w:snapToGrid w:val="0"/>
                              <w:spacing w:line="440" w:lineRule="exact"/>
                              <w:rPr>
                                <w:rFonts w:ascii="黑体" w:hAnsi="黑体" w:eastAsia="黑体" w:cs="Source Han Sans SC Regular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0.65pt;margin-top:7.95pt;height:401.55pt;width:413.75pt;z-index:251662336;mso-width-relative:page;mso-height-relative:page;" fillcolor="#FFFFFF [3201]" filled="t" stroked="f" coordsize="21600,21600" o:gfxdata="UEsDBAoAAAAAAIdO4kAAAAAAAAAAAAAAAAAEAAAAZHJzL1BLAwQUAAAACACHTuJAWeRVzNUAAAAJ&#10;AQAADwAAAGRycy9kb3ducmV2LnhtbE2PS0/DMBCE70j8B2srcWttB6jaEKcHJK5I9HV2YxNHtdeR&#10;7T5/PcsJbrs7o9lvmtU1eHa2KQ8RFciZAGaxi2bAXsF28zFdAMtFo9E+olVwsxlW7eNDo2sTL/hl&#10;z+vSMwrBXGsFrpSx5jx3zgadZ3G0SNp3TEEXWlPPTdIXCg+eV0LMedAD0genR/vubHdcn4KCfR/u&#10;+50ckzPBv+Dn/bbZxkGpp4kUb8CKvZY/M/ziEzq0xHSIJzSZeQVT+UxOur8ugZG+qOYVsAMNcimA&#10;tw3/36D9AVBLAwQUAAAACACHTuJAJ/ldCFwCAACcBAAADgAAAGRycy9lMm9Eb2MueG1srVTBjtMw&#10;EL0j8Q+W72zaknTbatNV6aoIacWutCDOruM0lmyPsd0mywfAH3Diwp3v6ncwdtrdsnDYAzk4Y8/L&#10;jN+bmVxcdlqRnXBeginp8GxAiTAcKmk2Jf34YfVqQokPzFRMgRElvReeXs5fvrho7UyMoAFVCUcw&#10;iPGz1pa0CcHOsszzRmjmz8AKg84anGYBt26TVY61GF2rbDQYjLMWXGUdcOE9nl71TnqI6J4TEOpa&#10;cnEFfKuFCX1UJxQLSMk30no6T7eta8HDTV17EYgqKTINacUkaK/jms0v2GzjmG0kP1yBPecKTzhp&#10;Jg0mfQh1xQIjWyf/CqUld+ChDmccdNYTSYogi+HgiTZ3DbMicUGpvX0Q3f+/sPz97tYRWZUUy26Y&#10;xoLvv3/b//i1//mVTKI8rfUzRN1ZxIXuDXTYNMdzj4eRdVc7Hd/Ih0T/8Hw0yQtK7tEupnk+KXqh&#10;RRcIR0AxKvLxCAEcEcVgOh33iOwxlHU+vBWgSTRK6rCSSWC2u/YBr4XQIyRm9qBktZJKpY3brJfK&#10;kR3Dqq/SE/PjJ3/AlCFtScevi0GKbCB+3+OUQXhk3jOMVujW3UGONVT3qIaDvp285SuJt7xmPtwy&#10;h/2D3YUTFm5wqRVgEjhYlDTgvvzrPOKxrOilpMV+LKn/vGVOUKLeGSz4dJjnsYHTJi/OR7hxp571&#10;qcds9RKQ/BBn2fJkRnxQR7N2oD/hIC5iVnQxwzF3ScPRXIZ+SnCQuVgsEghb1rJwbe4sj6Gj1AYW&#10;2wC1TCWJMvXaHNTDpk2yHwYsTsXpPqEefyrz3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FnkVczV&#10;AAAACQEAAA8AAAAAAAAAAQAgAAAAIgAAAGRycy9kb3ducmV2LnhtbFBLAQIUABQAAAAIAIdO4kAn&#10;+V0IXAIAAJwEAAAOAAAAAAAAAAEAIAAAACQBAABkcnMvZTJvRG9jLnhtbFBLBQYAAAAABgAGAFkB&#10;AADy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093DAEFD">
                      <w:pPr>
                        <w:spacing w:before="156" w:beforeLines="50" w:line="220" w:lineRule="atLeast"/>
                        <w:rPr>
                          <w:rFonts w:ascii="黑体" w:hAnsi="黑体" w:eastAsia="黑体" w:cs="Source Han Sans SC Regular"/>
                          <w:b/>
                          <w:bCs/>
                          <w:color w:val="ED7D31" w:themeColor="accent2"/>
                          <w:sz w:val="22"/>
                          <w:szCs w:val="28"/>
                          <w14:textFill>
                            <w14:solidFill>
                              <w14:schemeClr w14:val="accent2"/>
                            </w14:solidFill>
                          </w14:textFill>
                        </w:rPr>
                      </w:pPr>
                    </w:p>
                    <w:p w14:paraId="63286F39">
                      <w:pPr>
                        <w:snapToGrid w:val="0"/>
                        <w:spacing w:line="440" w:lineRule="exact"/>
                        <w:rPr>
                          <w:rFonts w:ascii="黑体" w:hAnsi="黑体" w:eastAsia="黑体" w:cs="Source Han Sans SC Regular"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6D7FA68">
      <w:pPr>
        <w:jc w:val="left"/>
        <w:rPr>
          <w:rFonts w:ascii="黑体" w:hAnsi="黑体" w:eastAsia="黑体" w:cs="黑体"/>
        </w:rPr>
      </w:pPr>
    </w:p>
    <w:p w14:paraId="508EE1BA">
      <w:pPr>
        <w:jc w:val="left"/>
        <w:rPr>
          <w:rFonts w:ascii="黑体" w:hAnsi="黑体" w:eastAsia="黑体" w:cs="黑体"/>
        </w:rPr>
      </w:pPr>
    </w:p>
    <w:p w14:paraId="2AC7474C">
      <w:pPr>
        <w:jc w:val="left"/>
        <w:rPr>
          <w:rFonts w:ascii="黑体" w:hAnsi="黑体" w:eastAsia="黑体" w:cs="黑体"/>
        </w:rPr>
      </w:pPr>
    </w:p>
    <w:p w14:paraId="46BFCC74">
      <w:pPr>
        <w:jc w:val="left"/>
        <w:rPr>
          <w:rFonts w:ascii="黑体" w:hAnsi="黑体" w:eastAsia="黑体" w:cs="黑体"/>
        </w:rPr>
      </w:pPr>
    </w:p>
    <w:p w14:paraId="5AD026C4">
      <w:pPr>
        <w:jc w:val="left"/>
        <w:rPr>
          <w:rFonts w:ascii="黑体" w:hAnsi="黑体" w:eastAsia="黑体" w:cs="黑体"/>
        </w:rPr>
      </w:pPr>
    </w:p>
    <w:p w14:paraId="4C069F26">
      <w:pPr>
        <w:jc w:val="left"/>
        <w:rPr>
          <w:rFonts w:ascii="黑体" w:hAnsi="黑体" w:eastAsia="黑体" w:cs="黑体"/>
        </w:rPr>
      </w:pPr>
    </w:p>
    <w:p w14:paraId="324674B4">
      <w:pPr>
        <w:jc w:val="left"/>
        <w:rPr>
          <w:rFonts w:ascii="黑体" w:hAnsi="黑体" w:eastAsia="黑体" w:cs="黑体"/>
        </w:rPr>
      </w:pPr>
    </w:p>
    <w:p w14:paraId="1381AE33">
      <w:pPr>
        <w:jc w:val="left"/>
        <w:rPr>
          <w:rFonts w:ascii="黑体" w:hAnsi="黑体" w:eastAsia="黑体" w:cs="黑体"/>
        </w:rPr>
      </w:pPr>
    </w:p>
    <w:p w14:paraId="135DBDFE">
      <w:pPr>
        <w:jc w:val="left"/>
        <w:rPr>
          <w:rFonts w:ascii="黑体" w:hAnsi="黑体" w:eastAsia="黑体" w:cs="黑体"/>
        </w:rPr>
      </w:pPr>
    </w:p>
    <w:p w14:paraId="1C349DE3">
      <w:pPr>
        <w:jc w:val="left"/>
        <w:rPr>
          <w:rFonts w:ascii="黑体" w:hAnsi="黑体" w:eastAsia="黑体" w:cs="黑体"/>
        </w:rPr>
      </w:pPr>
    </w:p>
    <w:p w14:paraId="5C42CC11">
      <w:pPr>
        <w:jc w:val="left"/>
        <w:rPr>
          <w:rFonts w:ascii="黑体" w:hAnsi="黑体" w:eastAsia="黑体" w:cs="黑体"/>
        </w:rPr>
      </w:pPr>
    </w:p>
    <w:p w14:paraId="6A61543F">
      <w:pPr>
        <w:jc w:val="left"/>
        <w:rPr>
          <w:rFonts w:ascii="黑体" w:hAnsi="黑体" w:eastAsia="黑体" w:cs="黑体"/>
        </w:rPr>
      </w:pPr>
    </w:p>
    <w:p w14:paraId="1E93EFF1">
      <w:pPr>
        <w:jc w:val="left"/>
        <w:rPr>
          <w:rFonts w:ascii="黑体" w:hAnsi="黑体" w:eastAsia="黑体" w:cs="黑体"/>
        </w:rPr>
      </w:pPr>
    </w:p>
    <w:p w14:paraId="366A9256">
      <w:pPr>
        <w:jc w:val="left"/>
        <w:rPr>
          <w:rFonts w:ascii="黑体" w:hAnsi="黑体" w:eastAsia="黑体" w:cs="黑体"/>
        </w:rPr>
      </w:pPr>
    </w:p>
    <w:p w14:paraId="5F7B001F">
      <w:pPr>
        <w:jc w:val="left"/>
        <w:rPr>
          <w:rFonts w:ascii="黑体" w:hAnsi="黑体" w:eastAsia="黑体" w:cs="黑体"/>
        </w:rPr>
      </w:pPr>
    </w:p>
    <w:p w14:paraId="1DA3063C">
      <w:pPr>
        <w:jc w:val="left"/>
        <w:rPr>
          <w:rFonts w:ascii="黑体" w:hAnsi="黑体" w:eastAsia="黑体" w:cs="黑体"/>
        </w:rPr>
      </w:pPr>
    </w:p>
    <w:p w14:paraId="1F86CCA0">
      <w:pPr>
        <w:jc w:val="left"/>
        <w:rPr>
          <w:rFonts w:ascii="黑体" w:hAnsi="黑体" w:eastAsia="黑体" w:cs="黑体"/>
        </w:rPr>
      </w:pPr>
    </w:p>
    <w:p w14:paraId="0C794CE3">
      <w:pPr>
        <w:jc w:val="left"/>
        <w:rPr>
          <w:rFonts w:ascii="黑体" w:hAnsi="黑体" w:eastAsia="黑体" w:cs="黑体"/>
        </w:rPr>
      </w:pPr>
    </w:p>
    <w:p w14:paraId="360D8C95">
      <w:pPr>
        <w:jc w:val="left"/>
        <w:rPr>
          <w:rFonts w:ascii="黑体" w:hAnsi="黑体" w:eastAsia="黑体" w:cs="黑体"/>
        </w:rPr>
      </w:pPr>
    </w:p>
    <w:p w14:paraId="0528BAC8">
      <w:pPr>
        <w:jc w:val="left"/>
        <w:rPr>
          <w:rFonts w:ascii="黑体" w:hAnsi="黑体" w:eastAsia="黑体" w:cs="黑体"/>
        </w:rPr>
      </w:pPr>
    </w:p>
    <w:p w14:paraId="5A6A64CE">
      <w:pPr>
        <w:jc w:val="left"/>
        <w:rPr>
          <w:rFonts w:ascii="黑体" w:hAnsi="黑体" w:eastAsia="黑体" w:cs="黑体"/>
        </w:rPr>
      </w:pPr>
    </w:p>
    <w:p w14:paraId="2FA82884">
      <w:pPr>
        <w:jc w:val="left"/>
        <w:rPr>
          <w:rFonts w:ascii="黑体" w:hAnsi="黑体" w:eastAsia="黑体" w:cs="黑体"/>
        </w:rPr>
      </w:pPr>
    </w:p>
    <w:p w14:paraId="68CE0953">
      <w:pPr>
        <w:jc w:val="left"/>
        <w:rPr>
          <w:rFonts w:ascii="黑体" w:hAnsi="黑体" w:eastAsia="黑体" w:cs="黑体"/>
        </w:rPr>
      </w:pPr>
    </w:p>
    <w:p w14:paraId="5CC33ABB">
      <w:pPr>
        <w:jc w:val="left"/>
        <w:rPr>
          <w:rFonts w:ascii="黑体" w:hAnsi="黑体" w:eastAsia="黑体" w:cs="黑体"/>
        </w:rPr>
      </w:pPr>
    </w:p>
    <w:p w14:paraId="47EDFBBD">
      <w:pPr>
        <w:jc w:val="left"/>
        <w:rPr>
          <w:rFonts w:ascii="黑体" w:hAnsi="黑体" w:eastAsia="黑体" w:cs="黑体"/>
        </w:rPr>
      </w:pPr>
    </w:p>
    <w:p w14:paraId="6B2F55C3">
      <w:pPr>
        <w:jc w:val="left"/>
        <w:rPr>
          <w:rFonts w:ascii="黑体" w:hAnsi="黑体" w:eastAsia="黑体" w:cs="黑体"/>
        </w:rPr>
      </w:pPr>
    </w:p>
    <w:p w14:paraId="14E0B7AA">
      <w:pPr>
        <w:jc w:val="left"/>
        <w:rPr>
          <w:rFonts w:ascii="黑体" w:hAnsi="黑体" w:eastAsia="黑体" w:cs="黑体"/>
        </w:rPr>
      </w:pPr>
    </w:p>
    <w:p w14:paraId="4BC50BA6">
      <w:pPr>
        <w:jc w:val="left"/>
        <w:rPr>
          <w:rFonts w:ascii="黑体" w:hAnsi="黑体" w:eastAsia="黑体" w:cs="黑体"/>
        </w:rPr>
      </w:pPr>
    </w:p>
    <w:p w14:paraId="51045BB2">
      <w:pPr>
        <w:jc w:val="left"/>
        <w:rPr>
          <w:rFonts w:ascii="黑体" w:hAnsi="黑体" w:eastAsia="黑体" w:cs="黑体"/>
        </w:rPr>
      </w:pPr>
    </w:p>
    <w:p w14:paraId="476FF404">
      <w:pPr>
        <w:jc w:val="left"/>
        <w:rPr>
          <w:rFonts w:ascii="黑体" w:hAnsi="黑体" w:eastAsia="黑体" w:cs="黑体"/>
        </w:rPr>
      </w:pPr>
    </w:p>
    <w:p w14:paraId="73A99010">
      <w:pPr>
        <w:jc w:val="left"/>
        <w:rPr>
          <w:rFonts w:ascii="黑体" w:hAnsi="黑体" w:eastAsia="黑体" w:cs="黑体"/>
        </w:rPr>
      </w:pPr>
    </w:p>
    <w:p w14:paraId="7E5025E8">
      <w:pPr>
        <w:jc w:val="left"/>
        <w:rPr>
          <w:rFonts w:ascii="黑体" w:hAnsi="黑体" w:eastAsia="黑体" w:cs="黑体"/>
        </w:rPr>
      </w:pPr>
    </w:p>
    <w:p w14:paraId="22A25316">
      <w:pPr>
        <w:jc w:val="left"/>
        <w:rPr>
          <w:rFonts w:ascii="黑体" w:hAnsi="黑体" w:eastAsia="黑体" w:cs="黑体"/>
        </w:rPr>
      </w:pPr>
    </w:p>
    <w:p w14:paraId="610D86E2">
      <w:pPr>
        <w:jc w:val="left"/>
        <w:rPr>
          <w:rFonts w:ascii="黑体" w:hAnsi="黑体" w:eastAsia="黑体" w:cs="黑体"/>
        </w:rPr>
      </w:pPr>
    </w:p>
    <w:p w14:paraId="7C31CCD6">
      <w:pPr>
        <w:jc w:val="left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-1287145</wp:posOffset>
                </wp:positionH>
                <wp:positionV relativeFrom="paragraph">
                  <wp:posOffset>6211570</wp:posOffset>
                </wp:positionV>
                <wp:extent cx="8028940" cy="3869690"/>
                <wp:effectExtent l="0" t="0" r="22860" b="1651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28940" cy="38696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81EE9E8">
                            <w:pPr>
                              <w:rPr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01.35pt;margin-top:489.1pt;height:304.7pt;width:632.2pt;z-index:251666432;mso-width-relative:page;mso-height-relative:page;" fillcolor="#FFFFFF [3201]" filled="t" stroked="f" coordsize="21600,21600" o:gfxdata="UEsDBAoAAAAAAIdO4kAAAAAAAAAAAAAAAAAEAAAAZHJzL1BLAwQUAAAACACHTuJAxDuxO9gAAAAO&#10;AQAADwAAAGRycy9kb3ducmV2LnhtbE2Py07DMBBF90j8gzVI7Fo7ESQhxOkCiS0SbenajYc4wh5H&#10;tvv8etwV7OZxdOdMtzo7y44Y4uRJQrEUwJAGrycaJWw374sGWEyKtLKeUMIFI6z6+7tOtdqf6BOP&#10;6zSyHEKxVRJMSnPLeRwMOhWXfkbKu28fnEq5DSPXQZ1yuLO8FKLiTk2ULxg145vB4Wd9cBJ2o7vu&#10;voo5GO3sE31cL5utn6R8fCjEK7CE5/QHw00/q0Ofnfb+QDoyK2FRirLOrISXuimB3RBRFXm0z9Vz&#10;U1fA+47/f6P/BVBLAwQUAAAACACHTuJAZ1IMFFICAACSBAAADgAAAGRycy9lMm9Eb2MueG1srVTN&#10;bhMxEL4j8Q6W73STtA1J1E0VWgUhVbRSQZwdrze7ktdjbCe75QHgDThx4c5z5Tn47E3aUjj0QA7O&#10;eObz/Hwzs2fnXaPZVjlfk8n58GjAmTKSitqsc/7xw/LVhDMfhCmEJqNyfqc8P5+/fHHW2pkaUUW6&#10;UI7BifGz1ua8CsHOsszLSjXCH5FVBsaSXCMCrm6dFU608N7obDQYjLOWXGEdSeU9tJe9ke89uuc4&#10;pLKspbokuWmUCb1Xp7QIKMlXtfV8nrItSyXDdVl6FZjOOSoN6UQQyKt4ZvMzMVs7Yata7lMQz0nh&#10;SU2NqA2C3ru6FEGwjav/ctXU0pGnMhxJarK+kMQIqhgOnnBzWwmrUi2g2tt70v3/cyvfb28cqwtM&#10;AigxokHHd9+/7X782v38yqADQa31M+BuLZChe0MdwAe9hzLW3ZWuif+oiMEOX3f39KouMAnlZDCa&#10;TE9gkrAdT8bT8TT5zx6eW+fDW0UNi0LOHfqXaBXbKx+QCqAHSIzmSdfFstY6Xdx6daEd2wr0epl+&#10;MUs8+QOmDWtzPj4+HSTPhuL7HqcN4LHavqoohW7V7SlYUXEHBhz1Q+StXNbI8kr4cCMcpgaVYa/C&#10;NY5SE4LQXuKsIvflX/qIRzNh5azFFObcf94IpzjT7wzaPB2eRMJCupycvh7h4h5bVo8tZtNcEIof&#10;YoOtTGLEB30QS0fNJ6zfIkaFSRiJ2DkPB/Ei9LuB9ZVqsUggDKoV4crcWhldR6oNLTaByjq1JNLU&#10;c7NnD6OaaN+vVdyFx/eEeviUzH8D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xDuxO9gAAAAOAQAA&#10;DwAAAAAAAAABACAAAAAiAAAAZHJzL2Rvd25yZXYueG1sUEsBAhQAFAAAAAgAh07iQGdSDBRSAgAA&#10;kgQAAA4AAAAAAAAAAQAgAAAAJwEAAGRycy9lMm9Eb2MueG1sUEsFBgAAAAAGAAYAWQEAAOsFAAAA&#10;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081EE9E8">
                      <w:pPr>
                        <w:rPr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DejaVu Sans">
    <w:altName w:val="Times New Roman"/>
    <w:panose1 w:val="00000000000000000000"/>
    <w:charset w:val="00"/>
    <w:family w:val="roman"/>
    <w:pitch w:val="default"/>
    <w:sig w:usb0="00000000" w:usb1="00000000" w:usb2="00000008" w:usb3="00000000" w:csb0="000001FF" w:csb1="00000000"/>
  </w:font>
  <w:font w:name="Source Han Sans SC Bold">
    <w:altName w:val="微软雅黑"/>
    <w:panose1 w:val="00000000000000000000"/>
    <w:charset w:val="86"/>
    <w:family w:val="auto"/>
    <w:pitch w:val="default"/>
    <w:sig w:usb0="00000000" w:usb1="00000000" w:usb2="00000016" w:usb3="00000000" w:csb0="602E0107" w:csb1="00000000"/>
  </w:font>
  <w:font w:name="Source Han Sans SC Regular">
    <w:altName w:val="微软雅黑"/>
    <w:panose1 w:val="00000000000000000000"/>
    <w:charset w:val="86"/>
    <w:family w:val="auto"/>
    <w:pitch w:val="default"/>
    <w:sig w:usb0="00000000" w:usb1="00000000" w:usb2="00000016" w:usb3="00000000" w:csb0="602E0107" w:csb1="00000000"/>
  </w:font>
  <w:font w:name="Source Han Sans SC">
    <w:altName w:val="微软雅黑"/>
    <w:panose1 w:val="00000000000000000000"/>
    <w:charset w:val="86"/>
    <w:family w:val="auto"/>
    <w:pitch w:val="default"/>
    <w:sig w:usb0="00000000" w:usb1="00000000" w:usb2="00000016" w:usb3="00000000" w:csb0="602E0107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64C153">
    <w:pPr>
      <w:widowControl/>
      <w:tabs>
        <w:tab w:val="left" w:pos="5255"/>
      </w:tabs>
      <w:ind w:firstLine="160" w:firstLineChars="100"/>
      <w:jc w:val="left"/>
      <w:rPr>
        <w:sz w:val="18"/>
      </w:rPr>
    </w:pPr>
    <w:r>
      <w:rPr>
        <w:sz w:val="16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-65405</wp:posOffset>
              </wp:positionV>
              <wp:extent cx="5275580" cy="0"/>
              <wp:effectExtent l="0" t="0" r="0" b="0"/>
              <wp:wrapNone/>
              <wp:docPr id="27" name="直接连接符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1143000" y="9780270"/>
                        <a:ext cx="5275580" cy="0"/>
                      </a:xfrm>
                      <a:prstGeom prst="line">
                        <a:avLst/>
                      </a:prstGeom>
                      <a:ln>
                        <a:solidFill>
                          <a:schemeClr val="accent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-5.15pt;height:0pt;width:415.4pt;z-index:251661312;mso-width-relative:page;mso-height-relative:page;" filled="f" stroked="t" coordsize="21600,21600" o:gfxdata="UEsDBAoAAAAAAIdO4kAAAAAAAAAAAAAAAAAEAAAAZHJzL1BLAwQUAAAACACHTuJAKO5wHtQAAAAI&#10;AQAADwAAAGRycy9kb3ducmV2LnhtbE2PwUoDMRCG74LvEEbw1iZrqSzrZgstSEFP1oLXdDPdLE0m&#10;yyZtV5/eEQQ9zvzDP99Xr6bgxQXH1EfSUMwVCKQ22p46Dfv351kJImVD1vhIqOETE6ya25vaVDZe&#10;6Q0vu9wJLqFUGQ0u56GSMrUOg0nzOCBxdoxjMJnHsZN2NFcuD14+KPUog+mJPzgz4MZhe9qdg4Yv&#10;/6G2xXK9Ue22zNPr0pF5WWt9f1eoJxAZp/x3DD/4jA4NMx3imWwSXgOLZA2zQi1AcFwuFJscfjey&#10;qeV/geYbUEsDBBQAAAAIAIdO4kDQ9K3o+AEAAL8DAAAOAAAAZHJzL2Uyb0RvYy54bWytU01y0zAY&#10;3TPDHTTaEzsOaYInThc1ZcNAZqAHUGTZ1oz+Rp8aJ5fgAsywgxVL9r0N5Rj9JJsWyqYLNrKk7+l9&#10;ek/Pm/OjVuQgPEhrKjqf5ZQIw20jTVfRq4+XL9aUQGCmYcoaUdGTAHq+ff5sM7hSFLa3qhGeIImB&#10;cnAV7UNwZZYB74VmMLNOGCy21msWcOm7rPFsQHatsiLPz7LB+sZ5ywUA7tZjkU6M/imEtm0lF7Xl&#10;11qYMLJ6oVhASdBLB3Sbbtu2gof3bQsiEFVRVBrSiE1wvo9jtt2wsvPM9ZJPV2BPucIjTZpJg03v&#10;qWoWGLn28h8qLbm3YNsw41Zno5DkCKqY54+8+dAzJ5IWtBrcvenw/2j5u8POE9lUtFhRYpjGF7/9&#10;/OPnp6+/br7gePv9G8EK2jQ4KBF9YXZ+WoHb+aj52Hodv6iGHDFS85eLPEeDTxV9tVrnxWqyWRwD&#10;4QhYFqvlco0AjohUyx5InIfwRlhN4qSiSproACvZ4S0EbIzQ35C4beylVCq9ojJkqOjZYhmZGSaz&#10;xUTgVDtUB6ajhKkOI8+DT4xglWzi6cgDvttfKE8ODIPyul7Vi3kUjd3+gsXWNYN+xKXSGCEtA/4V&#10;SuqKrlE8yh9PK4Mk0brRrDjb2+aUPEz7+K6pzZTBGJw/1+n0w3+3vQN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Ao7nAe1AAAAAgBAAAPAAAAAAAAAAEAIAAAACIAAABkcnMvZG93bnJldi54bWxQSwEC&#10;FAAUAAAACACHTuJA0PSt6PgBAAC/AwAADgAAAAAAAAABACAAAAAjAQAAZHJzL2Uyb0RvYy54bWxQ&#10;SwUGAAAAAAYABgBZAQAAjQUAAAAA&#10;">
              <v:fill on="f" focussize="0,0"/>
              <v:stroke weight="0.5pt" color="#ED7D31 [3205]" miterlimit="8" joinstyle="miter"/>
              <v:imagedata o:title=""/>
              <o:lock v:ext="edit" aspectratio="f"/>
            </v:line>
          </w:pict>
        </mc:Fallback>
      </mc:AlternateContent>
    </w:r>
    <w:r>
      <w:rPr>
        <w:sz w:val="16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2812415</wp:posOffset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DB896AE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 w:ascii="Source Han Sans SC Regular" w:hAnsi="Source Han Sans SC Regular" w:eastAsia="Source Han Sans SC Regular" w:cs="Source Han Sans SC Regular"/>
                              <w:color w:val="ED7D31" w:themeColor="accent2"/>
                              <w:sz w:val="19"/>
                              <w:szCs w:val="19"/>
                              <w14:textFill>
                                <w14:solidFill>
                                  <w14:schemeClr w14:val="accent2"/>
                                </w14:solidFill>
                              </w14:textFill>
                            </w:rPr>
                            <w:t>-</w:t>
                          </w:r>
                          <w:r>
                            <w:rPr>
                              <w:rFonts w:hint="eastAsia" w:ascii="Source Han Sans SC Regular" w:hAnsi="Source Han Sans SC Regular" w:eastAsia="Source Han Sans SC Regular" w:cs="Source Han Sans SC Regular"/>
                              <w:color w:val="ED7D31" w:themeColor="accent2"/>
                              <w:sz w:val="19"/>
                              <w:szCs w:val="19"/>
                              <w14:textFill>
                                <w14:solidFill>
                                  <w14:schemeClr w14:val="accent2"/>
                                </w14:solidFill>
                              </w14:textFill>
                            </w:rPr>
                            <w:fldChar w:fldCharType="begin"/>
                          </w:r>
                          <w:r>
                            <w:rPr>
                              <w:rFonts w:hint="eastAsia" w:ascii="Source Han Sans SC Regular" w:hAnsi="Source Han Sans SC Regular" w:eastAsia="Source Han Sans SC Regular" w:cs="Source Han Sans SC Regular"/>
                              <w:color w:val="ED7D31" w:themeColor="accent2"/>
                              <w:sz w:val="19"/>
                              <w:szCs w:val="19"/>
                              <w14:textFill>
                                <w14:solidFill>
                                  <w14:schemeClr w14:val="accent2"/>
                                </w14:solidFill>
                              </w14:textFill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Source Han Sans SC Regular" w:hAnsi="Source Han Sans SC Regular" w:eastAsia="Source Han Sans SC Regular" w:cs="Source Han Sans SC Regular"/>
                              <w:color w:val="ED7D31" w:themeColor="accent2"/>
                              <w:sz w:val="19"/>
                              <w:szCs w:val="19"/>
                              <w14:textFill>
                                <w14:solidFill>
                                  <w14:schemeClr w14:val="accent2"/>
                                </w14:solidFill>
                              </w14:textFill>
                            </w:rPr>
                            <w:fldChar w:fldCharType="separate"/>
                          </w:r>
                          <w:r>
                            <w:rPr>
                              <w:rFonts w:ascii="Source Han Sans SC Regular" w:hAnsi="Source Han Sans SC Regular" w:eastAsia="Source Han Sans SC Regular" w:cs="Source Han Sans SC Regular"/>
                              <w:color w:val="ED7D31" w:themeColor="accent2"/>
                              <w:sz w:val="19"/>
                              <w:szCs w:val="19"/>
                              <w14:textFill>
                                <w14:solidFill>
                                  <w14:schemeClr w14:val="accent2"/>
                                </w14:solidFill>
                              </w14:textFill>
                            </w:rPr>
                            <w:t>1</w:t>
                          </w:r>
                          <w:r>
                            <w:rPr>
                              <w:rFonts w:hint="eastAsia" w:ascii="Source Han Sans SC Regular" w:hAnsi="Source Han Sans SC Regular" w:eastAsia="Source Han Sans SC Regular" w:cs="Source Han Sans SC Regular"/>
                              <w:color w:val="ED7D31" w:themeColor="accent2"/>
                              <w:sz w:val="19"/>
                              <w:szCs w:val="19"/>
                              <w14:textFill>
                                <w14:solidFill>
                                  <w14:schemeClr w14:val="accent2"/>
                                </w14:solidFill>
                              </w14:textFill>
                            </w:rPr>
                            <w:fldChar w:fldCharType="end"/>
                          </w:r>
                          <w:r>
                            <w:rPr>
                              <w:rFonts w:hint="eastAsia" w:ascii="Source Han Sans SC Regular" w:hAnsi="Source Han Sans SC Regular" w:eastAsia="Source Han Sans SC Regular" w:cs="Source Han Sans SC Regular"/>
                              <w:color w:val="ED7D31" w:themeColor="accent2"/>
                              <w:sz w:val="19"/>
                              <w:szCs w:val="19"/>
                              <w14:textFill>
                                <w14:solidFill>
                                  <w14:schemeClr w14:val="accent2"/>
                                </w14:solidFill>
                              </w14:textFill>
                            </w:rPr>
                            <w:t>-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21.45pt;margin-top:0pt;height:144pt;width:144pt;mso-position-horizontal-relative:margin;mso-wrap-style:none;z-index:251659264;mso-width-relative:page;mso-height-relative:page;" filled="f" stroked="f" coordsize="21600,21600" o:gfxdata="UEsDBAoAAAAAAIdO4kAAAAAAAAAAAAAAAAAEAAAAZHJzL1BLAwQUAAAACACHTuJA/JVsitUAAAAI&#10;AQAADwAAAGRycy9kb3ducmV2LnhtbE2PzU7DMBCE70i8g7VI3KjdNII0xKlERTgi0XDg6MbbJOCf&#10;yHbT8PYsJziOZjTzTbVbrGEzhjh6J2G9EsDQdV6Prpfw3jZ3BbCYlNPKeIcSvjHCrr6+qlSp/cW9&#10;4XxIPaMSF0slYUhpKjmP3YBWxZWf0JF38sGqRDL0XAd1oXJreCbEPbdqdLQwqAn3A3Zfh7OVsG/a&#10;NswYg/nAl2bz+fqU4/Mi5e3NWjwCS7ikvzD84hM61MR09GenIzMS8jzbUlQCPSL7YSNIHiVkRSGA&#10;1xX/f6D+AVBLAwQUAAAACACHTuJAJtVacyoCAABVBAAADgAAAGRycy9lMm9Eb2MueG1srVTNjtMw&#10;EL4j8Q6W7zRtEVVVNV2VrYqQKnalBXF2HaeJ5D/ZbpPyAPAGnLhw57n6HHx2ki5aOOyBizP2jL/x&#10;981MljetkuQknK+NzulkNKZEaG6KWh9y+unj9tWcEh+YLpg0WuT0LDy9Wb18sWzsQkxNZWQhHAGI&#10;9ovG5rQKwS6yzPNKKOZHxgoNZ2mcYgFbd8gKxxqgK5lNx+NZ1hhXWGe48B6nm85Je0T3HEBTljUX&#10;G8OPSujQoTohWQAlX9XW01V6bVkKHu7K0otAZE7BNKQVSWDv45qtlmxxcMxWNe+fwJ7zhCecFKs1&#10;kl6hNiwwcnT1X1Cq5s54U4YRNyrriCRFwGIyfqLNQ8WsSFwgtbdX0f3/g+UfTveO1EVOZ5RoplDw&#10;y/dvlx+/Lj+/klmUp7F+gagHi7jQvjUtmmY49ziMrNvSqfgFHwI/xD1fxRVtIDxemk/n8zFcHL5h&#10;A/zs8bp1PrwTRpFo5NSheklUdtr50IUOITGbNttaylRBqUkDCq/fjNOFqwfgUiNHJNE9Nlqh3bc9&#10;s70pziDmTNcZ3vJtjeQ75sM9c2gFPBjDEu6wlNIgiektSirjvvzrPMajQvBS0qC1cqoxSZTI9xqV&#10;A2AYDDcY+8HQR3Vr0KsTDKHlycQFF+Rgls6oz5igdcwBF9McmXIaBvM2dO2NCeRivU5B6DXLwk4/&#10;WB6ho3jero8BAiZdoyidEr1W6LZUmX4yYjv/uU9Rj3+D1W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D8lWyK1QAAAAgBAAAPAAAAAAAAAAEAIAAAACIAAABkcnMvZG93bnJldi54bWxQSwECFAAUAAAA&#10;CACHTuJAJtVacyoCAABVBAAADgAAAAAAAAABACAAAAAkAQAAZHJzL2Uyb0RvYy54bWxQSwUGAAAA&#10;AAYABgBZAQAAw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DB896AE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 w:ascii="Source Han Sans SC Regular" w:hAnsi="Source Han Sans SC Regular" w:eastAsia="Source Han Sans SC Regular" w:cs="Source Han Sans SC Regular"/>
                        <w:color w:val="ED7D31" w:themeColor="accent2"/>
                        <w:sz w:val="19"/>
                        <w:szCs w:val="19"/>
                        <w14:textFill>
                          <w14:solidFill>
                            <w14:schemeClr w14:val="accent2"/>
                          </w14:solidFill>
                        </w14:textFill>
                      </w:rPr>
                      <w:t>-</w:t>
                    </w:r>
                    <w:r>
                      <w:rPr>
                        <w:rFonts w:hint="eastAsia" w:ascii="Source Han Sans SC Regular" w:hAnsi="Source Han Sans SC Regular" w:eastAsia="Source Han Sans SC Regular" w:cs="Source Han Sans SC Regular"/>
                        <w:color w:val="ED7D31" w:themeColor="accent2"/>
                        <w:sz w:val="19"/>
                        <w:szCs w:val="19"/>
                        <w14:textFill>
                          <w14:solidFill>
                            <w14:schemeClr w14:val="accent2"/>
                          </w14:solidFill>
                        </w14:textFill>
                      </w:rPr>
                      <w:fldChar w:fldCharType="begin"/>
                    </w:r>
                    <w:r>
                      <w:rPr>
                        <w:rFonts w:hint="eastAsia" w:ascii="Source Han Sans SC Regular" w:hAnsi="Source Han Sans SC Regular" w:eastAsia="Source Han Sans SC Regular" w:cs="Source Han Sans SC Regular"/>
                        <w:color w:val="ED7D31" w:themeColor="accent2"/>
                        <w:sz w:val="19"/>
                        <w:szCs w:val="19"/>
                        <w14:textFill>
                          <w14:solidFill>
                            <w14:schemeClr w14:val="accent2"/>
                          </w14:solidFill>
                        </w14:textFill>
                      </w:rPr>
                      <w:instrText xml:space="preserve"> PAGE  \* MERGEFORMAT </w:instrText>
                    </w:r>
                    <w:r>
                      <w:rPr>
                        <w:rFonts w:hint="eastAsia" w:ascii="Source Han Sans SC Regular" w:hAnsi="Source Han Sans SC Regular" w:eastAsia="Source Han Sans SC Regular" w:cs="Source Han Sans SC Regular"/>
                        <w:color w:val="ED7D31" w:themeColor="accent2"/>
                        <w:sz w:val="19"/>
                        <w:szCs w:val="19"/>
                        <w14:textFill>
                          <w14:solidFill>
                            <w14:schemeClr w14:val="accent2"/>
                          </w14:solidFill>
                        </w14:textFill>
                      </w:rPr>
                      <w:fldChar w:fldCharType="separate"/>
                    </w:r>
                    <w:r>
                      <w:rPr>
                        <w:rFonts w:ascii="Source Han Sans SC Regular" w:hAnsi="Source Han Sans SC Regular" w:eastAsia="Source Han Sans SC Regular" w:cs="Source Han Sans SC Regular"/>
                        <w:color w:val="ED7D31" w:themeColor="accent2"/>
                        <w:sz w:val="19"/>
                        <w:szCs w:val="19"/>
                        <w14:textFill>
                          <w14:solidFill>
                            <w14:schemeClr w14:val="accent2"/>
                          </w14:solidFill>
                        </w14:textFill>
                      </w:rPr>
                      <w:t>1</w:t>
                    </w:r>
                    <w:r>
                      <w:rPr>
                        <w:rFonts w:hint="eastAsia" w:ascii="Source Han Sans SC Regular" w:hAnsi="Source Han Sans SC Regular" w:eastAsia="Source Han Sans SC Regular" w:cs="Source Han Sans SC Regular"/>
                        <w:color w:val="ED7D31" w:themeColor="accent2"/>
                        <w:sz w:val="19"/>
                        <w:szCs w:val="19"/>
                        <w14:textFill>
                          <w14:solidFill>
                            <w14:schemeClr w14:val="accent2"/>
                          </w14:solidFill>
                        </w14:textFill>
                      </w:rPr>
                      <w:fldChar w:fldCharType="end"/>
                    </w:r>
                    <w:r>
                      <w:rPr>
                        <w:rFonts w:hint="eastAsia" w:ascii="Source Han Sans SC Regular" w:hAnsi="Source Han Sans SC Regular" w:eastAsia="Source Han Sans SC Regular" w:cs="Source Han Sans SC Regular"/>
                        <w:color w:val="ED7D31" w:themeColor="accent2"/>
                        <w:sz w:val="19"/>
                        <w:szCs w:val="19"/>
                        <w14:textFill>
                          <w14:solidFill>
                            <w14:schemeClr w14:val="accent2"/>
                          </w14:solidFill>
                        </w14:textFill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ascii="Source Han Sans SC" w:hAnsi="Source Han Sans SC" w:eastAsia="Source Han Sans SC" w:cs="Source Han Sans SC"/>
        <w:bCs/>
        <w:color w:val="ED7D31"/>
        <w:kern w:val="0"/>
        <w:sz w:val="18"/>
        <w:szCs w:val="21"/>
        <w:lang w:bidi="ar"/>
      </w:rPr>
      <w:t>地址：</w:t>
    </w:r>
    <w:r>
      <w:rPr>
        <w:rFonts w:hint="eastAsia" w:ascii="Source Han Sans SC" w:hAnsi="Source Han Sans SC" w:eastAsia="Source Han Sans SC" w:cs="Source Han Sans SC"/>
        <w:bCs/>
        <w:color w:val="ED7D31"/>
        <w:kern w:val="0"/>
        <w:sz w:val="18"/>
        <w:szCs w:val="21"/>
        <w:lang w:eastAsia="zh-Hans" w:bidi="ar"/>
      </w:rPr>
      <w:t>北京市朝阳区德元九和大厦</w:t>
    </w:r>
    <w:r>
      <w:rPr>
        <w:rFonts w:ascii="Source Han Sans SC" w:hAnsi="Source Han Sans SC" w:eastAsia="Source Han Sans SC" w:cs="Source Han Sans SC"/>
        <w:bCs/>
        <w:color w:val="ED7D31"/>
        <w:kern w:val="0"/>
        <w:sz w:val="18"/>
        <w:szCs w:val="21"/>
        <w:lang w:eastAsia="zh-Hans" w:bidi="ar"/>
      </w:rPr>
      <w:t>501</w:t>
    </w:r>
    <w:r>
      <w:rPr>
        <w:rFonts w:ascii="Source Han Sans SC" w:hAnsi="Source Han Sans SC" w:eastAsia="Source Han Sans SC" w:cs="Source Han Sans SC"/>
        <w:bCs/>
        <w:color w:val="ED7D31"/>
        <w:kern w:val="0"/>
        <w:sz w:val="18"/>
        <w:szCs w:val="21"/>
        <w:lang w:eastAsia="zh-Hans" w:bidi="ar"/>
      </w:rPr>
      <w:tab/>
    </w:r>
    <w:r>
      <w:rPr>
        <w:rFonts w:ascii="Source Han Sans SC" w:hAnsi="Source Han Sans SC" w:eastAsia="Source Han Sans SC" w:cs="Source Han Sans SC"/>
        <w:bCs/>
        <w:color w:val="ED7D31"/>
        <w:kern w:val="0"/>
        <w:sz w:val="18"/>
        <w:szCs w:val="21"/>
        <w:lang w:eastAsia="zh-Hans" w:bidi="ar"/>
      </w:rPr>
      <w:t xml:space="preserve"> </w:t>
    </w:r>
    <w:r>
      <w:rPr>
        <w:rFonts w:hint="eastAsia" w:ascii="Source Han Sans SC" w:hAnsi="Source Han Sans SC" w:eastAsia="Source Han Sans SC" w:cs="Source Han Sans SC"/>
        <w:bCs/>
        <w:color w:val="ED7D31"/>
        <w:kern w:val="0"/>
        <w:sz w:val="18"/>
        <w:szCs w:val="21"/>
        <w:lang w:eastAsia="zh-Hans" w:bidi="ar"/>
      </w:rPr>
      <w:t>商务合作</w:t>
    </w:r>
    <w:r>
      <w:rPr>
        <w:rFonts w:ascii="Source Han Sans SC" w:hAnsi="Source Han Sans SC" w:eastAsia="Source Han Sans SC" w:cs="Source Han Sans SC"/>
        <w:bCs/>
        <w:color w:val="ED7D31"/>
        <w:kern w:val="0"/>
        <w:sz w:val="18"/>
        <w:szCs w:val="21"/>
        <w:lang w:eastAsia="zh-Hans" w:bidi="ar"/>
      </w:rPr>
      <w:t>：</w:t>
    </w:r>
    <w:r>
      <w:rPr>
        <w:rFonts w:hint="eastAsia" w:ascii="Source Han Sans SC" w:hAnsi="Source Han Sans SC" w:eastAsia="Source Han Sans SC" w:cs="Source Han Sans SC"/>
        <w:bCs/>
        <w:color w:val="ED7D31"/>
        <w:kern w:val="0"/>
        <w:sz w:val="18"/>
        <w:szCs w:val="21"/>
        <w:lang w:eastAsia="zh-Hans" w:bidi="ar"/>
      </w:rPr>
      <w:t>s</w:t>
    </w:r>
    <w:r>
      <w:rPr>
        <w:rFonts w:hint="eastAsia" w:ascii="Source Han Sans SC" w:hAnsi="Source Han Sans SC" w:eastAsia="Source Han Sans SC" w:cs="Source Han Sans SC"/>
        <w:bCs/>
        <w:color w:val="ED7D31"/>
        <w:kern w:val="0"/>
        <w:sz w:val="18"/>
        <w:szCs w:val="21"/>
        <w:lang w:bidi="ar"/>
      </w:rPr>
      <w:t>hangwu@zhuge.com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B808A1">
    <w:pPr>
      <w:pStyle w:val="6"/>
      <w:spacing w:line="120" w:lineRule="atLeast"/>
      <w:rPr>
        <w:rFonts w:ascii="Source Han Sans SC Regular" w:hAnsi="Source Han Sans SC Regular" w:eastAsia="Source Han Sans SC Regular" w:cs="Source Han Sans SC Regular"/>
        <w:color w:val="ED7D31" w:themeColor="accent2"/>
        <w:sz w:val="20"/>
        <w:szCs w:val="28"/>
        <w14:textFill>
          <w14:solidFill>
            <w14:schemeClr w14:val="accent2"/>
          </w14:solidFill>
        </w14:textFill>
      </w:rPr>
    </w:pPr>
    <w:r>
      <w:rPr>
        <w:sz w:val="20"/>
      </w:rPr>
      <mc:AlternateContent>
        <mc:Choice Requires="wps">
          <w:drawing>
            <wp:anchor distT="0" distB="0" distL="0" distR="0" simplePos="0" relativeHeight="251667456" behindDoc="0" locked="0" layoutInCell="1" allowOverlap="1">
              <wp:simplePos x="0" y="0"/>
              <wp:positionH relativeFrom="column">
                <wp:posOffset>-264795</wp:posOffset>
              </wp:positionH>
              <wp:positionV relativeFrom="paragraph">
                <wp:posOffset>24765</wp:posOffset>
              </wp:positionV>
              <wp:extent cx="1779905" cy="307975"/>
              <wp:effectExtent l="0" t="0" r="0" b="0"/>
              <wp:wrapNone/>
              <wp:docPr id="32" name="文本框 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779905" cy="30797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030A61F8">
                          <w:r>
                            <w:rPr>
                              <w:rFonts w:hint="eastAsia" w:asciiTheme="minorEastAsia" w:hAnsiTheme="minorEastAsia" w:cstheme="minorEastAsia"/>
                              <w:b/>
                              <w:bCs/>
                              <w:color w:val="ED7D31"/>
                              <w:sz w:val="24"/>
                              <w:lang w:val="en-US" w:eastAsia="zh-CN"/>
                            </w:rPr>
                            <w:t>市场情绪指数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b/>
                              <w:bCs/>
                              <w:color w:val="ED7D31"/>
                              <w:sz w:val="24"/>
                            </w:rPr>
                            <w:t>月报</w:t>
                          </w:r>
                        </w:p>
                      </w:txbxContent>
                    </wps:txbx>
                    <wps:bodyPr vert="horz" wrap="square" lIns="91440" tIns="45720" rIns="91440" bIns="4572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文本框 25" o:spid="_x0000_s1026" o:spt="1" style="position:absolute;left:0pt;margin-left:-20.85pt;margin-top:1.95pt;height:24.25pt;width:140.15pt;z-index:251667456;mso-width-relative:page;mso-height-relative:page;" filled="f" stroked="f" coordsize="21600,21600" o:gfxdata="UEsDBAoAAAAAAIdO4kAAAAAAAAAAAAAAAAAEAAAAZHJzL1BLAwQUAAAACACHTuJAn3jEgtoAAAAI&#10;AQAADwAAAGRycy9kb3ducmV2LnhtbE2PQUvDQBSE74L/YXmCF2k3SWutMS89FMQihWKqPW+zzySY&#10;fZtmt0n9964nPQ4zzHyTrS6mFQP1rrGMEE8jEMSl1Q1XCO/758kShPOKtWotE8I3OVjl11eZSrUd&#10;+Y2GwlcilLBLFULtfZdK6cqajHJT2xEH79P2Rvkg+0rqXo2h3LQyiaKFNKrhsFCrjtY1lV/F2SCM&#10;5W447Lcvcnd32Fg+bU7r4uMV8fYmjp5AeLr4vzD84gd0yAPT0Z5ZO9EiTObxQ4gizB5BBD+ZLRcg&#10;jgj3yRxknsn/B/IfUEsDBBQAAAAIAIdO4kBYgPyv2gEAAKIDAAAOAAAAZHJzL2Uyb0RvYy54bWyt&#10;U0tu2zAQ3RfoHQjua8mKXdeC5aCAkaJA0QZIewCaoiwC/HVIW3IP0N6gq266z7l8jg4pxTGSTRbd&#10;0BzO+M17b0ar614rchDgpTUVnU5ySoThtpZmV9FvX2/evKPEB2ZqpqwRFT0KT6/Xr1+tOleKwrZW&#10;1QIIghhfdq6ibQiuzDLPW6GZn1gnDCYbC5oFDGGX1cA6RNcqK/L8bdZZqB1YLrzH182QpCMivATQ&#10;No3kYmP5XgsTBlQQigWU5FvpPF0ntk0jePjSNF4EoiqKSkM6sQnet/HM1itW7oC5VvKRAnsJhSea&#10;NJMGm56hNiwwsgf5DEpLDtbbJky41dkgJDmCKqb5E2/uWuZE0oJWe3c23f8/WP75cAtE1hW9Kigx&#10;TOPET79/nf7cn/7+JMU8GtQ5X2LdnbuFMfJ4jWr7BnT8RR2kT6Yez6aKPhCOj9PFYrnM55RwzF3l&#10;i+UigWaP/3bgwwdhNYmXigIOLXnJDp98wI5Y+lASmykTT2NvpFJDNr5kkeXAK95Cv+1HsltbH1Ej&#10;rjyCtxZ+UNLhwCvqv+8ZCErUR4OOLqezWdyQFMzmiwIDuMxsLzPMcISq6MDU2Pf7YBuZ2Mb2Q8+R&#10;FY4uiRjXLO7GZZyqHj+t9T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CfeMSC2gAAAAgBAAAPAAAA&#10;AAAAAAEAIAAAACIAAABkcnMvZG93bnJldi54bWxQSwECFAAUAAAACACHTuJAWID8r9oBAACiAwAA&#10;DgAAAAAAAAABACAAAAApAQAAZHJzL2Uyb0RvYy54bWxQSwUGAAAAAAYABgBZAQAAdQUAAAAA&#10;">
              <v:fill on="f" focussize="0,0"/>
              <v:stroke on="f"/>
              <v:imagedata o:title=""/>
              <o:lock v:ext="edit" aspectratio="f"/>
              <v:textbox>
                <w:txbxContent>
                  <w:p w14:paraId="030A61F8">
                    <w:r>
                      <w:rPr>
                        <w:rFonts w:hint="eastAsia" w:asciiTheme="minorEastAsia" w:hAnsiTheme="minorEastAsia" w:cstheme="minorEastAsia"/>
                        <w:b/>
                        <w:bCs/>
                        <w:color w:val="ED7D31"/>
                        <w:sz w:val="24"/>
                        <w:lang w:val="en-US" w:eastAsia="zh-CN"/>
                      </w:rPr>
                      <w:t>市场情绪指数</w:t>
                    </w:r>
                    <w:r>
                      <w:rPr>
                        <w:rFonts w:hint="eastAsia" w:asciiTheme="minorEastAsia" w:hAnsiTheme="minorEastAsia" w:cstheme="minorEastAsia"/>
                        <w:b/>
                        <w:bCs/>
                        <w:color w:val="ED7D31"/>
                        <w:sz w:val="24"/>
                      </w:rPr>
                      <w:t>月报</w:t>
                    </w:r>
                  </w:p>
                </w:txbxContent>
              </v:textbox>
            </v:rect>
          </w:pict>
        </mc:Fallback>
      </mc:AlternateContent>
    </w:r>
    <w:r>
      <w:rPr>
        <w:rFonts w:ascii="黑体" w:hAnsi="黑体" w:eastAsia="黑体"/>
        <w:b/>
        <w:color w:val="5B9BD5" w:themeColor="accent1"/>
        <w:sz w:val="24"/>
        <w14:textFill>
          <w14:solidFill>
            <w14:schemeClr w14:val="accent1"/>
          </w14:solidFill>
        </w14:textFill>
      </w:rPr>
      <mc:AlternateContent>
        <mc:Choice Requires="wpg">
          <w:drawing>
            <wp:anchor distT="0" distB="0" distL="114300" distR="114300" simplePos="0" relativeHeight="251670528" behindDoc="0" locked="0" layoutInCell="1" allowOverlap="1">
              <wp:simplePos x="0" y="0"/>
              <wp:positionH relativeFrom="column">
                <wp:posOffset>-986155</wp:posOffset>
              </wp:positionH>
              <wp:positionV relativeFrom="paragraph">
                <wp:posOffset>-99060</wp:posOffset>
              </wp:positionV>
              <wp:extent cx="676275" cy="200025"/>
              <wp:effectExtent l="6350" t="6350" r="22225" b="22225"/>
              <wp:wrapNone/>
              <wp:docPr id="37" name="组合 3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76275" cy="200025"/>
                        <a:chOff x="0" y="0"/>
                        <a:chExt cx="542925" cy="266700"/>
                      </a:xfrm>
                      <a:solidFill>
                        <a:srgbClr val="ED7D31"/>
                      </a:solidFill>
                    </wpg:grpSpPr>
                    <wps:wsp>
                      <wps:cNvPr id="38" name="等腰三角形 13"/>
                      <wps:cNvSpPr/>
                      <wps:spPr>
                        <a:xfrm rot="5400000">
                          <a:off x="323850" y="47625"/>
                          <a:ext cx="266700" cy="171450"/>
                        </a:xfrm>
                        <a:prstGeom prst="triangle">
                          <a:avLst/>
                        </a:prstGeom>
                        <a:grpFill/>
                        <a:ln>
                          <a:solidFill>
                            <a:srgbClr val="ED7D31"/>
                          </a:solidFill>
                          <a:round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  <wps:wsp>
                      <wps:cNvPr id="39" name="等腰三角形 16"/>
                      <wps:cNvSpPr/>
                      <wps:spPr>
                        <a:xfrm rot="5400000">
                          <a:off x="133350" y="47625"/>
                          <a:ext cx="266700" cy="171450"/>
                        </a:xfrm>
                        <a:prstGeom prst="triangle">
                          <a:avLst/>
                        </a:prstGeom>
                        <a:grpFill/>
                        <a:ln>
                          <a:solidFill>
                            <a:srgbClr val="ED7D31"/>
                          </a:solidFill>
                          <a:round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  <wps:wsp>
                      <wps:cNvPr id="40" name="等腰三角形 17"/>
                      <wps:cNvSpPr/>
                      <wps:spPr>
                        <a:xfrm rot="5400000">
                          <a:off x="-47625" y="47625"/>
                          <a:ext cx="266700" cy="171450"/>
                        </a:xfrm>
                        <a:prstGeom prst="triangle">
                          <a:avLst/>
                        </a:prstGeom>
                        <a:grpFill/>
                        <a:ln>
                          <a:solidFill>
                            <a:srgbClr val="ED7D31"/>
                          </a:solidFill>
                          <a:round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margin-left:-77.65pt;margin-top:-7.8pt;height:15.75pt;width:53.25pt;z-index:251670528;mso-width-relative:page;mso-height-relative:page;" coordsize="542925,266700" o:gfxdata="UEsDBAoAAAAAAIdO4kAAAAAAAAAAAAAAAAAEAAAAZHJzL1BLAwQUAAAACACHTuJAE5I02toAAAAL&#10;AQAADwAAAGRycy9kb3ducmV2LnhtbE2PwUrDQBCG74LvsIzgLd2sNaXGbIoU9VQEW0G8bbPTJDQ7&#10;G7LbpH17Ry96m2E+/vn+YnV2nRhxCK0nDWqWgkCqvG2p1vCxe0mWIEI0ZE3nCTVcMMCqvL4qTG79&#10;RO84bmMtOIRCbjQ0Mfa5lKFq0Jkw8z0S3w5+cCbyOtTSDmbicNfJuzRdSGda4g+N6XHdYHXcnpyG&#10;18lMT3P1PG6Oh/Xla5e9fW4Uan17o9JHEBHP8Q+GH31Wh5Kd9v5ENohOQ6KybM7s77QAwUhyv+Q2&#10;e2azB5BlIf93KL8BUEsDBBQAAAAIAIdO4kDDoyKQPAMAAFMMAAAOAAAAZHJzL2Uyb0RvYy54bWzt&#10;l8tqHDkUhvcDeQehfVxd1be4cDsYd2wGzMTgDFnLKtUFVJJGUrvsWc/AZDfkEbLJKpBlIMzbJEwe&#10;Y36pqtsdJwETQ2DAm2pdTh2d852LqvceX7aSXAjrGq0WNN0ZUSIU10WjqgX99dnRw0eUOM9UwaRW&#10;YkGvhKOP9x/8tNeZXGS61rIQlkCJcnlnFrT23uRJ4ngtWuZ2tBEKm6W2LfOY2iopLOugvZVJNhrN&#10;kk7bwljNhXNYXfabdNBob6NQl2XDxVLzVSuU77VaIZmHS65ujKP70dqyFNw/LUsnPJELCk99fOIQ&#10;jM/DM9nfY3llmakbPpjAbmPCDZ9a1igculG1ZJ6RlW2+UNU23GqnS7/DdZv0jkQi8CId3WBzbPXK&#10;RF+qvKvMBjoCdYP6d6vlv1ycWtIUCzqeU6JYi4j/+/6Pj3//RbAAOp2pcggdW3NmTu2wUPWz4PBl&#10;advwC1fIZeR6teEqLj3hWJzNZ9l8SgnHFlJglE177rxGcL54i9dPhvemk2wXsv17s9l8FOOVXB/q&#10;tGyKo0bKYIGz1fmhtOSCIdZPlvPlOA3HQHxLLAn+bMzvDHLYXYN1dwN7VjMjYrxcYLYGi4IawL55&#10;8enPtx/evfj0+uXHf16RdNwTjtIbvC53IL1mS6xG0k4nwAb3t0iPs/GjKdIYTCfgOyBdI896XBFd&#10;Ok8nkOxZrONlrPPHQrckDBbU24apSgbrWc4uTpzvxddiYRnYAmtssFwq0qF7ZCEmhDP0gRL1h2Fr&#10;kEtOVZQwWaHBcG+jzq0Y3DJULA+HL5mr+5BGDX3ioC5U0RsoFUIc4thDC6NzXVyBfQQH65zhRw00&#10;nTDnT5lFeWMRDdA/xaOUGn7oYURJre3vX1sP8kgO7FLSoV3Ax99WzApK5M8KabObTiZQ6+NkMp1n&#10;mNjtnfPtHbVqDzWyNI3WxWGQ93I9LK1un6NPHoRTscUUx9k9zWFy6Ps2hk7LxcFBFENPMcyfqDPD&#10;g/IQKKUPVl6XTYznNZ0BGpI/lPiPqILdb1bB7A5VkI7H4/sqQDneV8H/oQpCj/jGXTDctt91Fzzs&#10;b4D7u+C+Cu5YBfH7CN+aAPnZx+z2PEK+/i+w/x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vBQAAW0NvbnRlbnRfVHlwZXNdLnhtbFBLAQIUAAoA&#10;AAAAAIdO4kAAAAAAAAAAAAAAAAAGAAAAAAAAAAAAEAAAAJEEAABfcmVscy9QSwECFAAUAAAACACH&#10;TuJAihRmPNEAAACUAQAACwAAAAAAAAABACAAAAC1BAAAX3JlbHMvLnJlbHNQSwECFAAKAAAAAACH&#10;TuJAAAAAAAAAAAAAAAAABAAAAAAAAAAAABAAAAAAAAAAZHJzL1BLAQIUABQAAAAIAIdO4kATkjTa&#10;2gAAAAsBAAAPAAAAAAAAAAEAIAAAACIAAABkcnMvZG93bnJldi54bWxQSwECFAAUAAAACACHTuJA&#10;w6MikDwDAABTDAAADgAAAAAAAAABACAAAAApAQAAZHJzL2Uyb0RvYy54bWxQSwUGAAAAAAYABgBZ&#10;AQAA1wYAAAAA&#10;">
              <o:lock v:ext="edit" aspectratio="f"/>
              <v:shape id="等腰三角形 13" o:spid="_x0000_s1026" o:spt="5" type="#_x0000_t5" style="position:absolute;left:323850;top:47625;height:171450;width:266700;rotation:5898240f;v-text-anchor:middle;" filled="t" stroked="t" coordsize="21600,21600" o:gfxdata="UEsDBAoAAAAAAIdO4kAAAAAAAAAAAAAAAAAEAAAAZHJzL1BLAwQUAAAACACHTuJA5u74aroAAADb&#10;AAAADwAAAGRycy9kb3ducmV2LnhtbEVPu27CMBTdkfgH61bqgsDhIdQGDANVBWIrMJTtNr44aeLr&#10;yHYh/D0eKjEenfdy3dlGXMmHyrGC8SgDQVw4XbFRcDp+Dt9AhIissXFMCu4UYL3q95aYa3fjL7oe&#10;ohEphEOOCsoY21zKUJRkMYxcS5y4i/MWY4LeSO3xlsJtIydZNpcWK04NJba0KamoD39WAX3/ePP7&#10;cZ55U09m+L6nblsPlHp9GWcLEJG6+BT/u3dawTSNTV/SD5CrB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m7vhqugAAANsA&#10;AAAPAAAAAAAAAAEAIAAAACIAAABkcnMvZG93bnJldi54bWxQSwECFAAUAAAACACHTuJAMy8FnjsA&#10;AAA5AAAAEAAAAAAAAAABACAAAAAJAQAAZHJzL3NoYXBleG1sLnhtbFBLBQYAAAAABgAGAFsBAACz&#10;AwAAAAA=&#10;" adj="10800">
                <v:fill on="t" focussize="0,0"/>
                <v:stroke weight="1pt" color="#ED7D31 [3204]" miterlimit="8" joinstyle="round"/>
                <v:imagedata o:title=""/>
                <o:lock v:ext="edit" aspectratio="f"/>
              </v:shape>
              <v:shape id="等腰三角形 16" o:spid="_x0000_s1026" o:spt="5" type="#_x0000_t5" style="position:absolute;left:133350;top:47625;height:171450;width:266700;rotation:5898240f;v-text-anchor:middle;" filled="t" stroked="t" coordsize="21600,21600" o:gfxdata="UEsDBAoAAAAAAIdO4kAAAAAAAAAAAAAAAAAEAAAAZHJzL1BLAwQUAAAACACHTuJAiaJd8b0AAADb&#10;AAAADwAAAGRycy9kb3ducmV2LnhtbEWPQWsCMRSE74X+h/AKXopmtSK6Gj20SEtvVQ96e26e2XU3&#10;L0uS6vrvTaHgcZiZb5jFqrONuJAPlWMFw0EGgrhwumKjYLdd96cgQkTW2DgmBTcKsFo+Py0w1+7K&#10;P3TZRCMShEOOCsoY21zKUJRkMQxcS5y8k/MWY5LeSO3xmuC2kaMsm0iLFaeFElt6L6moN79WAe2P&#10;3pw/DmNv6tEYZ9/UfdavSvVehtkcRKQuPsL/7S+t4G0Gf1/SD5DLO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Jol3xvQAA&#10;ANsAAAAPAAAAAAAAAAEAIAAAACIAAABkcnMvZG93bnJldi54bWxQSwECFAAUAAAACACHTuJAMy8F&#10;njsAAAA5AAAAEAAAAAAAAAABACAAAAAMAQAAZHJzL3NoYXBleG1sLnhtbFBLBQYAAAAABgAGAFsB&#10;AAC2AwAAAAA=&#10;" adj="10800">
                <v:fill on="t" focussize="0,0"/>
                <v:stroke weight="1pt" color="#ED7D31 [3204]" miterlimit="8" joinstyle="round"/>
                <v:imagedata o:title=""/>
                <o:lock v:ext="edit" aspectratio="f"/>
              </v:shape>
              <v:shape id="等腰三角形 17" o:spid="_x0000_s1026" o:spt="5" type="#_x0000_t5" style="position:absolute;left:-47625;top:47625;height:171450;width:266700;rotation:5898240f;v-text-anchor:middle;" filled="t" stroked="t" coordsize="21600,21600" o:gfxdata="UEsDBAoAAAAAAIdO4kAAAAAAAAAAAAAAAAAEAAAAZHJzL1BLAwQUAAAACACHTuJAQJ6HEboAAADb&#10;AAAADwAAAGRycy9kb3ducmV2LnhtbEVPPW/CMBDdK/EfrEPqUhUHFKE2YBhAVREb0AG2I746aeJz&#10;ZLsQ/j0ekBif3vd82dtWXMiH2rGC8SgDQVw6XbNR8HP4ev8AESKyxtYxKbhRgOVi8DLHQrsr7+iy&#10;j0akEA4FKqhi7AopQ1mRxTByHXHifp23GBP0RmqP1xRuWznJsqm0WHNqqLCjVUVls/+3Cuh49uZv&#10;fcq9aSY5fm6p/27elHodjrMZiEh9fIof7o1WkKf16Uv6AXJxB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AnocRugAAANsA&#10;AAAPAAAAAAAAAAEAIAAAACIAAABkcnMvZG93bnJldi54bWxQSwECFAAUAAAACACHTuJAMy8FnjsA&#10;AAA5AAAAEAAAAAAAAAABACAAAAAJAQAAZHJzL3NoYXBleG1sLnhtbFBLBQYAAAAABgAGAFsBAACz&#10;AwAAAAA=&#10;" adj="10800">
                <v:fill on="t" focussize="0,0"/>
                <v:stroke weight="1pt" color="#ED7D31 [3204]" miterlimit="8" joinstyle="round"/>
                <v:imagedata o:title=""/>
                <o:lock v:ext="edit" aspectratio="f"/>
              </v:shape>
            </v:group>
          </w:pict>
        </mc:Fallback>
      </mc:AlternateContent>
    </w:r>
    <w:r>
      <w:rPr>
        <w:rFonts w:ascii="黑体" w:hAnsi="黑体" w:eastAsia="黑体"/>
        <w:b/>
        <w:color w:val="5B9BD5" w:themeColor="accent1"/>
        <w:sz w:val="24"/>
        <w14:textFill>
          <w14:solidFill>
            <w14:schemeClr w14:val="accent1"/>
          </w14:solidFill>
        </w14:textFill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margin">
                <wp:posOffset>1184910</wp:posOffset>
              </wp:positionH>
              <wp:positionV relativeFrom="paragraph">
                <wp:posOffset>131445</wp:posOffset>
              </wp:positionV>
              <wp:extent cx="4007485" cy="3810"/>
              <wp:effectExtent l="0" t="44450" r="12065" b="46990"/>
              <wp:wrapNone/>
              <wp:docPr id="33" name="直接连接符 3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4007485" cy="3810"/>
                      </a:xfrm>
                      <a:prstGeom prst="line">
                        <a:avLst/>
                      </a:prstGeom>
                      <a:ln w="88900" cmpd="thinThick">
                        <a:solidFill>
                          <a:srgbClr val="FFC000"/>
                        </a:solidFill>
                      </a:ln>
                    </wps:spPr>
                    <wps:style>
                      <a:lnRef idx="3">
                        <a:schemeClr val="accent2"/>
                      </a:lnRef>
                      <a:fillRef idx="0">
                        <a:schemeClr val="accent2"/>
                      </a:fillRef>
                      <a:effectRef idx="2">
                        <a:schemeClr val="accent2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93.3pt;margin-top:10.35pt;height:0.3pt;width:315.55pt;mso-position-horizontal-relative:margin;z-index:251669504;mso-width-relative:page;mso-height-relative:page;" filled="f" stroked="t" coordsize="21600,21600" o:gfxdata="UEsDBAoAAAAAAIdO4kAAAAAAAAAAAAAAAAAEAAAAZHJzL1BLAwQUAAAACACHTuJANq7It9UAAAAJ&#10;AQAADwAAAGRycy9kb3ducmV2LnhtbE2Py07EMAxF90j8Q2Sk2TFJBqlTlaYjhNQF7GZ4iV2mMU1F&#10;Xmoyr7/HrGDna19fH7ebs3fsiHOeYlAglwIYhiGaKYwKXl/62xpYLjoY7WJABRfMsOmur1rdmHgK&#10;WzzuysgoJORGK7ClpIbzPFj0Oi9jwkCzrzh7XUjOIzezPlG4d3wlRMW9ngJdsDrho8Xhe3fwhPHw&#10;jPrTySes3tJ7n3obP9xWqcWNFPfACp7Lnxl+8WkHOmLax0MwmTnSdVWRVcFKrIGRoZZrKvbUkHfA&#10;u5b//6D7AVBLAwQUAAAACACHTuJABW0AtPkBAADHAwAADgAAAGRycy9lMm9Eb2MueG1srVO9jhMx&#10;EO6R7h0s95fdXA5YVtlckSjXIIjEQe947V3r/CePL5u8BC+ARAcVJT1vw/EYjL0hwNFcQWONZ8bf&#10;zPfNeH61N5rsRADlbEOnk5ISYblrle0a+vZmfV5RApHZlmlnRUMPAujV4uzJfPC1uHC9060IBEEs&#10;1INvaB+jr4sCeC8Mg4nzwmJQumBYxGvoijawAdGNLi7K8lkxuND64LgAQO9qDNIjYngMoJNScbFy&#10;/M4IG0fUIDSLSAl65YEucrdSCh5fSwkiEt1QZBrziUXQ3qazWMxZ3QXme8WPLbDHtPCAk2HKYtET&#10;1IpFRu6C+gfKKB4cOBkn3JliJJIVQRbT8oE2b3rmReaCUoM/iQ7/D5a/2m0CUW1DZzNKLDM48fsP&#10;X7+///Tj20c87798JhhBmQYPNWYv7SYcb+A3IXHey2CI1Mq/w33KKiAvss8iH04ii30kHJ2XZfn8&#10;snpKCcfYrJrmGRQjSkLzAeK1cIYko6Fa2SQBq9nuJUSsjKm/UpLburXSOo9RWzI0tKpelDhdznA3&#10;Je4EmsYjv9gre4NTvqWE6Q5Xn8eQgcFp1SaQBAeh2y51IDuGC7NeL0vEGov+lZY6WDHox7wcGlfJ&#10;qIi/QyuDjeDb02ttsfMk4ShasrauPWQtsx/nm7kddzEt0J/3/Pr3/1v8BF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DauyLfVAAAACQEAAA8AAAAAAAAAAQAgAAAAIgAAAGRycy9kb3ducmV2LnhtbFBL&#10;AQIUABQAAAAIAIdO4kAFbQC0+QEAAMcDAAAOAAAAAAAAAAEAIAAAACQBAABkcnMvZTJvRG9jLnht&#10;bFBLBQYAAAAABgAGAFkBAACPBQAAAAA=&#10;">
              <v:fill on="f" focussize="0,0"/>
              <v:stroke weight="7pt" color="#FFC000 [3205]" linestyle="thinThick" miterlimit="8" joinstyle="miter"/>
              <v:imagedata o:title=""/>
              <o:lock v:ext="edit" aspectratio="f"/>
            </v:line>
          </w:pict>
        </mc:Fallback>
      </mc:AlternateContent>
    </w:r>
    <w:r>
      <w:rPr>
        <w:rFonts w:ascii="黑体" w:hAnsi="黑体" w:eastAsia="黑体"/>
        <w:b/>
        <w:color w:val="ED7D31" w:themeColor="accent2"/>
        <w:sz w:val="28"/>
        <w:szCs w:val="28"/>
        <w14:textFill>
          <w14:solidFill>
            <w14:schemeClr w14:val="accent2"/>
          </w14:solidFill>
        </w14:textFill>
      </w:rPr>
      <w:drawing>
        <wp:anchor distT="0" distB="0" distL="114300" distR="114300" simplePos="0" relativeHeight="251672576" behindDoc="0" locked="0" layoutInCell="1" allowOverlap="1">
          <wp:simplePos x="0" y="0"/>
          <wp:positionH relativeFrom="column">
            <wp:posOffset>3966845</wp:posOffset>
          </wp:positionH>
          <wp:positionV relativeFrom="paragraph">
            <wp:posOffset>-148590</wp:posOffset>
          </wp:positionV>
          <wp:extent cx="1522730" cy="211455"/>
          <wp:effectExtent l="0" t="0" r="1270" b="17145"/>
          <wp:wrapSquare wrapText="bothSides"/>
          <wp:docPr id="1690837728" name="图片 16908377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90837728" name="图片 169083772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22730" cy="211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黑体" w:hAnsi="黑体" w:eastAsia="黑体"/>
        <w:b/>
        <w:color w:val="5B9BD5" w:themeColor="accent1"/>
        <w:sz w:val="24"/>
        <w14:textFill>
          <w14:solidFill>
            <w14:schemeClr w14:val="accent1"/>
          </w14:solidFill>
        </w14:textFill>
      </w:rPr>
      <mc:AlternateContent>
        <mc:Choice Requires="wpg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column">
                <wp:posOffset>5554345</wp:posOffset>
              </wp:positionH>
              <wp:positionV relativeFrom="paragraph">
                <wp:posOffset>-99060</wp:posOffset>
              </wp:positionV>
              <wp:extent cx="666750" cy="238125"/>
              <wp:effectExtent l="6350" t="10795" r="12700" b="17780"/>
              <wp:wrapNone/>
              <wp:docPr id="22" name="组合 2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66750" cy="238125"/>
                        <a:chOff x="0" y="0"/>
                        <a:chExt cx="542925" cy="266700"/>
                      </a:xfrm>
                      <a:solidFill>
                        <a:srgbClr val="ED7D31"/>
                      </a:solidFill>
                    </wpg:grpSpPr>
                    <wps:wsp>
                      <wps:cNvPr id="9" name="等腰三角形 23"/>
                      <wps:cNvSpPr/>
                      <wps:spPr>
                        <a:xfrm rot="5400000">
                          <a:off x="323850" y="47625"/>
                          <a:ext cx="266700" cy="171450"/>
                        </a:xfrm>
                        <a:prstGeom prst="triangle">
                          <a:avLst/>
                        </a:prstGeom>
                        <a:grpFill/>
                        <a:ln>
                          <a:solidFill>
                            <a:srgbClr val="ED7D3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  <wps:wsp>
                      <wps:cNvPr id="34" name="等腰三角形 24"/>
                      <wps:cNvSpPr/>
                      <wps:spPr>
                        <a:xfrm rot="5400000">
                          <a:off x="133350" y="47625"/>
                          <a:ext cx="266700" cy="171450"/>
                        </a:xfrm>
                        <a:prstGeom prst="triangle">
                          <a:avLst/>
                        </a:prstGeom>
                        <a:grpFill/>
                        <a:ln>
                          <a:solidFill>
                            <a:srgbClr val="ED7D3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  <wps:wsp>
                      <wps:cNvPr id="35" name="等腰三角形 25"/>
                      <wps:cNvSpPr/>
                      <wps:spPr>
                        <a:xfrm rot="5400000">
                          <a:off x="-47625" y="47625"/>
                          <a:ext cx="266700" cy="171450"/>
                        </a:xfrm>
                        <a:prstGeom prst="triangle">
                          <a:avLst/>
                        </a:prstGeom>
                        <a:grpFill/>
                        <a:ln>
                          <a:solidFill>
                            <a:srgbClr val="ED7D3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margin-left:437.35pt;margin-top:-7.8pt;height:18.75pt;width:52.5pt;z-index:251671552;mso-width-relative:page;mso-height-relative:page;" coordsize="542925,266700" o:gfxdata="UEsDBAoAAAAAAIdO4kAAAAAAAAAAAAAAAAAEAAAAZHJzL1BLAwQUAAAACACHTuJAlAGyrNsAAAAK&#10;AQAADwAAAGRycy9kb3ducmV2LnhtbE2PwU7CQBCG7ya+w2ZMvMF2USit3RJD1BMxEUwIt6Ud2obu&#10;bNNdWnh7x5MeZ+bLP9+fra62FQP2vnGkQU0jEEiFKxuqNHzv3idLED4YKk3rCDXc0MMqv7/LTFq6&#10;kb5w2IZKcAj51GioQ+hSKX1RozV+6jokvp1cb03gsa9k2ZuRw20rZ1G0kNY0xB9q0+G6xuK8vVgN&#10;H6MZX5/U27A5n9a3w27+ud8o1PrxQUUvIAJewx8Mv/qsDjk7Hd2FSi9aDcv4OWZUw0TNFyCYSOKE&#10;N0cNM5WAzDP5v0L+A1BLAwQUAAAACACHTuJAOsTcFlMDAAB5DAAADgAAAGRycy9lMm9Eb2MueG1s&#10;7ZfNaiQ3EMfvgbyD0H090z09M3bj8WI8axMwWYMT9ixr1B+glhRJ47ZzTiB7C3mEXPa0kGMg5G12&#10;yT5G/pJ6xoN3F5wYAgH70NZHdanqV6qqnsPnN50k18K6VqsFzfbGlAjF9apV9YJ++83ps31KnGdq&#10;xaRWYkFvhaPPj7784rA3pch1o+VKWAIlypW9WdDGe1OORo43omNuTxuhsFlp2zGPqa1HK8t6aO/k&#10;KB+PZ6Ne25WxmgvnsLpMm3TQaB+iUFdVy8VS83UnlE9arZDMwyXXtMbRo2htVQnuX1aVE57IBYWn&#10;Pj5xCMZX4Tk6OmRlbZlpWj6YwB5iwj2fOtYqHLpVtWSekbVtP1LVtdxqpyu/x3U3So5EIvAiG99j&#10;c2b12kRf6rKvzRY6AnWP+r9Wy7++vrCkXS1onlOiWIeI//XHD+9//olgAXR6U5cQOrPm0lzYYaFO&#10;s+DwTWW78B+ukJvI9XbLVdx4wrE4m83mUxDn2Mon+1k+Tdx5g+B89BZvXgzvTYv8ALLpPegYx3iN&#10;7g51Wrar01bKYIGz9dWJtOSaIdYvlvPlJAvHQHxHbBT82ZrfG9xhdwfWPQ7sZcOMiPFygdkA9mDL&#10;9e3rDz/+9u731x/e/PL+z19JPkmAo/CWrisdQG/QEqtxZ6fFOPzFGzaAngBkYAqkxXy2Ibohnida&#10;kVw2zwpIJhSbcBnr/JnQHQmDBfW2ZaqWwXhWsutz55P4Riwsg1pAjQ1WSkV6FI88hIRwhjJQIf0w&#10;7AyuklM1JUzWqC/c26hzJwQPjBQrw+FL5poU0agh3Zuu9ShBsu0WdD+BSdZKhXCHmCaCYXSlV7eI&#10;Q6QIU53hpy3UnjPnL5hFqmMRxdC/xKOSGk7pYURJo+33n1oP8rgo2KWkR+mAw9+tmRWUyK8UrtBB&#10;VhRQ6+OkmM5zTOzuztXujlp3Jxo3NovWxWGQ93IzrKzuXqFmHodTscUUx9kJ7TA58amkoepycXwc&#10;xVBfDPPn6tLwoDxETenjtddVG4N7R2eAhkQI6f4fZMSk+GxKFI9IiWwymTylxFNKxPz4v6UE2tzQ&#10;fe93idgsQ16ipfzTLvEs9YanLhHb51OXiJ3h8V0ifkXhizR+XQ1fz+GTd3ceu8rdL4ajvwF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HBQAAW0Nv&#10;bnRlbnRfVHlwZXNdLnhtbFBLAQIUAAoAAAAAAIdO4kAAAAAAAAAAAAAAAAAGAAAAAAAAAAAAEAAA&#10;AKkEAABfcmVscy9QSwECFAAUAAAACACHTuJAihRmPNEAAACUAQAACwAAAAAAAAABACAAAADNBAAA&#10;X3JlbHMvLnJlbHNQSwECFAAKAAAAAACHTuJAAAAAAAAAAAAAAAAABAAAAAAAAAAAABAAAAAAAAAA&#10;ZHJzL1BLAQIUABQAAAAIAIdO4kCUAbKs2wAAAAoBAAAPAAAAAAAAAAEAIAAAACIAAABkcnMvZG93&#10;bnJldi54bWxQSwECFAAUAAAACACHTuJAOsTcFlMDAAB5DAAADgAAAAAAAAABACAAAAAqAQAAZHJz&#10;L2Uyb0RvYy54bWxQSwUGAAAAAAYABgBZAQAA7wYAAAAA&#10;">
              <o:lock v:ext="edit" aspectratio="f"/>
              <v:shape id="等腰三角形 23" o:spid="_x0000_s1026" o:spt="5" type="#_x0000_t5" style="position:absolute;left:323850;top:47625;height:171450;width:266700;rotation:5898240f;v-text-anchor:middle;" filled="t" stroked="t" coordsize="21600,21600" o:gfxdata="UEsDBAoAAAAAAIdO4kAAAAAAAAAAAAAAAAAEAAAAZHJzL1BLAwQUAAAACACHTuJAY29WK70AAADa&#10;AAAADwAAAGRycy9kb3ducmV2LnhtbEWPQWsCMRSE7wX/Q3iFXopmV6ToatyDIpbeqh7a23PzzG53&#10;87IkUbf/vikUehxm5htmVQ62EzfyoXGsIJ9kIIgrpxs2Ck7H3XgOIkRkjZ1jUvBNAcr16GGFhXZ3&#10;fqfbIRqRIBwKVFDH2BdShqomi2HieuLkXZy3GJP0RmqP9wS3nZxm2Yu02HBaqLGnTU1Ve7haBfRx&#10;9uZr+znzpp3OcPFGw759VurpMc+WICIN8T/8137VChbweyXdALn+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jb1YrvQAA&#10;ANoAAAAPAAAAAAAAAAEAIAAAACIAAABkcnMvZG93bnJldi54bWxQSwECFAAUAAAACACHTuJAMy8F&#10;njsAAAA5AAAAEAAAAAAAAAABACAAAAAMAQAAZHJzL3NoYXBleG1sLnhtbFBLBQYAAAAABgAGAFsB&#10;AAC2AwAAAAA=&#10;" adj="10800">
                <v:fill on="t" focussize="0,0"/>
                <v:stroke weight="1pt" color="#ED7D31 [3204]" miterlimit="8" joinstyle="miter"/>
                <v:imagedata o:title=""/>
                <o:lock v:ext="edit" aspectratio="f"/>
              </v:shape>
              <v:shape id="等腰三角形 24" o:spid="_x0000_s1026" o:spt="5" type="#_x0000_t5" style="position:absolute;left:133350;top:47625;height:171450;width:266700;rotation:5898240f;v-text-anchor:middle;" filled="t" stroked="t" coordsize="21600,21600" o:gfxdata="UEsDBAoAAAAAAIdO4kAAAAAAAAAAAAAAAAAEAAAAZHJzL1BLAwQUAAAACACHTuJAZ6Pyb74AAADb&#10;AAAADwAAAGRycy9kb3ducmV2LnhtbEWPQWsCMRSE74X+h/AKvRTNapeiq9FDS2nxVutBb8/NM7vu&#10;5mVJUl3/vREKHoeZ+YaZL3vbihP5UDtWMBpmIIhLp2s2Cja/n4MJiBCRNbaOScGFAiwXjw9zLLQ7&#10;8w+d1tGIBOFQoIIqxq6QMpQVWQxD1xEn7+C8xZikN1J7PCe4beU4y96kxZrTQoUdvVdUNus/q4C2&#10;e2+OH7vcm2ac43RF/VfzotTz0yibgYjUx3v4v/2tFbzmcPuSfoBcXA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Z6Pyb74A&#10;AADbAAAADwAAAAAAAAABACAAAAAiAAAAZHJzL2Rvd25yZXYueG1sUEsBAhQAFAAAAAgAh07iQDMv&#10;BZ47AAAAOQAAABAAAAAAAAAAAQAgAAAADQEAAGRycy9zaGFwZXhtbC54bWxQSwUGAAAAAAYABgBb&#10;AQAAtwMAAAAA&#10;" adj="10800">
                <v:fill on="t" focussize="0,0"/>
                <v:stroke weight="1pt" color="#ED7D31 [3204]" miterlimit="8" joinstyle="miter"/>
                <v:imagedata o:title=""/>
                <o:lock v:ext="edit" aspectratio="f"/>
              </v:shape>
              <v:shape id="等腰三角形 25" o:spid="_x0000_s1026" o:spt="5" type="#_x0000_t5" style="position:absolute;left:-47625;top:47625;height:171450;width:266700;rotation:5898240f;v-text-anchor:middle;" filled="t" stroked="t" coordsize="21600,21600" o:gfxdata="UEsDBAoAAAAAAIdO4kAAAAAAAAAAAAAAAAAEAAAAZHJzL1BLAwQUAAAACACHTuJACO9X9L4AAADb&#10;AAAADwAAAGRycy9kb3ducmV2LnhtbEWPQWsCMRSE74L/ITyhF6lZrRZdjR4spaW3ag/19tw8s+tu&#10;XpYk1e2/N0Khx2FmvmFWm8424kI+VI4VjEcZCOLC6YqNgq/96+McRIjIGhvHpOCXAmzW/d4Kc+2u&#10;/EmXXTQiQTjkqKCMsc2lDEVJFsPItcTJOzlvMSbpjdQerwluGznJsmdpseK0UGJL25KKevdjFdD3&#10;0Zvzy2HqTT2Z4uKDurd6qNTDYJwtQUTq4n/4r/2uFTzN4P4l/QC5vg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CO9X9L4A&#10;AADbAAAADwAAAAAAAAABACAAAAAiAAAAZHJzL2Rvd25yZXYueG1sUEsBAhQAFAAAAAgAh07iQDMv&#10;BZ47AAAAOQAAABAAAAAAAAAAAQAgAAAADQEAAGRycy9zaGFwZXhtbC54bWxQSwUGAAAAAAYABgBb&#10;AQAAtwMAAAAA&#10;" adj="10800">
                <v:fill on="t" focussize="0,0"/>
                <v:stroke weight="1pt" color="#ED7D31 [3204]" miterlimit="8" joinstyle="miter"/>
                <v:imagedata o:title=""/>
                <o:lock v:ext="edit" aspectratio="f"/>
              </v:shape>
            </v:group>
          </w:pict>
        </mc:Fallback>
      </mc:AlternateContent>
    </w:r>
    <w:r>
      <w:rPr>
        <w:rFonts w:ascii="黑体" w:hAnsi="黑体" w:eastAsia="黑体"/>
        <w:b/>
        <w:color w:val="5B9BD5" w:themeColor="accent1"/>
        <w:sz w:val="24"/>
        <w14:textFill>
          <w14:solidFill>
            <w14:schemeClr w14:val="accent1"/>
          </w14:solidFill>
        </w14:textFill>
      </w:rPr>
      <mc:AlternateContent>
        <mc:Choice Requires="wps">
          <w:drawing>
            <wp:anchor distT="0" distB="0" distL="114300" distR="114300" simplePos="0" relativeHeight="251668480" behindDoc="0" locked="0" layoutInCell="1" allowOverlap="1">
              <wp:simplePos x="0" y="0"/>
              <wp:positionH relativeFrom="column">
                <wp:posOffset>-201930</wp:posOffset>
              </wp:positionH>
              <wp:positionV relativeFrom="paragraph">
                <wp:posOffset>-54610</wp:posOffset>
              </wp:positionV>
              <wp:extent cx="4114800" cy="19050"/>
              <wp:effectExtent l="0" t="44450" r="19050" b="50800"/>
              <wp:wrapNone/>
              <wp:docPr id="36" name="直接连接符 3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4114800" cy="19050"/>
                      </a:xfrm>
                      <a:prstGeom prst="line">
                        <a:avLst/>
                      </a:prstGeom>
                      <a:ln w="88900">
                        <a:solidFill>
                          <a:srgbClr val="ED7D31"/>
                        </a:solidFill>
                      </a:ln>
                    </wps:spPr>
                    <wps:style>
                      <a:lnRef idx="3">
                        <a:schemeClr val="accent2"/>
                      </a:lnRef>
                      <a:fillRef idx="0">
                        <a:schemeClr val="accent2"/>
                      </a:fillRef>
                      <a:effectRef idx="2">
                        <a:schemeClr val="accent2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15.9pt;margin-top:-4.3pt;height:1.5pt;width:324pt;z-index:251668480;mso-width-relative:page;mso-height-relative:page;" filled="f" stroked="t" coordsize="21600,21600" o:gfxdata="UEsDBAoAAAAAAIdO4kAAAAAAAAAAAAAAAAAEAAAAZHJzL1BLAwQUAAAACACHTuJAK51ZO9YAAAAJ&#10;AQAADwAAAGRycy9kb3ducmV2LnhtbE2PTU7DMBBG90jcwRokdq3tIKwS4nQBggW7hhzAjYc4NLbT&#10;2G0Dp2dYwW5+Pr15U20XP7IzzmmIQYNcC2AYumiH0Gto319WG2Apm2DNGANq+MIE2/r6qjKljZew&#10;w3OTe0aQkEqjweU8lZynzqE3aR0nDLT7iLM3mdq553Y2F4L7kRdCKO7NEOiCMxM+OewOzckTBY9L&#10;2x6Kt29XfMrX52Ynjg+L1rc3UjwCy7jkvzD86pM61OS0j6dgExs1rO4kqWcqNgoYBZRUBbA9De4V&#10;8Lri/z+ofwBQSwMEFAAAAAgAh07iQCKuHM72AQAAwgMAAA4AAABkcnMvZTJvRG9jLnhtbK1TzW7U&#10;MBC+I/EOlu9skraUbbTZHhrKBcFK/Ny9jp1Y8p887mb3JXgBJG5w4tg7b0N5DMZOWKBceiAHy54Z&#10;fzPf5y+ry73RZCcCKGcbWi1KSoTlrlO2b+i7t9dPlpRAZLZj2lnR0IMAerl+/Gg1+lqcuMHpTgSC&#10;IBbq0Td0iNHXRQF8EIbBwnlhMSldMCziMfRFF9iI6EYXJ2V5XowudD44LgAw2k5JOiOGhwA6KRUX&#10;reM3Rtg4oQahWURKMCgPdJ2nlVLw+FpKEJHohiLTmFdsgvttWov1itV9YH5QfB6BPWSEe5wMUxab&#10;HqFaFhm5CeofKKN4cOBkXHBniolIVgRZVOU9bd4MzIvMBaUGfxQd/h8sf7XbBKK6hp6eU2KZwRe/&#10;+3j7/cPnH98+4Xr39QvBDMo0eqix+spuwnwCvwmJ814GQ6RW/j36KauAvMg+i3w4iiz2kXAMnlXV&#10;2bJE/TnmqovyaX6EYoJJcD5AfCGcIWnTUK1s0oDVbPcSIrbG0l8lKWzdtdI6v6O2ZGzocnmR4Rma&#10;U6IpsJPxSBBsTwnTPbqex5AhwWnVpesJCEK/vdKB7Bh65Xn7rD2tEm9s91dZ6t0yGKa6nJpcZFTE&#10;H0MrgyOU6Ztva4sgSb1Jr7Tbuu6QZcxxfNrcZrZh8s6f53z796+3/gl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ArnVk71gAAAAkBAAAPAAAAAAAAAAEAIAAAACIAAABkcnMvZG93bnJldi54bWxQSwEC&#10;FAAUAAAACACHTuJAIq4czvYBAADCAwAADgAAAAAAAAABACAAAAAlAQAAZHJzL2Uyb0RvYy54bWxQ&#10;SwUGAAAAAAYABgBZAQAAjQUAAAAA&#10;">
              <v:fill on="f" focussize="0,0"/>
              <v:stroke weight="7pt" color="#ED7D31 [3205]" miterlimit="8" joinstyle="miter"/>
              <v:imagedata o:title=""/>
              <o:lock v:ext="edit" aspectratio="f"/>
            </v:lin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635</wp:posOffset>
              </wp:positionH>
              <wp:positionV relativeFrom="paragraph">
                <wp:posOffset>360045</wp:posOffset>
              </wp:positionV>
              <wp:extent cx="5273040" cy="0"/>
              <wp:effectExtent l="0" t="0" r="0" b="0"/>
              <wp:wrapNone/>
              <wp:docPr id="12" name="直接连接符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1153160" y="913130"/>
                        <a:ext cx="5273040" cy="0"/>
                      </a:xfrm>
                      <a:prstGeom prst="line">
                        <a:avLst/>
                      </a:prstGeom>
                      <a:ln>
                        <a:noFill/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.05pt;margin-top:28.35pt;height:0pt;width:415.2pt;z-index:251660288;mso-width-relative:page;mso-height-relative:page;" filled="f" stroked="f" coordsize="21600,21600" o:gfxdata="UEsDBAoAAAAAAIdO4kAAAAAAAAAAAAAAAAAEAAAAZHJzL1BLAwQUAAAACACHTuJAPDnGmNQAAAAG&#10;AQAADwAAAGRycy9kb3ducmV2LnhtbE2OS0vDQBSF94L/4XIFd3amlj6ImRQRpAsFsS3q8jZzTYKZ&#10;OzEzfdhf75QudHkenPPl84NrYcd9aLwYHA40AkvpbSOVwfXq8WaGECKJpdYLG/zhgPPi8iKnzPq9&#10;vPJuGStIIxIyMljH2GVKhbJmR2HgO5aUffreUUyyr5TtaZ/GXatutZ4oR42kh5o6fqi5/FpuncG3&#10;Z1pM35+OdrX+5hddfiyOo3sx5vpqqO8QIh/iXxlP+Akdi8S08VuxAdqThmhwPJkipHQ20mOEzdlQ&#10;Ra7+4xe/UEsDBBQAAAAIAIdO4kA8hwp54QEAAJUDAAAOAAAAZHJzL2Uyb0RvYy54bWytU01u1DAU&#10;3iNxB8t7JsmEGdpoMl0wKhsEI0EP4Dp2Ysl/8nMnM5fgAkjsYMWSPbehHINnJ7RV2XRBFvaz3/Pn&#10;933+srk4Gk0OIoBytqXVoqREWO46ZfuWXn28fHFGCURmO6adFS09CaAX2+fPNqNvxNINTnciEASx&#10;0Iy+pUOMvikK4IMwDBbOC4tJ6YJhEZehL7rARkQ3uliW5boYXeh8cFwA4O5uStIZMTwF0EmpuNg5&#10;fmOEjRNqEJpFpASD8kC3uVspBY/vpQQRiW4pMo15xEswvk5jsd2wpg/MD4rPLbCntPCIk2HK4qV3&#10;UDsWGbkJ6h8oo3hw4GRccGeKiUhWBFlU5SNtPgzMi8wFpQZ/Jzr8P1j+7rAPRHXohCUllhl88dvP&#10;P359+vr75xccb79/I5hBmUYPDVa/tvswr8DvQ+J8lMGkGdmQIwJVq7pao8Cnlp5XdVXPKotjJBzz&#10;q+WrunyJeY4FOVfcY/gA8Y1whqSgpVrZJABr2OEtRLwXS/+WpG3rLpXW+RG1JWNL1/UqITM0pkRD&#10;YGg8kgPbU8J0j47nMWTEB0cT4o7BQA4MbQJOq24yhlERva6VaelZmb60jS1oi1MSZJIgRdeuO2Vl&#10;8j6+Vi6cnZXs8HCdT9//Tds/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PDnGmNQAAAAGAQAADwAA&#10;AAAAAAABACAAAAAiAAAAZHJzL2Rvd25yZXYueG1sUEsBAhQAFAAAAAgAh07iQDyHCnnhAQAAlQMA&#10;AA4AAAAAAAAAAQAgAAAAIwEAAGRycy9lMm9Eb2MueG1sUEsFBgAAAAAGAAYAWQEAAHYFAAAAAA==&#10;">
              <v:fill on="f" focussize="0,0"/>
              <v:stroke on="f" weight="0.5pt" miterlimit="8" joinstyle="miter"/>
              <v:imagedata o:title=""/>
              <o:lock v:ext="edit" aspectratio="f"/>
            </v:lin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RhMjhjMWE4OTM0MmY2OWZhYzljMjU3NTM4ZjVkYTMifQ=="/>
  </w:docVars>
  <w:rsids>
    <w:rsidRoot w:val="7DFFAC71"/>
    <w:rsid w:val="00004BFA"/>
    <w:rsid w:val="00007A4B"/>
    <w:rsid w:val="00007DDD"/>
    <w:rsid w:val="00011515"/>
    <w:rsid w:val="00011AA5"/>
    <w:rsid w:val="000223DB"/>
    <w:rsid w:val="000225BE"/>
    <w:rsid w:val="00024971"/>
    <w:rsid w:val="00030D49"/>
    <w:rsid w:val="00034B05"/>
    <w:rsid w:val="00035694"/>
    <w:rsid w:val="00041CBD"/>
    <w:rsid w:val="00044748"/>
    <w:rsid w:val="00052427"/>
    <w:rsid w:val="000622FB"/>
    <w:rsid w:val="000626A8"/>
    <w:rsid w:val="0006784C"/>
    <w:rsid w:val="000712F9"/>
    <w:rsid w:val="000747EF"/>
    <w:rsid w:val="0008089F"/>
    <w:rsid w:val="0009203A"/>
    <w:rsid w:val="0009286C"/>
    <w:rsid w:val="00096B06"/>
    <w:rsid w:val="00097659"/>
    <w:rsid w:val="000A0EB3"/>
    <w:rsid w:val="000B2204"/>
    <w:rsid w:val="000B2CDA"/>
    <w:rsid w:val="000B3326"/>
    <w:rsid w:val="000B45CA"/>
    <w:rsid w:val="000C1F82"/>
    <w:rsid w:val="000C6880"/>
    <w:rsid w:val="000C6C9F"/>
    <w:rsid w:val="000D0AA2"/>
    <w:rsid w:val="000E0EFF"/>
    <w:rsid w:val="000E11C2"/>
    <w:rsid w:val="000E7513"/>
    <w:rsid w:val="000F0D68"/>
    <w:rsid w:val="000F76BF"/>
    <w:rsid w:val="001011D3"/>
    <w:rsid w:val="001040B0"/>
    <w:rsid w:val="00120075"/>
    <w:rsid w:val="00121E9F"/>
    <w:rsid w:val="001317A0"/>
    <w:rsid w:val="00131F41"/>
    <w:rsid w:val="0013455C"/>
    <w:rsid w:val="00134993"/>
    <w:rsid w:val="00135F4A"/>
    <w:rsid w:val="00142065"/>
    <w:rsid w:val="001428C5"/>
    <w:rsid w:val="00142ECF"/>
    <w:rsid w:val="001460C9"/>
    <w:rsid w:val="00150522"/>
    <w:rsid w:val="00150CC9"/>
    <w:rsid w:val="00152793"/>
    <w:rsid w:val="001546CE"/>
    <w:rsid w:val="00164275"/>
    <w:rsid w:val="00172B0E"/>
    <w:rsid w:val="0017580F"/>
    <w:rsid w:val="00180C7A"/>
    <w:rsid w:val="00182FEC"/>
    <w:rsid w:val="00190C20"/>
    <w:rsid w:val="00197656"/>
    <w:rsid w:val="001A160F"/>
    <w:rsid w:val="001A417D"/>
    <w:rsid w:val="001A7E0D"/>
    <w:rsid w:val="001B2574"/>
    <w:rsid w:val="001B6E40"/>
    <w:rsid w:val="001B78A9"/>
    <w:rsid w:val="001C797E"/>
    <w:rsid w:val="001E1796"/>
    <w:rsid w:val="001E233C"/>
    <w:rsid w:val="001E6289"/>
    <w:rsid w:val="001F1A64"/>
    <w:rsid w:val="001F6604"/>
    <w:rsid w:val="001F6825"/>
    <w:rsid w:val="00206020"/>
    <w:rsid w:val="002101A3"/>
    <w:rsid w:val="0021268A"/>
    <w:rsid w:val="00214824"/>
    <w:rsid w:val="002155E5"/>
    <w:rsid w:val="002204E5"/>
    <w:rsid w:val="00222658"/>
    <w:rsid w:val="0022276D"/>
    <w:rsid w:val="00223C76"/>
    <w:rsid w:val="00227EF8"/>
    <w:rsid w:val="00230FD3"/>
    <w:rsid w:val="00231CD7"/>
    <w:rsid w:val="0023380A"/>
    <w:rsid w:val="002370B9"/>
    <w:rsid w:val="00237E39"/>
    <w:rsid w:val="00240104"/>
    <w:rsid w:val="002455A0"/>
    <w:rsid w:val="00246C6C"/>
    <w:rsid w:val="00255358"/>
    <w:rsid w:val="002611B7"/>
    <w:rsid w:val="00261B5A"/>
    <w:rsid w:val="00264251"/>
    <w:rsid w:val="002648C3"/>
    <w:rsid w:val="002655D9"/>
    <w:rsid w:val="00280EC1"/>
    <w:rsid w:val="00284004"/>
    <w:rsid w:val="002908E1"/>
    <w:rsid w:val="0029523A"/>
    <w:rsid w:val="00297DF2"/>
    <w:rsid w:val="002A664C"/>
    <w:rsid w:val="002B365F"/>
    <w:rsid w:val="002C1894"/>
    <w:rsid w:val="002C3170"/>
    <w:rsid w:val="002D24CD"/>
    <w:rsid w:val="002D4C3B"/>
    <w:rsid w:val="002D4D6C"/>
    <w:rsid w:val="002E195B"/>
    <w:rsid w:val="002E2A63"/>
    <w:rsid w:val="002E4AFD"/>
    <w:rsid w:val="002E7A1B"/>
    <w:rsid w:val="003023BE"/>
    <w:rsid w:val="00313977"/>
    <w:rsid w:val="003144F8"/>
    <w:rsid w:val="00315D00"/>
    <w:rsid w:val="00317F61"/>
    <w:rsid w:val="003218C7"/>
    <w:rsid w:val="003236B1"/>
    <w:rsid w:val="00327481"/>
    <w:rsid w:val="00327D07"/>
    <w:rsid w:val="00327D62"/>
    <w:rsid w:val="00331985"/>
    <w:rsid w:val="00337189"/>
    <w:rsid w:val="00342444"/>
    <w:rsid w:val="0034362B"/>
    <w:rsid w:val="00343805"/>
    <w:rsid w:val="00344865"/>
    <w:rsid w:val="00345B12"/>
    <w:rsid w:val="00346FA7"/>
    <w:rsid w:val="003511B9"/>
    <w:rsid w:val="0035544A"/>
    <w:rsid w:val="0036394A"/>
    <w:rsid w:val="003655E4"/>
    <w:rsid w:val="00366869"/>
    <w:rsid w:val="0037237B"/>
    <w:rsid w:val="0037790F"/>
    <w:rsid w:val="0038003E"/>
    <w:rsid w:val="0038146E"/>
    <w:rsid w:val="00381BB0"/>
    <w:rsid w:val="00382FFC"/>
    <w:rsid w:val="0038487D"/>
    <w:rsid w:val="00385183"/>
    <w:rsid w:val="00391D40"/>
    <w:rsid w:val="0039390B"/>
    <w:rsid w:val="00395F80"/>
    <w:rsid w:val="003962D8"/>
    <w:rsid w:val="003972F0"/>
    <w:rsid w:val="003B39EF"/>
    <w:rsid w:val="003C0865"/>
    <w:rsid w:val="003C37A3"/>
    <w:rsid w:val="003D3F5C"/>
    <w:rsid w:val="003E0721"/>
    <w:rsid w:val="003E1A6D"/>
    <w:rsid w:val="003F048C"/>
    <w:rsid w:val="003F1465"/>
    <w:rsid w:val="003F1641"/>
    <w:rsid w:val="003F1BB1"/>
    <w:rsid w:val="003F20FC"/>
    <w:rsid w:val="00401619"/>
    <w:rsid w:val="00404920"/>
    <w:rsid w:val="00405222"/>
    <w:rsid w:val="00406853"/>
    <w:rsid w:val="0041106C"/>
    <w:rsid w:val="0041495F"/>
    <w:rsid w:val="004265AA"/>
    <w:rsid w:val="00430386"/>
    <w:rsid w:val="00432E6A"/>
    <w:rsid w:val="00443D79"/>
    <w:rsid w:val="00445AF8"/>
    <w:rsid w:val="00457B9F"/>
    <w:rsid w:val="0046148B"/>
    <w:rsid w:val="0046701C"/>
    <w:rsid w:val="00482171"/>
    <w:rsid w:val="0049098F"/>
    <w:rsid w:val="004916F2"/>
    <w:rsid w:val="00492D1A"/>
    <w:rsid w:val="00495A40"/>
    <w:rsid w:val="00497E9E"/>
    <w:rsid w:val="004B004C"/>
    <w:rsid w:val="004B6BB4"/>
    <w:rsid w:val="004C21AF"/>
    <w:rsid w:val="004D46FB"/>
    <w:rsid w:val="004D7AF4"/>
    <w:rsid w:val="004E4127"/>
    <w:rsid w:val="004E617E"/>
    <w:rsid w:val="004F5DCC"/>
    <w:rsid w:val="004F7AB7"/>
    <w:rsid w:val="004F7EE8"/>
    <w:rsid w:val="005000F4"/>
    <w:rsid w:val="0050760B"/>
    <w:rsid w:val="00510020"/>
    <w:rsid w:val="00510C2B"/>
    <w:rsid w:val="005156FA"/>
    <w:rsid w:val="00523749"/>
    <w:rsid w:val="00526C37"/>
    <w:rsid w:val="00526F38"/>
    <w:rsid w:val="00531D2F"/>
    <w:rsid w:val="00546B34"/>
    <w:rsid w:val="005505AD"/>
    <w:rsid w:val="00552547"/>
    <w:rsid w:val="00565CA7"/>
    <w:rsid w:val="00566B2F"/>
    <w:rsid w:val="005722D4"/>
    <w:rsid w:val="0057287B"/>
    <w:rsid w:val="00572AA6"/>
    <w:rsid w:val="00573C31"/>
    <w:rsid w:val="00574173"/>
    <w:rsid w:val="0058298C"/>
    <w:rsid w:val="00593520"/>
    <w:rsid w:val="005A5F7C"/>
    <w:rsid w:val="005B0B0A"/>
    <w:rsid w:val="005B5EE8"/>
    <w:rsid w:val="005B74B4"/>
    <w:rsid w:val="005C3364"/>
    <w:rsid w:val="005C6EAF"/>
    <w:rsid w:val="005E5D4F"/>
    <w:rsid w:val="005F33D8"/>
    <w:rsid w:val="005F4EC7"/>
    <w:rsid w:val="00606294"/>
    <w:rsid w:val="00607699"/>
    <w:rsid w:val="00613343"/>
    <w:rsid w:val="00613AFB"/>
    <w:rsid w:val="00616F59"/>
    <w:rsid w:val="006176D6"/>
    <w:rsid w:val="006351DD"/>
    <w:rsid w:val="00640F92"/>
    <w:rsid w:val="0064496F"/>
    <w:rsid w:val="00644B8B"/>
    <w:rsid w:val="006458F5"/>
    <w:rsid w:val="00653BAD"/>
    <w:rsid w:val="00655EF8"/>
    <w:rsid w:val="00670919"/>
    <w:rsid w:val="00670AB5"/>
    <w:rsid w:val="006779F3"/>
    <w:rsid w:val="00690964"/>
    <w:rsid w:val="006A2DF7"/>
    <w:rsid w:val="006A3A98"/>
    <w:rsid w:val="006A54FE"/>
    <w:rsid w:val="006B0969"/>
    <w:rsid w:val="006B2491"/>
    <w:rsid w:val="006B524C"/>
    <w:rsid w:val="006B7082"/>
    <w:rsid w:val="006B7F63"/>
    <w:rsid w:val="006C0768"/>
    <w:rsid w:val="006C5A75"/>
    <w:rsid w:val="006C7C70"/>
    <w:rsid w:val="006E4FE5"/>
    <w:rsid w:val="006F4462"/>
    <w:rsid w:val="006F5256"/>
    <w:rsid w:val="006F639F"/>
    <w:rsid w:val="00702396"/>
    <w:rsid w:val="00703645"/>
    <w:rsid w:val="00705ACA"/>
    <w:rsid w:val="00730914"/>
    <w:rsid w:val="00734D2F"/>
    <w:rsid w:val="007359DB"/>
    <w:rsid w:val="00742DA4"/>
    <w:rsid w:val="00756E57"/>
    <w:rsid w:val="00760127"/>
    <w:rsid w:val="007640C1"/>
    <w:rsid w:val="00772308"/>
    <w:rsid w:val="007818B6"/>
    <w:rsid w:val="0079595B"/>
    <w:rsid w:val="0079759C"/>
    <w:rsid w:val="007A661C"/>
    <w:rsid w:val="007A77F2"/>
    <w:rsid w:val="007B52E9"/>
    <w:rsid w:val="007D01FC"/>
    <w:rsid w:val="007D2B64"/>
    <w:rsid w:val="007D4F36"/>
    <w:rsid w:val="007D66CD"/>
    <w:rsid w:val="007E3E90"/>
    <w:rsid w:val="007E44B0"/>
    <w:rsid w:val="007F3C25"/>
    <w:rsid w:val="007F44C2"/>
    <w:rsid w:val="007F5EDF"/>
    <w:rsid w:val="00800A1F"/>
    <w:rsid w:val="00806997"/>
    <w:rsid w:val="00812CCA"/>
    <w:rsid w:val="0082390B"/>
    <w:rsid w:val="00825928"/>
    <w:rsid w:val="00825A39"/>
    <w:rsid w:val="00826924"/>
    <w:rsid w:val="008357D4"/>
    <w:rsid w:val="008362A2"/>
    <w:rsid w:val="00862BC0"/>
    <w:rsid w:val="00871E94"/>
    <w:rsid w:val="0087351D"/>
    <w:rsid w:val="00873734"/>
    <w:rsid w:val="00880847"/>
    <w:rsid w:val="008869B4"/>
    <w:rsid w:val="0088741B"/>
    <w:rsid w:val="00891EF8"/>
    <w:rsid w:val="00893B69"/>
    <w:rsid w:val="008A1A3C"/>
    <w:rsid w:val="008B31F3"/>
    <w:rsid w:val="008B4C96"/>
    <w:rsid w:val="008C0014"/>
    <w:rsid w:val="008C7544"/>
    <w:rsid w:val="008C7AF6"/>
    <w:rsid w:val="008D2BD3"/>
    <w:rsid w:val="008D321C"/>
    <w:rsid w:val="008D41EC"/>
    <w:rsid w:val="008D4ECB"/>
    <w:rsid w:val="008E2E3A"/>
    <w:rsid w:val="008E3AE2"/>
    <w:rsid w:val="008E3C79"/>
    <w:rsid w:val="008E5AE3"/>
    <w:rsid w:val="008E74E7"/>
    <w:rsid w:val="008F21D1"/>
    <w:rsid w:val="008F50DC"/>
    <w:rsid w:val="00905BFA"/>
    <w:rsid w:val="00906729"/>
    <w:rsid w:val="0091254B"/>
    <w:rsid w:val="00916EDA"/>
    <w:rsid w:val="00922550"/>
    <w:rsid w:val="00953E20"/>
    <w:rsid w:val="0095551A"/>
    <w:rsid w:val="0095624E"/>
    <w:rsid w:val="00964227"/>
    <w:rsid w:val="00965ECA"/>
    <w:rsid w:val="00965F4E"/>
    <w:rsid w:val="00972521"/>
    <w:rsid w:val="00975711"/>
    <w:rsid w:val="00982B92"/>
    <w:rsid w:val="00985D59"/>
    <w:rsid w:val="0098674A"/>
    <w:rsid w:val="00987C7D"/>
    <w:rsid w:val="00992800"/>
    <w:rsid w:val="00992ECE"/>
    <w:rsid w:val="009953C8"/>
    <w:rsid w:val="0099592D"/>
    <w:rsid w:val="009A1835"/>
    <w:rsid w:val="009A3C19"/>
    <w:rsid w:val="009A5E1C"/>
    <w:rsid w:val="009B23BA"/>
    <w:rsid w:val="009B39BC"/>
    <w:rsid w:val="009C2B14"/>
    <w:rsid w:val="009C2DA8"/>
    <w:rsid w:val="009C3498"/>
    <w:rsid w:val="009C775E"/>
    <w:rsid w:val="009D0A5D"/>
    <w:rsid w:val="009E4E64"/>
    <w:rsid w:val="00A00D3A"/>
    <w:rsid w:val="00A0291F"/>
    <w:rsid w:val="00A05AE2"/>
    <w:rsid w:val="00A07556"/>
    <w:rsid w:val="00A1169C"/>
    <w:rsid w:val="00A119D5"/>
    <w:rsid w:val="00A1222D"/>
    <w:rsid w:val="00A13242"/>
    <w:rsid w:val="00A15E27"/>
    <w:rsid w:val="00A17848"/>
    <w:rsid w:val="00A261A0"/>
    <w:rsid w:val="00A26209"/>
    <w:rsid w:val="00A269A2"/>
    <w:rsid w:val="00A3105D"/>
    <w:rsid w:val="00A32D96"/>
    <w:rsid w:val="00A34DDA"/>
    <w:rsid w:val="00A45B10"/>
    <w:rsid w:val="00A50CD1"/>
    <w:rsid w:val="00A50FCC"/>
    <w:rsid w:val="00A546C3"/>
    <w:rsid w:val="00A551D6"/>
    <w:rsid w:val="00A56897"/>
    <w:rsid w:val="00A60C54"/>
    <w:rsid w:val="00A619C1"/>
    <w:rsid w:val="00A62A73"/>
    <w:rsid w:val="00A657C8"/>
    <w:rsid w:val="00A7195C"/>
    <w:rsid w:val="00A720C7"/>
    <w:rsid w:val="00A74616"/>
    <w:rsid w:val="00A84216"/>
    <w:rsid w:val="00A93F03"/>
    <w:rsid w:val="00A95AC8"/>
    <w:rsid w:val="00AA7436"/>
    <w:rsid w:val="00AB44F8"/>
    <w:rsid w:val="00AB450B"/>
    <w:rsid w:val="00AB50AF"/>
    <w:rsid w:val="00AB584B"/>
    <w:rsid w:val="00AB7E24"/>
    <w:rsid w:val="00AC21D0"/>
    <w:rsid w:val="00AC2A1E"/>
    <w:rsid w:val="00AC719A"/>
    <w:rsid w:val="00AD5198"/>
    <w:rsid w:val="00AE2EF3"/>
    <w:rsid w:val="00AE76D1"/>
    <w:rsid w:val="00AF55CB"/>
    <w:rsid w:val="00AF6633"/>
    <w:rsid w:val="00B04939"/>
    <w:rsid w:val="00B0660E"/>
    <w:rsid w:val="00B06BAD"/>
    <w:rsid w:val="00B07A57"/>
    <w:rsid w:val="00B07EDC"/>
    <w:rsid w:val="00B105C8"/>
    <w:rsid w:val="00B12C98"/>
    <w:rsid w:val="00B12DEB"/>
    <w:rsid w:val="00B21DCB"/>
    <w:rsid w:val="00B23AA9"/>
    <w:rsid w:val="00B261E4"/>
    <w:rsid w:val="00B36D55"/>
    <w:rsid w:val="00B423F4"/>
    <w:rsid w:val="00B519EE"/>
    <w:rsid w:val="00B53B1A"/>
    <w:rsid w:val="00B577AC"/>
    <w:rsid w:val="00B70296"/>
    <w:rsid w:val="00B80A27"/>
    <w:rsid w:val="00B814FB"/>
    <w:rsid w:val="00B8162E"/>
    <w:rsid w:val="00B91E4C"/>
    <w:rsid w:val="00BB163C"/>
    <w:rsid w:val="00BB4F61"/>
    <w:rsid w:val="00BC54BB"/>
    <w:rsid w:val="00BD0FDF"/>
    <w:rsid w:val="00BD699F"/>
    <w:rsid w:val="00BD739D"/>
    <w:rsid w:val="00BE0292"/>
    <w:rsid w:val="00BE48DD"/>
    <w:rsid w:val="00BF558A"/>
    <w:rsid w:val="00BF6CB0"/>
    <w:rsid w:val="00BF7729"/>
    <w:rsid w:val="00C03C41"/>
    <w:rsid w:val="00C11575"/>
    <w:rsid w:val="00C1644C"/>
    <w:rsid w:val="00C25B40"/>
    <w:rsid w:val="00C268C9"/>
    <w:rsid w:val="00C2792D"/>
    <w:rsid w:val="00C27E54"/>
    <w:rsid w:val="00C35153"/>
    <w:rsid w:val="00C41584"/>
    <w:rsid w:val="00C43EA8"/>
    <w:rsid w:val="00C52498"/>
    <w:rsid w:val="00C5257D"/>
    <w:rsid w:val="00C61129"/>
    <w:rsid w:val="00C65D38"/>
    <w:rsid w:val="00C67CF9"/>
    <w:rsid w:val="00C67E5B"/>
    <w:rsid w:val="00C722B1"/>
    <w:rsid w:val="00C7272C"/>
    <w:rsid w:val="00C735C8"/>
    <w:rsid w:val="00C737A9"/>
    <w:rsid w:val="00C76C3F"/>
    <w:rsid w:val="00C83593"/>
    <w:rsid w:val="00C873C4"/>
    <w:rsid w:val="00C93172"/>
    <w:rsid w:val="00CA54BD"/>
    <w:rsid w:val="00CA713E"/>
    <w:rsid w:val="00CB1CA2"/>
    <w:rsid w:val="00CB5B81"/>
    <w:rsid w:val="00CB77F6"/>
    <w:rsid w:val="00CB796D"/>
    <w:rsid w:val="00CC0D14"/>
    <w:rsid w:val="00CC3B99"/>
    <w:rsid w:val="00CC3BAE"/>
    <w:rsid w:val="00CC5847"/>
    <w:rsid w:val="00CC5D65"/>
    <w:rsid w:val="00CD05A4"/>
    <w:rsid w:val="00CD1FCE"/>
    <w:rsid w:val="00CD597A"/>
    <w:rsid w:val="00CD700C"/>
    <w:rsid w:val="00CD7C48"/>
    <w:rsid w:val="00CE546C"/>
    <w:rsid w:val="00CF6F6E"/>
    <w:rsid w:val="00CF7049"/>
    <w:rsid w:val="00D01521"/>
    <w:rsid w:val="00D01CD8"/>
    <w:rsid w:val="00D01D56"/>
    <w:rsid w:val="00D035F7"/>
    <w:rsid w:val="00D059D4"/>
    <w:rsid w:val="00D10045"/>
    <w:rsid w:val="00D1110D"/>
    <w:rsid w:val="00D1342D"/>
    <w:rsid w:val="00D1744D"/>
    <w:rsid w:val="00D225C1"/>
    <w:rsid w:val="00D24325"/>
    <w:rsid w:val="00D261E4"/>
    <w:rsid w:val="00D2780B"/>
    <w:rsid w:val="00D3641B"/>
    <w:rsid w:val="00D4448A"/>
    <w:rsid w:val="00D51B20"/>
    <w:rsid w:val="00D51D9D"/>
    <w:rsid w:val="00D601A7"/>
    <w:rsid w:val="00D60568"/>
    <w:rsid w:val="00D61627"/>
    <w:rsid w:val="00D650EB"/>
    <w:rsid w:val="00D6639C"/>
    <w:rsid w:val="00D70C1D"/>
    <w:rsid w:val="00D72B2F"/>
    <w:rsid w:val="00D757CF"/>
    <w:rsid w:val="00D828E2"/>
    <w:rsid w:val="00D97E82"/>
    <w:rsid w:val="00DA1722"/>
    <w:rsid w:val="00DA212F"/>
    <w:rsid w:val="00DA66C0"/>
    <w:rsid w:val="00DA697A"/>
    <w:rsid w:val="00DA6DAF"/>
    <w:rsid w:val="00DB02D8"/>
    <w:rsid w:val="00DB1397"/>
    <w:rsid w:val="00DB3E1D"/>
    <w:rsid w:val="00DB4254"/>
    <w:rsid w:val="00DB6588"/>
    <w:rsid w:val="00DC3278"/>
    <w:rsid w:val="00DD4B36"/>
    <w:rsid w:val="00DF19A4"/>
    <w:rsid w:val="00DF1AB7"/>
    <w:rsid w:val="00E00DD7"/>
    <w:rsid w:val="00E053AD"/>
    <w:rsid w:val="00E05602"/>
    <w:rsid w:val="00E061BB"/>
    <w:rsid w:val="00E07C2C"/>
    <w:rsid w:val="00E1448B"/>
    <w:rsid w:val="00E2330C"/>
    <w:rsid w:val="00E31027"/>
    <w:rsid w:val="00E332E1"/>
    <w:rsid w:val="00E44150"/>
    <w:rsid w:val="00E50F7A"/>
    <w:rsid w:val="00E62B69"/>
    <w:rsid w:val="00E633ED"/>
    <w:rsid w:val="00E63C5D"/>
    <w:rsid w:val="00E67EEC"/>
    <w:rsid w:val="00E737A9"/>
    <w:rsid w:val="00E75B87"/>
    <w:rsid w:val="00E809BA"/>
    <w:rsid w:val="00E81378"/>
    <w:rsid w:val="00E81B3D"/>
    <w:rsid w:val="00E8338F"/>
    <w:rsid w:val="00E84307"/>
    <w:rsid w:val="00E864A5"/>
    <w:rsid w:val="00E875B8"/>
    <w:rsid w:val="00E90C9D"/>
    <w:rsid w:val="00E91AEB"/>
    <w:rsid w:val="00EA2577"/>
    <w:rsid w:val="00EB2E69"/>
    <w:rsid w:val="00EC4534"/>
    <w:rsid w:val="00EC703D"/>
    <w:rsid w:val="00ED2E05"/>
    <w:rsid w:val="00ED7ECD"/>
    <w:rsid w:val="00EE3A06"/>
    <w:rsid w:val="00EE70D4"/>
    <w:rsid w:val="00EE746E"/>
    <w:rsid w:val="00EF7D8B"/>
    <w:rsid w:val="00F07999"/>
    <w:rsid w:val="00F24AA7"/>
    <w:rsid w:val="00F27B55"/>
    <w:rsid w:val="00F32D51"/>
    <w:rsid w:val="00F45FDD"/>
    <w:rsid w:val="00F50458"/>
    <w:rsid w:val="00F51A22"/>
    <w:rsid w:val="00F60843"/>
    <w:rsid w:val="00F80E3B"/>
    <w:rsid w:val="00F841EA"/>
    <w:rsid w:val="00F861B8"/>
    <w:rsid w:val="00F94A27"/>
    <w:rsid w:val="00F95BDD"/>
    <w:rsid w:val="00F97172"/>
    <w:rsid w:val="00FA5AE3"/>
    <w:rsid w:val="00FB6446"/>
    <w:rsid w:val="00FC27A2"/>
    <w:rsid w:val="00FC27C9"/>
    <w:rsid w:val="00FC2875"/>
    <w:rsid w:val="00FC2F25"/>
    <w:rsid w:val="00FD2C1A"/>
    <w:rsid w:val="00FD613A"/>
    <w:rsid w:val="00FE3E24"/>
    <w:rsid w:val="00FF3FF1"/>
    <w:rsid w:val="00FF7729"/>
    <w:rsid w:val="0153724B"/>
    <w:rsid w:val="01ED736F"/>
    <w:rsid w:val="02687B7D"/>
    <w:rsid w:val="02A465B1"/>
    <w:rsid w:val="05C7457D"/>
    <w:rsid w:val="06857749"/>
    <w:rsid w:val="06B07792"/>
    <w:rsid w:val="06DE21D4"/>
    <w:rsid w:val="08841397"/>
    <w:rsid w:val="09F81171"/>
    <w:rsid w:val="0A8D459D"/>
    <w:rsid w:val="0AED6731"/>
    <w:rsid w:val="0C750A1C"/>
    <w:rsid w:val="0C85560D"/>
    <w:rsid w:val="0CFB58CF"/>
    <w:rsid w:val="0D502A83"/>
    <w:rsid w:val="0D9E688B"/>
    <w:rsid w:val="0EA237CF"/>
    <w:rsid w:val="0EC566DC"/>
    <w:rsid w:val="0F1479B3"/>
    <w:rsid w:val="0FE4089C"/>
    <w:rsid w:val="109611B9"/>
    <w:rsid w:val="10C25B95"/>
    <w:rsid w:val="10E31638"/>
    <w:rsid w:val="11004794"/>
    <w:rsid w:val="113E5D8A"/>
    <w:rsid w:val="119D6042"/>
    <w:rsid w:val="11F720E2"/>
    <w:rsid w:val="131F3B08"/>
    <w:rsid w:val="13714178"/>
    <w:rsid w:val="138F0827"/>
    <w:rsid w:val="13BD2DD3"/>
    <w:rsid w:val="14C57ABE"/>
    <w:rsid w:val="15246DCF"/>
    <w:rsid w:val="15351D17"/>
    <w:rsid w:val="154E6E22"/>
    <w:rsid w:val="15797301"/>
    <w:rsid w:val="158F3058"/>
    <w:rsid w:val="161761BF"/>
    <w:rsid w:val="1629676F"/>
    <w:rsid w:val="16805609"/>
    <w:rsid w:val="16AE7DBC"/>
    <w:rsid w:val="16F37B70"/>
    <w:rsid w:val="17DE0FF1"/>
    <w:rsid w:val="182A7068"/>
    <w:rsid w:val="185D4D4F"/>
    <w:rsid w:val="19F55171"/>
    <w:rsid w:val="1A342A12"/>
    <w:rsid w:val="1A7044B8"/>
    <w:rsid w:val="1B613188"/>
    <w:rsid w:val="1C0479E0"/>
    <w:rsid w:val="1C583760"/>
    <w:rsid w:val="1CD37A01"/>
    <w:rsid w:val="1D954E2B"/>
    <w:rsid w:val="1D9E5609"/>
    <w:rsid w:val="1DD44E1E"/>
    <w:rsid w:val="1DE55F0B"/>
    <w:rsid w:val="1E157DFA"/>
    <w:rsid w:val="1EAB1431"/>
    <w:rsid w:val="1EAF299E"/>
    <w:rsid w:val="1F9A6C2F"/>
    <w:rsid w:val="20586E52"/>
    <w:rsid w:val="20BF3A12"/>
    <w:rsid w:val="21797038"/>
    <w:rsid w:val="22BA5F4F"/>
    <w:rsid w:val="22E374C3"/>
    <w:rsid w:val="23017D76"/>
    <w:rsid w:val="23623B5A"/>
    <w:rsid w:val="23EC7A51"/>
    <w:rsid w:val="243C43AB"/>
    <w:rsid w:val="253C7A7E"/>
    <w:rsid w:val="27AE3812"/>
    <w:rsid w:val="284B48FE"/>
    <w:rsid w:val="2945768C"/>
    <w:rsid w:val="29566AF0"/>
    <w:rsid w:val="2A7F25AA"/>
    <w:rsid w:val="2ADB7BBC"/>
    <w:rsid w:val="2B6B5453"/>
    <w:rsid w:val="2BA121A2"/>
    <w:rsid w:val="2D087520"/>
    <w:rsid w:val="2D204389"/>
    <w:rsid w:val="2DEF45D3"/>
    <w:rsid w:val="2E50078D"/>
    <w:rsid w:val="2E5C7206"/>
    <w:rsid w:val="2E674F27"/>
    <w:rsid w:val="2F353645"/>
    <w:rsid w:val="2F41528C"/>
    <w:rsid w:val="2F4802DE"/>
    <w:rsid w:val="31A22271"/>
    <w:rsid w:val="326140AD"/>
    <w:rsid w:val="326B118C"/>
    <w:rsid w:val="32AF687F"/>
    <w:rsid w:val="356958E7"/>
    <w:rsid w:val="35C50BED"/>
    <w:rsid w:val="36320BAC"/>
    <w:rsid w:val="364F1E5A"/>
    <w:rsid w:val="36B1234F"/>
    <w:rsid w:val="376B0DD8"/>
    <w:rsid w:val="37C35D2B"/>
    <w:rsid w:val="39234D7C"/>
    <w:rsid w:val="399860D0"/>
    <w:rsid w:val="3ADC0CEE"/>
    <w:rsid w:val="3AE409C4"/>
    <w:rsid w:val="3B1A7D23"/>
    <w:rsid w:val="3B713742"/>
    <w:rsid w:val="3BCA3F3D"/>
    <w:rsid w:val="3BD55D23"/>
    <w:rsid w:val="3BF21AC7"/>
    <w:rsid w:val="3CC46DE1"/>
    <w:rsid w:val="3D327A81"/>
    <w:rsid w:val="3E140B22"/>
    <w:rsid w:val="3E4A0F79"/>
    <w:rsid w:val="3E587CBE"/>
    <w:rsid w:val="3ED32B40"/>
    <w:rsid w:val="3F4D3FD0"/>
    <w:rsid w:val="3F581100"/>
    <w:rsid w:val="3F5D7BA0"/>
    <w:rsid w:val="3FF14A4B"/>
    <w:rsid w:val="3FF279CA"/>
    <w:rsid w:val="406736A3"/>
    <w:rsid w:val="40B11DFE"/>
    <w:rsid w:val="41041C49"/>
    <w:rsid w:val="41596D55"/>
    <w:rsid w:val="4161692A"/>
    <w:rsid w:val="43EC11C0"/>
    <w:rsid w:val="44A77003"/>
    <w:rsid w:val="453FCAC1"/>
    <w:rsid w:val="4544114B"/>
    <w:rsid w:val="458F09E7"/>
    <w:rsid w:val="45BA1E67"/>
    <w:rsid w:val="45F83A10"/>
    <w:rsid w:val="45F8660B"/>
    <w:rsid w:val="45FB47A7"/>
    <w:rsid w:val="461B1C1B"/>
    <w:rsid w:val="46981C70"/>
    <w:rsid w:val="46C17CFF"/>
    <w:rsid w:val="46FC5B45"/>
    <w:rsid w:val="475D6D1A"/>
    <w:rsid w:val="48524698"/>
    <w:rsid w:val="489717DD"/>
    <w:rsid w:val="48C0742F"/>
    <w:rsid w:val="48DF3E68"/>
    <w:rsid w:val="48F11001"/>
    <w:rsid w:val="49607F53"/>
    <w:rsid w:val="49667651"/>
    <w:rsid w:val="498C3945"/>
    <w:rsid w:val="4A013EF7"/>
    <w:rsid w:val="4AC02298"/>
    <w:rsid w:val="4AD347D5"/>
    <w:rsid w:val="4B32728F"/>
    <w:rsid w:val="4BC80C32"/>
    <w:rsid w:val="4C3B3017"/>
    <w:rsid w:val="4CC2229D"/>
    <w:rsid w:val="4D8F7EB4"/>
    <w:rsid w:val="4E34718F"/>
    <w:rsid w:val="4E3E463A"/>
    <w:rsid w:val="4E5403C0"/>
    <w:rsid w:val="4E600514"/>
    <w:rsid w:val="4E6F7EAC"/>
    <w:rsid w:val="50BC4234"/>
    <w:rsid w:val="516C5A20"/>
    <w:rsid w:val="51B10DC5"/>
    <w:rsid w:val="51FA6AA4"/>
    <w:rsid w:val="521045FE"/>
    <w:rsid w:val="522253D0"/>
    <w:rsid w:val="52246A31"/>
    <w:rsid w:val="529E42FF"/>
    <w:rsid w:val="53A32717"/>
    <w:rsid w:val="53E35B33"/>
    <w:rsid w:val="543D088E"/>
    <w:rsid w:val="54BE52C0"/>
    <w:rsid w:val="54E02275"/>
    <w:rsid w:val="55115CC4"/>
    <w:rsid w:val="55300D3C"/>
    <w:rsid w:val="55572D27"/>
    <w:rsid w:val="568C7C59"/>
    <w:rsid w:val="577B75F0"/>
    <w:rsid w:val="578F5B72"/>
    <w:rsid w:val="57F9519F"/>
    <w:rsid w:val="5859510E"/>
    <w:rsid w:val="58D53D89"/>
    <w:rsid w:val="593A5400"/>
    <w:rsid w:val="5A21505F"/>
    <w:rsid w:val="5AD97650"/>
    <w:rsid w:val="5AF30BC1"/>
    <w:rsid w:val="5B992C7A"/>
    <w:rsid w:val="5BA2145D"/>
    <w:rsid w:val="5BAA2287"/>
    <w:rsid w:val="5C0C5095"/>
    <w:rsid w:val="5C5839E4"/>
    <w:rsid w:val="5C601F83"/>
    <w:rsid w:val="5CA953CC"/>
    <w:rsid w:val="5D302FD8"/>
    <w:rsid w:val="5D6963E8"/>
    <w:rsid w:val="5E5B043C"/>
    <w:rsid w:val="5E5F4659"/>
    <w:rsid w:val="5E8A3513"/>
    <w:rsid w:val="5EBF6CB6"/>
    <w:rsid w:val="5F12267A"/>
    <w:rsid w:val="5F292718"/>
    <w:rsid w:val="5F697A43"/>
    <w:rsid w:val="5F7D1DCA"/>
    <w:rsid w:val="602001C2"/>
    <w:rsid w:val="604A0FC6"/>
    <w:rsid w:val="60A00636"/>
    <w:rsid w:val="6181084B"/>
    <w:rsid w:val="619B4852"/>
    <w:rsid w:val="627A0973"/>
    <w:rsid w:val="631D5581"/>
    <w:rsid w:val="637A5D7B"/>
    <w:rsid w:val="637C7D45"/>
    <w:rsid w:val="63C16947"/>
    <w:rsid w:val="646D2C32"/>
    <w:rsid w:val="64904508"/>
    <w:rsid w:val="64B547CC"/>
    <w:rsid w:val="64F40DB3"/>
    <w:rsid w:val="65E37E59"/>
    <w:rsid w:val="66501015"/>
    <w:rsid w:val="669808E3"/>
    <w:rsid w:val="6758536B"/>
    <w:rsid w:val="675F4E6C"/>
    <w:rsid w:val="68C1002B"/>
    <w:rsid w:val="692D388F"/>
    <w:rsid w:val="6A2014A1"/>
    <w:rsid w:val="6A8E65B0"/>
    <w:rsid w:val="6AA3095E"/>
    <w:rsid w:val="6C0354E0"/>
    <w:rsid w:val="6C0A4ECE"/>
    <w:rsid w:val="6C3224C0"/>
    <w:rsid w:val="6C6D0750"/>
    <w:rsid w:val="6C700DE2"/>
    <w:rsid w:val="6C8C233C"/>
    <w:rsid w:val="6C8E1E7C"/>
    <w:rsid w:val="6D0A53B1"/>
    <w:rsid w:val="6DD12D8D"/>
    <w:rsid w:val="6E561855"/>
    <w:rsid w:val="6FBD618B"/>
    <w:rsid w:val="6FCE7917"/>
    <w:rsid w:val="6FD252B2"/>
    <w:rsid w:val="6FE25F2F"/>
    <w:rsid w:val="711C6DDC"/>
    <w:rsid w:val="733E2FD3"/>
    <w:rsid w:val="73D93DB9"/>
    <w:rsid w:val="74522270"/>
    <w:rsid w:val="747968C6"/>
    <w:rsid w:val="75DC748F"/>
    <w:rsid w:val="77372300"/>
    <w:rsid w:val="776B6C68"/>
    <w:rsid w:val="77FE0B8F"/>
    <w:rsid w:val="780C5CDD"/>
    <w:rsid w:val="78B50419"/>
    <w:rsid w:val="78EE43CA"/>
    <w:rsid w:val="79A9709E"/>
    <w:rsid w:val="7B08240A"/>
    <w:rsid w:val="7B1D641C"/>
    <w:rsid w:val="7C5A6545"/>
    <w:rsid w:val="7CDE6F23"/>
    <w:rsid w:val="7D853B51"/>
    <w:rsid w:val="7DBC03BB"/>
    <w:rsid w:val="7DFFAC71"/>
    <w:rsid w:val="7EB77BCF"/>
    <w:rsid w:val="7F3D4660"/>
    <w:rsid w:val="EFF1BC1B"/>
    <w:rsid w:val="EFF770B6"/>
    <w:rsid w:val="F7C7A1F4"/>
    <w:rsid w:val="F7F7771B"/>
    <w:rsid w:val="F9FD8D36"/>
    <w:rsid w:val="FDEFF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3"/>
    <w:autoRedefine/>
    <w:qFormat/>
    <w:uiPriority w:val="0"/>
    <w:pPr>
      <w:jc w:val="left"/>
    </w:pPr>
  </w:style>
  <w:style w:type="paragraph" w:styleId="4">
    <w:name w:val="Balloon Text"/>
    <w:basedOn w:val="1"/>
    <w:link w:val="15"/>
    <w:autoRedefine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ascii="DejaVu Sans" w:hAnsi="DejaVu Sans"/>
      <w:sz w:val="18"/>
    </w:rPr>
  </w:style>
  <w:style w:type="paragraph" w:styleId="7">
    <w:name w:val="annotation subject"/>
    <w:basedOn w:val="3"/>
    <w:next w:val="3"/>
    <w:link w:val="14"/>
    <w:autoRedefine/>
    <w:qFormat/>
    <w:uiPriority w:val="0"/>
    <w:rPr>
      <w:b/>
      <w:bCs/>
    </w:rPr>
  </w:style>
  <w:style w:type="character" w:styleId="10">
    <w:name w:val="Strong"/>
    <w:basedOn w:val="9"/>
    <w:autoRedefine/>
    <w:qFormat/>
    <w:uiPriority w:val="0"/>
    <w:rPr>
      <w:b/>
    </w:rPr>
  </w:style>
  <w:style w:type="character" w:styleId="11">
    <w:name w:val="Hyperlink"/>
    <w:basedOn w:val="9"/>
    <w:autoRedefine/>
    <w:qFormat/>
    <w:uiPriority w:val="0"/>
    <w:rPr>
      <w:color w:val="0000FF"/>
      <w:u w:val="single"/>
    </w:rPr>
  </w:style>
  <w:style w:type="character" w:styleId="12">
    <w:name w:val="annotation reference"/>
    <w:basedOn w:val="9"/>
    <w:autoRedefine/>
    <w:qFormat/>
    <w:uiPriority w:val="0"/>
    <w:rPr>
      <w:sz w:val="21"/>
      <w:szCs w:val="21"/>
    </w:rPr>
  </w:style>
  <w:style w:type="character" w:customStyle="1" w:styleId="13">
    <w:name w:val="批注文字 字符"/>
    <w:basedOn w:val="9"/>
    <w:link w:val="3"/>
    <w:autoRedefine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4">
    <w:name w:val="批注主题 字符"/>
    <w:basedOn w:val="13"/>
    <w:link w:val="7"/>
    <w:autoRedefine/>
    <w:qFormat/>
    <w:uiPriority w:val="0"/>
    <w:rPr>
      <w:rFonts w:asciiTheme="minorHAnsi" w:hAnsiTheme="minorHAnsi" w:eastAsiaTheme="minorEastAsia" w:cstheme="minorBidi"/>
      <w:b/>
      <w:bCs/>
      <w:kern w:val="2"/>
      <w:sz w:val="21"/>
      <w:szCs w:val="24"/>
    </w:rPr>
  </w:style>
  <w:style w:type="character" w:customStyle="1" w:styleId="15">
    <w:name w:val="批注框文本 字符"/>
    <w:basedOn w:val="9"/>
    <w:link w:val="4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6">
    <w:name w:val="List Paragraph"/>
    <w:basedOn w:val="1"/>
    <w:autoRedefine/>
    <w:qFormat/>
    <w:uiPriority w:val="99"/>
    <w:pPr>
      <w:ind w:firstLine="420" w:firstLineChars="200"/>
    </w:pPr>
  </w:style>
  <w:style w:type="paragraph" w:customStyle="1" w:styleId="17">
    <w:name w:val="修订1"/>
    <w:autoRedefine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18">
    <w:name w:val="修订2"/>
    <w:autoRedefine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19">
    <w:name w:val="修订3"/>
    <w:autoRedefine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20">
    <w:name w:val="修订4"/>
    <w:autoRedefine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21">
    <w:name w:val="修订5"/>
    <w:autoRedefine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22">
    <w:name w:val="修订6"/>
    <w:autoRedefine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23">
    <w:name w:val="修订7"/>
    <w:autoRedefine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24">
    <w:name w:val="修订8"/>
    <w:autoRedefine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25">
    <w:name w:val="修订9"/>
    <w:autoRedefine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26">
    <w:name w:val="修订10"/>
    <w:autoRedefine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27">
    <w:name w:val="修订11"/>
    <w:autoRedefine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28">
    <w:name w:val="修订12"/>
    <w:autoRedefine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29">
    <w:name w:val="修订13"/>
    <w:autoRedefine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30">
    <w:name w:val="修订14"/>
    <w:autoRedefine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31">
    <w:name w:val="修订15"/>
    <w:autoRedefine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32">
    <w:name w:val="修订16"/>
    <w:autoRedefine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33">
    <w:name w:val="修订17"/>
    <w:autoRedefine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34">
    <w:name w:val="修订18"/>
    <w:autoRedefine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35">
    <w:name w:val="修订19"/>
    <w:autoRedefine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36">
    <w:name w:val="修订20"/>
    <w:autoRedefine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37">
    <w:name w:val="修订21"/>
    <w:autoRedefine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38">
    <w:name w:val="修订22"/>
    <w:autoRedefine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39">
    <w:name w:val="修订23"/>
    <w:autoRedefine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40">
    <w:name w:val="Revision"/>
    <w:autoRedefine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customXml" Target="../customXml/item1.xml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4EA6742-317D-4795-9499-78027CBD0C2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1637</Words>
  <Characters>1739</Characters>
  <Lines>16</Lines>
  <Paragraphs>4</Paragraphs>
  <TotalTime>0</TotalTime>
  <ScaleCrop>false</ScaleCrop>
  <LinksUpToDate>false</LinksUpToDate>
  <CharactersWithSpaces>1739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2024-02-19T08:13:00Z</dcterms:created>
  <dc:creator>zhuge</dc:creator>
  <cp:lastModifiedBy>瞌睡虫</cp:lastModifiedBy>
  <cp:lastPrinted>2022-08-04T09:51:00Z</cp:lastPrinted>
  <dcterms:modified xsi:type="dcterms:W3CDTF">2024-08-12T03:27:54Z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98F24C2FEE214EF2AC5059664C4EB9B1</vt:lpwstr>
  </property>
</Properties>
</file>